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540" w:lineRule="exact"/>
        <w:jc w:val="center"/>
        <w:rPr>
          <w:rFonts w:ascii="黑体" w:eastAsia="黑体"/>
          <w:b/>
          <w:color w:val="FF0000"/>
          <w:sz w:val="32"/>
          <w:szCs w:val="32"/>
        </w:rPr>
      </w:pPr>
      <w:r>
        <w:rPr>
          <w:rFonts w:hint="eastAsia" w:ascii="黑体" w:eastAsia="黑体"/>
          <w:b/>
          <w:sz w:val="32"/>
          <w:szCs w:val="32"/>
        </w:rPr>
        <w:t>浙江诸暨农村商业银行股份有限公司</w:t>
      </w:r>
      <w:r>
        <w:rPr>
          <w:rFonts w:hint="eastAsia" w:ascii="黑体" w:eastAsia="黑体"/>
          <w:b/>
          <w:color w:val="000000"/>
          <w:sz w:val="32"/>
          <w:szCs w:val="32"/>
        </w:rPr>
        <w:t>“</w:t>
      </w:r>
      <w:r>
        <w:rPr>
          <w:rFonts w:hint="eastAsia" w:ascii="黑体" w:eastAsia="黑体"/>
          <w:b/>
          <w:color w:val="000000"/>
          <w:sz w:val="32"/>
          <w:szCs w:val="32"/>
          <w:lang w:eastAsia="zh-CN"/>
        </w:rPr>
        <w:t>越福盈</w:t>
      </w:r>
      <w:r>
        <w:rPr>
          <w:rFonts w:hint="eastAsia" w:ascii="黑体" w:eastAsia="黑体"/>
          <w:b/>
          <w:color w:val="000000"/>
          <w:sz w:val="32"/>
          <w:szCs w:val="32"/>
        </w:rPr>
        <w:t>”</w:t>
      </w:r>
    </w:p>
    <w:p>
      <w:pPr>
        <w:autoSpaceDE w:val="0"/>
        <w:autoSpaceDN w:val="0"/>
        <w:spacing w:line="540" w:lineRule="exact"/>
        <w:jc w:val="center"/>
        <w:rPr>
          <w:rFonts w:ascii="黑体" w:eastAsia="黑体"/>
          <w:color w:val="000000"/>
          <w:sz w:val="15"/>
          <w:szCs w:val="15"/>
        </w:rPr>
      </w:pPr>
      <w:r>
        <w:rPr>
          <w:rFonts w:hint="eastAsia" w:ascii="黑体" w:eastAsia="黑体"/>
          <w:b/>
          <w:color w:val="000000"/>
          <w:sz w:val="32"/>
          <w:szCs w:val="32"/>
          <w:lang w:val="en-US" w:eastAsia="zh-CN"/>
        </w:rPr>
        <w:t>2023</w:t>
      </w:r>
      <w:r>
        <w:rPr>
          <w:rFonts w:ascii="黑体" w:eastAsia="黑体"/>
          <w:b/>
          <w:color w:val="000000"/>
          <w:sz w:val="32"/>
          <w:szCs w:val="32"/>
        </w:rPr>
        <w:t>年第</w:t>
      </w:r>
      <w:r>
        <w:rPr>
          <w:rFonts w:hint="eastAsia" w:ascii="黑体" w:eastAsia="黑体"/>
          <w:b/>
          <w:color w:val="000000"/>
          <w:sz w:val="32"/>
          <w:szCs w:val="32"/>
          <w:lang w:val="en-US" w:eastAsia="zh-CN"/>
        </w:rPr>
        <w:t>16</w:t>
      </w:r>
      <w:r>
        <w:rPr>
          <w:rFonts w:ascii="黑体" w:eastAsia="黑体"/>
          <w:b/>
          <w:color w:val="000000"/>
          <w:sz w:val="32"/>
          <w:szCs w:val="32"/>
        </w:rPr>
        <w:t>期</w:t>
      </w:r>
      <w:r>
        <w:rPr>
          <w:rFonts w:hint="eastAsia" w:ascii="黑体" w:eastAsia="黑体"/>
          <w:b/>
          <w:color w:val="000000"/>
          <w:sz w:val="32"/>
          <w:szCs w:val="32"/>
        </w:rPr>
        <w:t>封闭净值型人民币理财产品风险揭示书</w:t>
      </w:r>
    </w:p>
    <w:p>
      <w:pPr>
        <w:autoSpaceDE w:val="0"/>
        <w:autoSpaceDN w:val="0"/>
        <w:spacing w:line="300" w:lineRule="exact"/>
        <w:ind w:firstLine="422" w:firstLineChars="200"/>
        <w:jc w:val="left"/>
        <w:rPr>
          <w:rFonts w:ascii="仿宋_GB2312" w:eastAsia="仿宋_GB2312" w:cs="楷体_GB2312"/>
          <w:b/>
          <w:szCs w:val="21"/>
        </w:rPr>
      </w:pPr>
    </w:p>
    <w:p>
      <w:pPr>
        <w:autoSpaceDE w:val="0"/>
        <w:autoSpaceDN w:val="0"/>
        <w:spacing w:line="300" w:lineRule="exact"/>
        <w:ind w:firstLine="422" w:firstLineChars="200"/>
        <w:jc w:val="left"/>
        <w:rPr>
          <w:rFonts w:ascii="仿宋_GB2312" w:eastAsia="仿宋_GB2312" w:cs="楷体_GB2312"/>
          <w:b/>
          <w:szCs w:val="21"/>
        </w:rPr>
      </w:pPr>
      <w:r>
        <w:rPr>
          <w:rFonts w:hint="eastAsia" w:ascii="仿宋_GB2312" w:eastAsia="仿宋_GB2312" w:cs="楷体_GB2312"/>
          <w:b/>
          <w:szCs w:val="21"/>
        </w:rPr>
        <w:t>投资者购买</w:t>
      </w:r>
      <w:r>
        <w:rPr>
          <w:rFonts w:hint="eastAsia" w:ascii="仿宋_GB2312" w:eastAsia="仿宋_GB2312"/>
          <w:b/>
          <w:szCs w:val="21"/>
        </w:rPr>
        <w:t>浙江诸暨农村商业银行股份有限公司</w:t>
      </w:r>
      <w:r>
        <w:rPr>
          <w:rFonts w:hint="eastAsia" w:ascii="仿宋_GB2312" w:eastAsia="仿宋_GB2312" w:cs="楷体_GB2312"/>
          <w:b/>
          <w:szCs w:val="21"/>
        </w:rPr>
        <w:t>“</w:t>
      </w:r>
      <w:r>
        <w:rPr>
          <w:rFonts w:hint="eastAsia" w:ascii="仿宋_GB2312" w:eastAsia="仿宋_GB2312" w:cs="楷体_GB2312"/>
          <w:b/>
          <w:szCs w:val="21"/>
          <w:lang w:eastAsia="zh-CN"/>
        </w:rPr>
        <w:t>越福盈</w:t>
      </w:r>
      <w:r>
        <w:rPr>
          <w:rFonts w:hint="eastAsia" w:ascii="仿宋_GB2312" w:eastAsia="仿宋_GB2312" w:cs="楷体_GB2312"/>
          <w:b/>
          <w:szCs w:val="21"/>
        </w:rPr>
        <w:t>”</w:t>
      </w:r>
      <w:r>
        <w:rPr>
          <w:rFonts w:hint="eastAsia" w:ascii="仿宋_GB2312" w:eastAsia="仿宋_GB2312" w:cs="楷体_GB2312"/>
          <w:b/>
          <w:szCs w:val="21"/>
          <w:lang w:val="en-US" w:eastAsia="zh-CN"/>
        </w:rPr>
        <w:t>2023</w:t>
      </w:r>
      <w:r>
        <w:rPr>
          <w:rFonts w:ascii="仿宋_GB2312" w:eastAsia="仿宋_GB2312" w:cs="楷体_GB2312"/>
          <w:b/>
          <w:szCs w:val="21"/>
        </w:rPr>
        <w:t>年第</w:t>
      </w:r>
      <w:r>
        <w:rPr>
          <w:rFonts w:hint="eastAsia" w:ascii="仿宋_GB2312" w:eastAsia="仿宋_GB2312" w:cs="楷体_GB2312"/>
          <w:b/>
          <w:szCs w:val="21"/>
          <w:lang w:val="en-US" w:eastAsia="zh-CN"/>
        </w:rPr>
        <w:t>16</w:t>
      </w:r>
      <w:r>
        <w:rPr>
          <w:rFonts w:ascii="仿宋_GB2312" w:eastAsia="仿宋_GB2312" w:cs="楷体_GB2312"/>
          <w:b/>
          <w:szCs w:val="21"/>
        </w:rPr>
        <w:t>期</w:t>
      </w:r>
      <w:r>
        <w:rPr>
          <w:rFonts w:hint="eastAsia" w:ascii="仿宋_GB2312" w:eastAsia="仿宋_GB2312" w:cs="楷体_GB2312"/>
          <w:b/>
          <w:szCs w:val="21"/>
        </w:rPr>
        <w:t>封闭净值型人民币理财产品 (编号：SXZJ</w:t>
      </w:r>
      <w:r>
        <w:rPr>
          <w:rFonts w:hint="eastAsia" w:ascii="仿宋_GB2312" w:eastAsia="仿宋_GB2312" w:cs="楷体_GB2312"/>
          <w:b/>
          <w:szCs w:val="21"/>
          <w:lang w:val="en-US" w:eastAsia="zh-CN"/>
        </w:rPr>
        <w:t>YFY</w:t>
      </w:r>
      <w:r>
        <w:rPr>
          <w:rFonts w:hint="eastAsia" w:ascii="仿宋_GB2312" w:eastAsia="仿宋_GB2312" w:cs="楷体_GB2312"/>
          <w:b/>
          <w:szCs w:val="21"/>
        </w:rPr>
        <w:t>2</w:t>
      </w:r>
      <w:r>
        <w:rPr>
          <w:rFonts w:hint="eastAsia" w:ascii="仿宋_GB2312" w:eastAsia="仿宋_GB2312" w:cs="楷体_GB2312"/>
          <w:b/>
          <w:szCs w:val="21"/>
          <w:lang w:val="en-US" w:eastAsia="zh-CN"/>
        </w:rPr>
        <w:t>023016</w:t>
      </w:r>
      <w:r>
        <w:rPr>
          <w:rFonts w:hint="eastAsia" w:ascii="仿宋_GB2312" w:eastAsia="仿宋_GB2312" w:cs="楷体_GB2312"/>
          <w:b/>
          <w:szCs w:val="21"/>
        </w:rPr>
        <w:t>)，须充分认识到投资有风险、购买须谨慎。投资者在签署《理财产品协议书》前应详细阅读本风险揭示书所载内容并签名确认，投资者在本风险揭示书上的签署行为即表示投资者已充分了解并愿意承担本理财产品项下的各项风险。以下谨就本理财产品项下的风险举例说明：</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1.理财本金损失风险：本产品为非保本浮动收益型理财产品，如发生理财产品项下所投资金融工具完全或部分丧失变现能力的不利情况，投资者将面临理财本金部分或全部损失的风险。</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2.市场风险：涉及到利率风险、经济周期风险、政策风险等多种市场风险。如在理财期内，市场利率上升，本理财产品的收益不随市场利率上升而提高。</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3.流动性风险：本理财产品到期前投资者无权提前终止或赎回。</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4.提前终止风险：在投资期内，如发生本行认为需要提前终止本理财产品的情况，本行有权提前终止本理财产品。投资者可能无法实现期初预期的全部收益。</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5.延期风险：如因理财产品项下对应的理财财产不能及时变现等原因造成理财产品不能按时偿还本金及收益，理财产品将面临期限相应延长或进行二次清算的可能。</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6.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7.信息传递风险：投资者应根据本理财产品说明书所载明的有关“信息披露”的约定，及时查询本理财产品的相关信息。如果投资者未及时查询、投资者联系方式变更未及时告知本行，或由于通讯故障、系统故障以及其他不可抗力等因素的影响使得投资者无法及时了解产品信息，并由此影响投资者的投资决策，因此而产生的责任和风险由投资者自行承担。</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8.其他风险：战争、自然灾害等不可抗力因素的出现，将会严重影响金融市场的运行，可能导致受托管理资产的损失，甚至影响理财产品的受理、投资、偿还等的正常运行，进而影响理财产品的资金安全。</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9.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autoSpaceDE w:val="0"/>
        <w:autoSpaceDN w:val="0"/>
        <w:spacing w:line="300" w:lineRule="exact"/>
        <w:ind w:firstLine="420" w:firstLineChars="200"/>
        <w:jc w:val="left"/>
        <w:rPr>
          <w:rFonts w:ascii="仿宋_GB2312" w:eastAsia="仿宋_GB2312" w:cs="楷体_GB2312"/>
          <w:szCs w:val="21"/>
        </w:rPr>
      </w:pPr>
      <w:r>
        <w:rPr>
          <w:rFonts w:hint="eastAsia" w:ascii="仿宋_GB2312" w:eastAsia="仿宋_GB2312" w:cs="楷体_GB2312"/>
          <w:szCs w:val="21"/>
        </w:rPr>
        <w:t>上述举例提示可能并未穷尽本理财产品项下可能出现的所有风险。</w:t>
      </w:r>
    </w:p>
    <w:p>
      <w:pPr>
        <w:widowControl/>
        <w:spacing w:line="340" w:lineRule="exact"/>
        <w:ind w:firstLine="413" w:firstLineChars="196"/>
        <w:jc w:val="left"/>
        <w:rPr>
          <w:rFonts w:ascii="仿宋_GB2312" w:eastAsia="仿宋_GB2312"/>
          <w:b/>
          <w:color w:val="000000"/>
          <w:szCs w:val="21"/>
        </w:rPr>
      </w:pPr>
      <w:r>
        <w:rPr>
          <w:rFonts w:hint="eastAsia" w:ascii="仿宋_GB2312" w:eastAsia="仿宋_GB2312"/>
          <w:b/>
          <w:color w:val="000000"/>
          <w:szCs w:val="21"/>
        </w:rPr>
        <w:t>本理财产品有投资风险，不保证理财资金本金及收益，您的本金可能会因市场变动而蒙受损失，您应当充分认识投资风险，谨慎投资。</w:t>
      </w:r>
    </w:p>
    <w:p>
      <w:pPr>
        <w:autoSpaceDE w:val="0"/>
        <w:autoSpaceDN w:val="0"/>
        <w:spacing w:line="300" w:lineRule="exact"/>
        <w:ind w:firstLine="422" w:firstLineChars="200"/>
        <w:jc w:val="left"/>
        <w:rPr>
          <w:rFonts w:ascii="仿宋_GB2312" w:eastAsia="仿宋_GB2312" w:cs="楷体_GB2312"/>
          <w:b/>
          <w:szCs w:val="21"/>
        </w:rPr>
      </w:pPr>
      <w:r>
        <w:rPr>
          <w:rFonts w:hint="eastAsia" w:ascii="仿宋_GB2312" w:eastAsia="仿宋_GB2312" w:cs="楷体_GB2312"/>
          <w:b/>
          <w:szCs w:val="21"/>
        </w:rPr>
        <w:t>客户在投资者签字栏签字的行为即表示客户已详细阅知《</w:t>
      </w:r>
      <w:r>
        <w:rPr>
          <w:rFonts w:hint="eastAsia" w:ascii="仿宋_GB2312" w:eastAsia="仿宋_GB2312"/>
          <w:b/>
          <w:color w:val="000000"/>
          <w:szCs w:val="21"/>
        </w:rPr>
        <w:t>浙江诸暨农村商业银行股份有限公司</w:t>
      </w:r>
      <w:r>
        <w:rPr>
          <w:rFonts w:hint="eastAsia" w:ascii="仿宋_GB2312" w:eastAsia="仿宋_GB2312" w:cs="楷体_GB2312"/>
          <w:b/>
          <w:szCs w:val="21"/>
        </w:rPr>
        <w:t>“</w:t>
      </w:r>
      <w:r>
        <w:rPr>
          <w:rFonts w:hint="eastAsia" w:ascii="仿宋_GB2312" w:eastAsia="仿宋_GB2312" w:cs="楷体_GB2312"/>
          <w:b/>
          <w:szCs w:val="21"/>
          <w:lang w:eastAsia="zh-CN"/>
        </w:rPr>
        <w:t>越福盈</w:t>
      </w:r>
      <w:r>
        <w:rPr>
          <w:rFonts w:hint="eastAsia" w:ascii="仿宋_GB2312" w:eastAsia="仿宋_GB2312" w:cs="楷体_GB2312"/>
          <w:b/>
          <w:szCs w:val="21"/>
        </w:rPr>
        <w:t>”</w:t>
      </w:r>
      <w:r>
        <w:rPr>
          <w:rFonts w:hint="eastAsia" w:ascii="仿宋_GB2312" w:eastAsia="仿宋_GB2312" w:cs="楷体_GB2312"/>
          <w:b/>
          <w:szCs w:val="21"/>
          <w:lang w:val="en-US" w:eastAsia="zh-CN"/>
        </w:rPr>
        <w:t>2023</w:t>
      </w:r>
      <w:r>
        <w:rPr>
          <w:rFonts w:ascii="仿宋_GB2312" w:eastAsia="仿宋_GB2312" w:cs="楷体_GB2312"/>
          <w:b/>
          <w:szCs w:val="21"/>
        </w:rPr>
        <w:t>年第</w:t>
      </w:r>
      <w:r>
        <w:rPr>
          <w:rFonts w:hint="eastAsia" w:ascii="仿宋_GB2312" w:eastAsia="仿宋_GB2312" w:cs="楷体_GB2312"/>
          <w:b/>
          <w:szCs w:val="21"/>
          <w:lang w:val="en-US" w:eastAsia="zh-CN"/>
        </w:rPr>
        <w:t>16</w:t>
      </w:r>
      <w:r>
        <w:rPr>
          <w:rFonts w:ascii="仿宋_GB2312" w:eastAsia="仿宋_GB2312" w:cs="楷体_GB2312"/>
          <w:b/>
          <w:szCs w:val="21"/>
        </w:rPr>
        <w:t>期</w:t>
      </w:r>
      <w:r>
        <w:rPr>
          <w:rFonts w:hint="eastAsia" w:ascii="仿宋_GB2312" w:eastAsia="仿宋_GB2312" w:cs="楷体_GB2312"/>
          <w:b/>
          <w:szCs w:val="21"/>
        </w:rPr>
        <w:t>封闭净值型人民币理财产品说明书》、《</w:t>
      </w:r>
      <w:r>
        <w:rPr>
          <w:rFonts w:hint="eastAsia" w:ascii="仿宋_GB2312" w:eastAsia="仿宋_GB2312"/>
          <w:b/>
          <w:color w:val="000000"/>
          <w:szCs w:val="21"/>
        </w:rPr>
        <w:t>浙江诸暨农村商业银行股份有限公司</w:t>
      </w:r>
      <w:r>
        <w:rPr>
          <w:rFonts w:hint="eastAsia" w:ascii="仿宋_GB2312" w:eastAsia="仿宋_GB2312" w:cs="楷体_GB2312"/>
          <w:b/>
          <w:szCs w:val="21"/>
        </w:rPr>
        <w:t>“</w:t>
      </w:r>
      <w:r>
        <w:rPr>
          <w:rFonts w:hint="eastAsia" w:ascii="仿宋_GB2312" w:eastAsia="仿宋_GB2312" w:cs="楷体_GB2312"/>
          <w:b/>
          <w:szCs w:val="21"/>
          <w:lang w:eastAsia="zh-CN"/>
        </w:rPr>
        <w:t>越福盈</w:t>
      </w:r>
      <w:r>
        <w:rPr>
          <w:rFonts w:hint="eastAsia" w:ascii="仿宋_GB2312" w:eastAsia="仿宋_GB2312" w:cs="楷体_GB2312"/>
          <w:b/>
          <w:szCs w:val="21"/>
        </w:rPr>
        <w:t>”</w:t>
      </w:r>
      <w:r>
        <w:rPr>
          <w:rFonts w:hint="eastAsia" w:ascii="仿宋_GB2312" w:eastAsia="仿宋_GB2312" w:cs="楷体_GB2312"/>
          <w:b/>
          <w:szCs w:val="21"/>
          <w:lang w:val="en-US" w:eastAsia="zh-CN"/>
        </w:rPr>
        <w:t>2023</w:t>
      </w:r>
      <w:r>
        <w:rPr>
          <w:rFonts w:ascii="仿宋_GB2312" w:eastAsia="仿宋_GB2312" w:cs="楷体_GB2312"/>
          <w:b/>
          <w:szCs w:val="21"/>
        </w:rPr>
        <w:t>年第</w:t>
      </w:r>
      <w:r>
        <w:rPr>
          <w:rFonts w:hint="eastAsia" w:ascii="仿宋_GB2312" w:eastAsia="仿宋_GB2312" w:cs="楷体_GB2312"/>
          <w:b/>
          <w:szCs w:val="21"/>
          <w:lang w:val="en-US" w:eastAsia="zh-CN"/>
        </w:rPr>
        <w:t>16</w:t>
      </w:r>
      <w:bookmarkStart w:id="0" w:name="_GoBack"/>
      <w:bookmarkEnd w:id="0"/>
      <w:r>
        <w:rPr>
          <w:rFonts w:ascii="仿宋_GB2312" w:eastAsia="仿宋_GB2312" w:cs="楷体_GB2312"/>
          <w:b/>
          <w:szCs w:val="21"/>
        </w:rPr>
        <w:t>期</w:t>
      </w:r>
      <w:r>
        <w:rPr>
          <w:rFonts w:hint="eastAsia" w:ascii="仿宋_GB2312" w:eastAsia="仿宋_GB2312" w:cs="楷体_GB2312"/>
          <w:b/>
          <w:szCs w:val="21"/>
        </w:rPr>
        <w:t>封闭净值型人民币理财产品风险揭示书》。</w:t>
      </w:r>
      <w:r>
        <w:rPr>
          <w:rFonts w:hint="eastAsia" w:ascii="仿宋_GB2312" w:eastAsia="仿宋_GB2312"/>
          <w:b/>
          <w:color w:val="000000"/>
          <w:szCs w:val="21"/>
        </w:rPr>
        <w:t>浙江诸暨农村商业银行股份有限公司</w:t>
      </w:r>
      <w:r>
        <w:rPr>
          <w:rFonts w:hint="eastAsia" w:ascii="仿宋_GB2312" w:eastAsia="仿宋_GB2312" w:cs="楷体_GB2312"/>
          <w:b/>
          <w:szCs w:val="21"/>
        </w:rPr>
        <w:t>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pPr>
        <w:pStyle w:val="6"/>
        <w:widowControl w:val="0"/>
        <w:kinsoku w:val="0"/>
        <w:autoSpaceDE w:val="0"/>
        <w:adjustRightInd w:val="0"/>
        <w:snapToGrid w:val="0"/>
        <w:spacing w:before="0" w:beforeAutospacing="0" w:after="0" w:afterAutospacing="0" w:line="300" w:lineRule="exact"/>
        <w:ind w:left="5664" w:leftChars="1666" w:hanging="2165" w:hangingChars="1027"/>
        <w:rPr>
          <w:rFonts w:ascii="仿宋_GB2312" w:eastAsia="仿宋_GB2312"/>
          <w:color w:val="000000"/>
          <w:szCs w:val="21"/>
        </w:rPr>
      </w:pPr>
      <w:r>
        <w:rPr>
          <w:rFonts w:hint="eastAsia" w:ascii="仿宋_GB2312" w:hAnsi="Times New Roman" w:eastAsia="仿宋_GB2312" w:cs="Times New Roman"/>
          <w:b/>
          <w:bCs/>
          <w:color w:val="000000"/>
          <w:sz w:val="21"/>
          <w:szCs w:val="21"/>
        </w:rPr>
        <w:t>投资者签字栏：</w:t>
      </w:r>
      <w:r>
        <w:rPr>
          <w:rFonts w:hint="eastAsia" w:ascii="仿宋_GB2312" w:hAnsi="Times New Roman" w:eastAsia="仿宋_GB2312" w:cs="Times New Roman"/>
          <w:b/>
          <w:bCs/>
          <w:color w:val="000000"/>
          <w:sz w:val="21"/>
          <w:szCs w:val="21"/>
          <w:u w:val="single"/>
        </w:rPr>
        <w:t xml:space="preserve">                                </w:t>
      </w:r>
      <w:r>
        <w:rPr>
          <w:rFonts w:hint="eastAsia" w:ascii="仿宋_GB2312" w:eastAsia="仿宋_GB2312"/>
          <w:color w:val="000000"/>
          <w:szCs w:val="21"/>
        </w:rPr>
        <w:t xml:space="preserve">                    年     月     日</w:t>
      </w:r>
    </w:p>
    <w:p>
      <w:pPr>
        <w:pStyle w:val="6"/>
        <w:widowControl w:val="0"/>
        <w:kinsoku w:val="0"/>
        <w:autoSpaceDE w:val="0"/>
        <w:adjustRightInd w:val="0"/>
        <w:snapToGrid w:val="0"/>
        <w:spacing w:before="0" w:beforeAutospacing="0" w:after="0" w:afterAutospacing="0" w:line="300" w:lineRule="exact"/>
        <w:rPr>
          <w:rFonts w:ascii="仿宋_GB2312" w:eastAsia="仿宋_GB2312"/>
          <w:b/>
          <w:color w:val="000000"/>
          <w:szCs w:val="21"/>
        </w:rPr>
      </w:pPr>
      <w:r>
        <w:rPr>
          <w:rFonts w:hint="eastAsia" w:ascii="仿宋_GB2312" w:eastAsia="仿宋_GB2312"/>
          <w:b/>
          <w:color w:val="000000"/>
          <w:szCs w:val="21"/>
        </w:rPr>
        <w:t>提示：如影响您风险承受能力的因素发生变化，请及时完成风险承受能力评估。</w:t>
      </w:r>
    </w:p>
    <w:p>
      <w:pPr>
        <w:pStyle w:val="6"/>
        <w:widowControl w:val="0"/>
        <w:kinsoku w:val="0"/>
        <w:autoSpaceDE w:val="0"/>
        <w:adjustRightInd w:val="0"/>
        <w:snapToGrid w:val="0"/>
        <w:spacing w:before="0" w:beforeAutospacing="0" w:after="0" w:afterAutospacing="0" w:line="336" w:lineRule="auto"/>
        <w:jc w:val="center"/>
        <w:rPr>
          <w:rFonts w:ascii="黑体" w:eastAsia="黑体"/>
          <w:sz w:val="32"/>
          <w:szCs w:val="32"/>
        </w:rPr>
      </w:pPr>
      <w:r>
        <w:rPr>
          <w:rFonts w:hint="eastAsia" w:ascii="黑体" w:eastAsia="黑体"/>
          <w:sz w:val="32"/>
          <w:szCs w:val="32"/>
        </w:rPr>
        <w:t>客户主动要求购买理财产品确认栏</w:t>
      </w:r>
    </w:p>
    <w:p>
      <w:pPr>
        <w:pStyle w:val="6"/>
        <w:widowControl w:val="0"/>
        <w:kinsoku w:val="0"/>
        <w:autoSpaceDE w:val="0"/>
        <w:adjustRightInd w:val="0"/>
        <w:snapToGrid w:val="0"/>
        <w:spacing w:before="0" w:beforeAutospacing="0" w:after="0" w:afterAutospacing="0" w:line="336" w:lineRule="auto"/>
        <w:jc w:val="center"/>
        <w:rPr>
          <w:rFonts w:ascii="楷体_GB2312" w:eastAsia="仿宋_GB2312"/>
          <w:b/>
          <w:bCs/>
          <w:sz w:val="21"/>
          <w:szCs w:val="21"/>
        </w:rPr>
      </w:pPr>
    </w:p>
    <w:tbl>
      <w:tblPr>
        <w:tblStyle w:val="10"/>
        <w:tblW w:w="89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11" w:hRule="atLeast"/>
        </w:trPr>
        <w:tc>
          <w:tcPr>
            <w:tcW w:w="8933" w:type="dxa"/>
            <w:vAlign w:val="top"/>
          </w:tcPr>
          <w:p>
            <w:pPr>
              <w:spacing w:line="336" w:lineRule="auto"/>
              <w:rPr>
                <w:rFonts w:eastAsia="仿宋_GB2312" w:cs="Arial Unicode MS"/>
                <w:color w:val="000000"/>
                <w:kern w:val="0"/>
                <w:szCs w:val="21"/>
              </w:rPr>
            </w:pPr>
            <w:r>
              <w:rPr>
                <w:rFonts w:hint="eastAsia" w:ascii="仿宋_GB2312" w:hAnsi="宋体" w:eastAsia="仿宋_GB2312"/>
                <w:b/>
                <w:color w:val="000000"/>
                <w:szCs w:val="21"/>
              </w:rPr>
              <w:t xml:space="preserve">    </w:t>
            </w:r>
            <w:r>
              <w:rPr>
                <w:rFonts w:hint="eastAsia" w:eastAsia="仿宋_GB2312" w:cs="Arial Unicode MS"/>
                <w:color w:val="000000"/>
                <w:kern w:val="0"/>
                <w:szCs w:val="21"/>
              </w:rPr>
              <w:t>根据监管部门的要求，为确保个人投资者充分理解本理财产品的风险，请在确认栏抄录以下语句并签名：</w:t>
            </w:r>
          </w:p>
          <w:p>
            <w:pPr>
              <w:autoSpaceDE w:val="0"/>
              <w:autoSpaceDN w:val="0"/>
              <w:spacing w:line="560" w:lineRule="exact"/>
              <w:rPr>
                <w:rFonts w:eastAsia="仿宋_GB2312" w:cs="Arial Unicode MS"/>
                <w:b/>
                <w:bCs/>
                <w:color w:val="000000"/>
                <w:kern w:val="0"/>
                <w:szCs w:val="21"/>
              </w:rPr>
            </w:pPr>
            <w:r>
              <w:rPr>
                <w:rFonts w:hint="eastAsia" w:eastAsia="仿宋_GB2312" w:cs="Arial Unicode MS"/>
                <w:b/>
                <w:bCs/>
                <w:color w:val="000000"/>
                <w:kern w:val="0"/>
                <w:szCs w:val="21"/>
              </w:rPr>
              <w:t>“本人已经阅读风险揭示，愿意承担投资风险。”</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u w:val="single"/>
              </w:rPr>
            </w:pPr>
            <w:r>
              <w:rPr>
                <w:rFonts w:hint="eastAsia" w:eastAsia="仿宋_GB2312" w:cs="Arial Unicode MS"/>
                <w:color w:val="000000"/>
                <w:kern w:val="0"/>
                <w:szCs w:val="21"/>
              </w:rPr>
              <w:t>投资者确认栏：</w:t>
            </w: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u w:val="single"/>
              </w:rPr>
            </w:pPr>
          </w:p>
          <w:p>
            <w:pPr>
              <w:spacing w:line="336" w:lineRule="auto"/>
              <w:rPr>
                <w:rFonts w:eastAsia="仿宋_GB2312" w:cs="Arial Unicode MS"/>
                <w:color w:val="000000"/>
                <w:kern w:val="0"/>
                <w:szCs w:val="21"/>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rPr>
                <w:rFonts w:eastAsia="仿宋_GB2312" w:cs="Arial Unicode MS"/>
                <w:color w:val="000000"/>
                <w:kern w:val="0"/>
                <w:szCs w:val="21"/>
                <w:u w:val="single"/>
              </w:rPr>
            </w:pPr>
            <w:r>
              <w:rPr>
                <w:rFonts w:hint="eastAsia" w:eastAsia="仿宋_GB2312" w:cs="Arial Unicode MS"/>
                <w:color w:val="000000"/>
                <w:kern w:val="0"/>
                <w:szCs w:val="21"/>
                <w:u w:val="single"/>
              </w:rPr>
              <w:t xml:space="preserve">                                                                                   </w:t>
            </w:r>
          </w:p>
          <w:p>
            <w:pPr>
              <w:spacing w:line="336" w:lineRule="auto"/>
              <w:rPr>
                <w:rFonts w:eastAsia="仿宋_GB2312" w:cs="Arial Unicode MS"/>
                <w:color w:val="000000"/>
                <w:kern w:val="0"/>
                <w:szCs w:val="21"/>
              </w:rPr>
            </w:pPr>
          </w:p>
          <w:p>
            <w:pPr>
              <w:spacing w:line="336" w:lineRule="auto"/>
              <w:ind w:firstLine="284"/>
              <w:rPr>
                <w:rFonts w:ascii="仿宋_GB2312" w:eastAsia="仿宋_GB2312"/>
                <w:b/>
                <w:color w:val="000000"/>
                <w:szCs w:val="21"/>
              </w:rPr>
            </w:pPr>
            <w:r>
              <w:rPr>
                <w:rFonts w:hint="eastAsia" w:eastAsia="仿宋_GB2312" w:cs="Arial Unicode MS"/>
                <w:color w:val="000000"/>
                <w:kern w:val="0"/>
                <w:szCs w:val="21"/>
              </w:rPr>
              <w:t>投资者签名：</w:t>
            </w:r>
            <w:r>
              <w:rPr>
                <w:rFonts w:hint="eastAsia" w:eastAsia="仿宋_GB2312" w:cs="Arial Unicode MS"/>
                <w:color w:val="000000"/>
                <w:kern w:val="0"/>
                <w:szCs w:val="21"/>
                <w:u w:val="single"/>
              </w:rPr>
              <w:t xml:space="preserve">                 </w:t>
            </w:r>
            <w:r>
              <w:rPr>
                <w:rFonts w:hint="eastAsia" w:eastAsia="仿宋_GB2312" w:cs="Arial Unicode MS"/>
                <w:color w:val="000000"/>
                <w:kern w:val="0"/>
                <w:szCs w:val="21"/>
              </w:rPr>
              <w:t xml:space="preserve">                       </w:t>
            </w:r>
            <w:r>
              <w:rPr>
                <w:rFonts w:hint="eastAsia" w:ascii="楷体_GB2312" w:eastAsia="仿宋_GB2312"/>
                <w:color w:val="000000"/>
                <w:szCs w:val="21"/>
                <w:u w:val="single"/>
              </w:rPr>
              <w:t xml:space="preserve">        </w:t>
            </w:r>
            <w:r>
              <w:rPr>
                <w:rFonts w:hint="eastAsia" w:ascii="楷体_GB2312" w:eastAsia="仿宋_GB2312"/>
                <w:color w:val="000000"/>
                <w:szCs w:val="21"/>
              </w:rPr>
              <w:t>年</w:t>
            </w:r>
            <w:r>
              <w:rPr>
                <w:rFonts w:hint="eastAsia" w:ascii="楷体_GB2312" w:eastAsia="仿宋_GB2312"/>
                <w:color w:val="000000"/>
                <w:szCs w:val="21"/>
                <w:u w:val="single"/>
              </w:rPr>
              <w:t xml:space="preserve">     </w:t>
            </w:r>
            <w:r>
              <w:rPr>
                <w:rFonts w:hint="eastAsia" w:ascii="楷体_GB2312" w:eastAsia="仿宋_GB2312"/>
                <w:color w:val="000000"/>
                <w:szCs w:val="21"/>
              </w:rPr>
              <w:t>月</w:t>
            </w:r>
            <w:r>
              <w:rPr>
                <w:rFonts w:hint="eastAsia" w:ascii="楷体_GB2312" w:eastAsia="仿宋_GB2312"/>
                <w:color w:val="000000"/>
                <w:szCs w:val="21"/>
                <w:u w:val="single"/>
              </w:rPr>
              <w:t xml:space="preserve">      </w:t>
            </w:r>
            <w:r>
              <w:rPr>
                <w:rFonts w:hint="eastAsia" w:ascii="楷体_GB2312" w:eastAsia="仿宋_GB2312"/>
                <w:color w:val="000000"/>
                <w:szCs w:val="21"/>
              </w:rPr>
              <w:t>日</w:t>
            </w:r>
          </w:p>
        </w:tc>
      </w:tr>
    </w:tbl>
    <w:p>
      <w:pPr>
        <w:spacing w:line="400" w:lineRule="exact"/>
        <w:rPr>
          <w:rFonts w:ascii="宋体" w:hAnsi="宋体" w:eastAsia="仿宋_GB2312"/>
          <w:b/>
          <w:kern w:val="0"/>
          <w:szCs w:val="21"/>
        </w:rPr>
      </w:pPr>
    </w:p>
    <w:p>
      <w:pPr>
        <w:spacing w:line="340" w:lineRule="exact"/>
        <w:jc w:val="left"/>
        <w:rPr>
          <w:rFonts w:eastAsia="仿宋_GB2312"/>
          <w:sz w:val="32"/>
          <w:szCs w:val="32"/>
        </w:rPr>
      </w:pPr>
    </w:p>
    <w:p>
      <w:pPr>
        <w:spacing w:line="340" w:lineRule="exact"/>
        <w:jc w:val="left"/>
        <w:rPr>
          <w:rFonts w:eastAsia="仿宋_GB2312"/>
          <w:sz w:val="32"/>
          <w:szCs w:val="32"/>
        </w:rPr>
      </w:pPr>
    </w:p>
    <w:p>
      <w:pPr>
        <w:spacing w:line="340" w:lineRule="exact"/>
        <w:jc w:val="left"/>
        <w:rPr>
          <w:rFonts w:eastAsia="仿宋_GB2312"/>
          <w:sz w:val="32"/>
          <w:szCs w:val="32"/>
        </w:rPr>
      </w:pPr>
    </w:p>
    <w:p>
      <w:pPr>
        <w:jc w:val="center"/>
      </w:pPr>
    </w:p>
    <w:p>
      <w:pPr>
        <w:spacing w:line="580" w:lineRule="exact"/>
        <w:jc w:val="center"/>
      </w:pPr>
    </w:p>
    <w:p>
      <w:pPr>
        <w:rPr>
          <w:szCs w:val="28"/>
        </w:rPr>
      </w:pP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MV Boli"/>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F7FFAFFF" w:usb1="E9DFFFFF"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jc w:val="right"/>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750E6"/>
    <w:rsid w:val="001002CC"/>
    <w:rsid w:val="00121F34"/>
    <w:rsid w:val="0012568B"/>
    <w:rsid w:val="001C6DE5"/>
    <w:rsid w:val="0025451E"/>
    <w:rsid w:val="002B63D7"/>
    <w:rsid w:val="002F7C46"/>
    <w:rsid w:val="00324B18"/>
    <w:rsid w:val="003F23CD"/>
    <w:rsid w:val="004772B3"/>
    <w:rsid w:val="00496C69"/>
    <w:rsid w:val="00536AE4"/>
    <w:rsid w:val="005675B0"/>
    <w:rsid w:val="005926B2"/>
    <w:rsid w:val="005E457B"/>
    <w:rsid w:val="006077EE"/>
    <w:rsid w:val="00630B76"/>
    <w:rsid w:val="006F24F1"/>
    <w:rsid w:val="006F4D74"/>
    <w:rsid w:val="007450F5"/>
    <w:rsid w:val="008622B0"/>
    <w:rsid w:val="008655FF"/>
    <w:rsid w:val="00A05F70"/>
    <w:rsid w:val="00A330E5"/>
    <w:rsid w:val="00A90718"/>
    <w:rsid w:val="00AB069D"/>
    <w:rsid w:val="00B6623C"/>
    <w:rsid w:val="00B76C90"/>
    <w:rsid w:val="00CB711A"/>
    <w:rsid w:val="00D033C5"/>
    <w:rsid w:val="00D72487"/>
    <w:rsid w:val="00D801A1"/>
    <w:rsid w:val="00DD246B"/>
    <w:rsid w:val="00E50E43"/>
    <w:rsid w:val="00E62613"/>
    <w:rsid w:val="00E7377E"/>
    <w:rsid w:val="00E750E6"/>
    <w:rsid w:val="00F16BD7"/>
    <w:rsid w:val="00FD7079"/>
    <w:rsid w:val="013E2E29"/>
    <w:rsid w:val="019D2C3B"/>
    <w:rsid w:val="02CD7093"/>
    <w:rsid w:val="039B09E5"/>
    <w:rsid w:val="0538170B"/>
    <w:rsid w:val="05664B3C"/>
    <w:rsid w:val="0A0838DF"/>
    <w:rsid w:val="0C616F8E"/>
    <w:rsid w:val="0CD50671"/>
    <w:rsid w:val="0D7E6549"/>
    <w:rsid w:val="0E696509"/>
    <w:rsid w:val="0F7D1BAF"/>
    <w:rsid w:val="0FBB7B78"/>
    <w:rsid w:val="0FBE540A"/>
    <w:rsid w:val="10420EE4"/>
    <w:rsid w:val="10D046F9"/>
    <w:rsid w:val="10D23D2B"/>
    <w:rsid w:val="10E5568F"/>
    <w:rsid w:val="128846F4"/>
    <w:rsid w:val="14224D24"/>
    <w:rsid w:val="1432583F"/>
    <w:rsid w:val="18B11959"/>
    <w:rsid w:val="19660948"/>
    <w:rsid w:val="1AD75B1F"/>
    <w:rsid w:val="1BD1582E"/>
    <w:rsid w:val="1D4443DA"/>
    <w:rsid w:val="1E4403C1"/>
    <w:rsid w:val="1E9957EB"/>
    <w:rsid w:val="1F4A46F8"/>
    <w:rsid w:val="1FB50614"/>
    <w:rsid w:val="200D337D"/>
    <w:rsid w:val="209B507C"/>
    <w:rsid w:val="23003977"/>
    <w:rsid w:val="2348125C"/>
    <w:rsid w:val="24806F6C"/>
    <w:rsid w:val="267D13BF"/>
    <w:rsid w:val="28A10580"/>
    <w:rsid w:val="2912205D"/>
    <w:rsid w:val="299F21A0"/>
    <w:rsid w:val="29C2061D"/>
    <w:rsid w:val="2AB863F9"/>
    <w:rsid w:val="2DCA1565"/>
    <w:rsid w:val="30D242CE"/>
    <w:rsid w:val="30D91C3E"/>
    <w:rsid w:val="31097913"/>
    <w:rsid w:val="322261F8"/>
    <w:rsid w:val="32742A28"/>
    <w:rsid w:val="34EB774D"/>
    <w:rsid w:val="35C94795"/>
    <w:rsid w:val="36A805C2"/>
    <w:rsid w:val="38CA0E12"/>
    <w:rsid w:val="396667F8"/>
    <w:rsid w:val="3995524F"/>
    <w:rsid w:val="3ADD75F4"/>
    <w:rsid w:val="3BB03806"/>
    <w:rsid w:val="3BFF7424"/>
    <w:rsid w:val="3C360954"/>
    <w:rsid w:val="3C3A59E5"/>
    <w:rsid w:val="3CA2410F"/>
    <w:rsid w:val="3D17061D"/>
    <w:rsid w:val="3D8002FD"/>
    <w:rsid w:val="3ED2031B"/>
    <w:rsid w:val="3FF929CB"/>
    <w:rsid w:val="414A23A8"/>
    <w:rsid w:val="423A07E5"/>
    <w:rsid w:val="43BA7C62"/>
    <w:rsid w:val="43E83517"/>
    <w:rsid w:val="45966347"/>
    <w:rsid w:val="46523C6D"/>
    <w:rsid w:val="4CB50FD4"/>
    <w:rsid w:val="4E5F607C"/>
    <w:rsid w:val="4EA1366B"/>
    <w:rsid w:val="4F1E6203"/>
    <w:rsid w:val="5036278D"/>
    <w:rsid w:val="53A053CC"/>
    <w:rsid w:val="549E1B6A"/>
    <w:rsid w:val="54F2283A"/>
    <w:rsid w:val="55F364E3"/>
    <w:rsid w:val="57390FA5"/>
    <w:rsid w:val="58A77C5A"/>
    <w:rsid w:val="59AF4ABD"/>
    <w:rsid w:val="59E533EB"/>
    <w:rsid w:val="5BF44E43"/>
    <w:rsid w:val="5D4E44ED"/>
    <w:rsid w:val="5D82211C"/>
    <w:rsid w:val="5DB81F62"/>
    <w:rsid w:val="5E6019F2"/>
    <w:rsid w:val="5EDF3140"/>
    <w:rsid w:val="60097B52"/>
    <w:rsid w:val="6019784A"/>
    <w:rsid w:val="60943F66"/>
    <w:rsid w:val="61574FF0"/>
    <w:rsid w:val="62530731"/>
    <w:rsid w:val="645F5DA7"/>
    <w:rsid w:val="64B17CE3"/>
    <w:rsid w:val="64C652C5"/>
    <w:rsid w:val="661D5966"/>
    <w:rsid w:val="6738169E"/>
    <w:rsid w:val="690028D2"/>
    <w:rsid w:val="69AB15FE"/>
    <w:rsid w:val="69E8449F"/>
    <w:rsid w:val="6A6C1B33"/>
    <w:rsid w:val="6AEF6D64"/>
    <w:rsid w:val="6B6F7078"/>
    <w:rsid w:val="6BD95E0D"/>
    <w:rsid w:val="6C1317E5"/>
    <w:rsid w:val="6E0A7929"/>
    <w:rsid w:val="6E0D4912"/>
    <w:rsid w:val="6F47760C"/>
    <w:rsid w:val="703A7F55"/>
    <w:rsid w:val="718810E0"/>
    <w:rsid w:val="71926A1A"/>
    <w:rsid w:val="74B76D1A"/>
    <w:rsid w:val="75BA5698"/>
    <w:rsid w:val="771F21C6"/>
    <w:rsid w:val="7A712E20"/>
    <w:rsid w:val="7AD450C3"/>
    <w:rsid w:val="7CB13D2C"/>
    <w:rsid w:val="7CFE22B4"/>
    <w:rsid w:val="7D7F0F3B"/>
    <w:rsid w:val="7DED31BE"/>
    <w:rsid w:val="7EE348A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Body Text"/>
    <w:basedOn w:val="1"/>
    <w:link w:val="14"/>
    <w:qFormat/>
    <w:uiPriority w:val="0"/>
    <w:pPr>
      <w:spacing w:after="120"/>
    </w:pPr>
    <w:rPr>
      <w:rFonts w:ascii="Times New Roman" w:hAnsi="Times New Roman"/>
      <w:kern w:val="0"/>
      <w:sz w:val="20"/>
      <w:szCs w:val="24"/>
    </w:rPr>
  </w:style>
  <w:style w:type="paragraph" w:styleId="3">
    <w:name w:val="Balloon Text"/>
    <w:basedOn w:val="1"/>
    <w:link w:val="15"/>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rPr>
  </w:style>
  <w:style w:type="character" w:styleId="9">
    <w:name w:val="page number"/>
    <w:qFormat/>
    <w:uiPriority w:val="0"/>
  </w:style>
  <w:style w:type="paragraph" w:customStyle="1" w:styleId="11">
    <w:name w:val="List Paragraph"/>
    <w:basedOn w:val="1"/>
    <w:qFormat/>
    <w:uiPriority w:val="34"/>
    <w:pPr>
      <w:ind w:firstLine="420" w:firstLineChars="200"/>
    </w:pPr>
  </w:style>
  <w:style w:type="character" w:customStyle="1" w:styleId="12">
    <w:name w:val="页眉 Char"/>
    <w:basedOn w:val="7"/>
    <w:link w:val="5"/>
    <w:semiHidden/>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正文文本 Char"/>
    <w:basedOn w:val="7"/>
    <w:link w:val="2"/>
    <w:uiPriority w:val="0"/>
    <w:rPr>
      <w:rFonts w:ascii="Times New Roman" w:hAnsi="Times New Roman" w:eastAsia="宋体" w:cs="Times New Roman"/>
      <w:kern w:val="0"/>
      <w:sz w:val="20"/>
      <w:szCs w:val="24"/>
    </w:rPr>
  </w:style>
  <w:style w:type="character" w:customStyle="1" w:styleId="15">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Company>
  <Pages>2</Pages>
  <Words>299</Words>
  <Characters>1710</Characters>
  <Lines>14</Lines>
  <Paragraphs>4</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2018-07-31T08:48:00Z</dcterms:created>
  <dc:creator>OA-Server-59</dc:creator>
  <cp:lastModifiedBy>User</cp:lastModifiedBy>
  <dcterms:modified xsi:type="dcterms:W3CDTF">2023-03-13T07:09:53Z</dcterms:modified>
  <dc:title>浙江诸暨农村商业银行股份有限公司“丰收·信福”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