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DD" w:rsidRDefault="00F32CDD" w:rsidP="00F32CDD">
      <w:pPr>
        <w:adjustRightInd w:val="0"/>
        <w:snapToGrid w:val="0"/>
        <w:spacing w:line="460" w:lineRule="exact"/>
        <w:ind w:firstLineChars="200" w:firstLine="560"/>
        <w:rPr>
          <w:rFonts w:ascii="仿宋_GB2312" w:eastAsia="仿宋_GB2312" w:hAnsi="宋体"/>
          <w:spacing w:val="10"/>
          <w:sz w:val="24"/>
          <w:shd w:val="clear" w:color="auto" w:fill="FFFFFF"/>
        </w:rPr>
      </w:pPr>
      <w:r>
        <w:rPr>
          <w:rFonts w:ascii="仿宋_GB2312" w:eastAsia="仿宋_GB2312" w:hAnsi="宋体" w:hint="eastAsia"/>
          <w:sz w:val="28"/>
          <w:szCs w:val="28"/>
          <w:shd w:val="clear" w:color="auto" w:fill="FFFFFF"/>
        </w:rPr>
        <w:t>附件6：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4"/>
      </w:tblGrid>
      <w:tr w:rsidR="00F32CDD" w:rsidTr="006945CC">
        <w:trPr>
          <w:trHeight w:hRule="exact" w:val="2582"/>
          <w:tblHeader/>
          <w:jc w:val="center"/>
        </w:trPr>
        <w:tc>
          <w:tcPr>
            <w:tcW w:w="9924" w:type="dxa"/>
            <w:tcBorders>
              <w:top w:val="dashed" w:sz="4" w:space="0" w:color="auto"/>
              <w:left w:val="dashed" w:sz="4" w:space="0" w:color="auto"/>
              <w:bottom w:val="single" w:sz="4" w:space="0" w:color="auto"/>
              <w:right w:val="dashed"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3936"/>
              <w:gridCol w:w="2724"/>
            </w:tblGrid>
            <w:tr w:rsidR="00F32CDD" w:rsidTr="006945CC">
              <w:trPr>
                <w:trHeight w:val="1541"/>
              </w:trPr>
              <w:tc>
                <w:tcPr>
                  <w:tcW w:w="3048" w:type="dxa"/>
                  <w:tcBorders>
                    <w:left w:val="nil"/>
                    <w:bottom w:val="nil"/>
                    <w:right w:val="nil"/>
                  </w:tcBorders>
                  <w:vAlign w:val="center"/>
                </w:tcPr>
                <w:p w:rsidR="00F32CDD" w:rsidRDefault="00F32CDD" w:rsidP="006945CC">
                  <w:pPr>
                    <w:jc w:val="center"/>
                    <w:rPr>
                      <w:b/>
                      <w:sz w:val="52"/>
                      <w:szCs w:val="52"/>
                      <w:shd w:val="clear" w:color="auto" w:fill="FFFFFF"/>
                    </w:rPr>
                  </w:pPr>
                  <w:r>
                    <w:rPr>
                      <w:rFonts w:hint="eastAsia"/>
                      <w:b/>
                      <w:sz w:val="52"/>
                      <w:szCs w:val="52"/>
                      <w:shd w:val="clear" w:color="auto" w:fill="FFFFFF"/>
                    </w:rPr>
                    <w:t>行标与行名</w:t>
                  </w:r>
                </w:p>
              </w:tc>
              <w:tc>
                <w:tcPr>
                  <w:tcW w:w="3936" w:type="dxa"/>
                  <w:vMerge w:val="restart"/>
                  <w:tcBorders>
                    <w:left w:val="nil"/>
                    <w:right w:val="nil"/>
                  </w:tcBorders>
                  <w:vAlign w:val="center"/>
                </w:tcPr>
                <w:p w:rsidR="00F32CDD" w:rsidRDefault="00F32CDD" w:rsidP="006945CC">
                  <w:pPr>
                    <w:jc w:val="center"/>
                    <w:rPr>
                      <w:b/>
                      <w:sz w:val="30"/>
                      <w:szCs w:val="30"/>
                      <w:shd w:val="clear" w:color="auto" w:fill="FFFFFF"/>
                    </w:rPr>
                  </w:pPr>
                  <w:r>
                    <w:rPr>
                      <w:rFonts w:hint="eastAsia"/>
                      <w:b/>
                      <w:sz w:val="30"/>
                      <w:szCs w:val="30"/>
                      <w:shd w:val="clear" w:color="auto" w:fill="FFFFFF"/>
                    </w:rPr>
                    <w:t>诸暨农商银行</w:t>
                  </w:r>
                </w:p>
                <w:p w:rsidR="00F32CDD" w:rsidRDefault="00F32CDD" w:rsidP="006945CC">
                  <w:pPr>
                    <w:jc w:val="center"/>
                    <w:rPr>
                      <w:b/>
                      <w:sz w:val="30"/>
                      <w:szCs w:val="30"/>
                      <w:shd w:val="clear" w:color="auto" w:fill="FFFFFF"/>
                    </w:rPr>
                  </w:pPr>
                  <w:r>
                    <w:rPr>
                      <w:rFonts w:hint="eastAsia"/>
                      <w:b/>
                      <w:sz w:val="30"/>
                      <w:szCs w:val="30"/>
                      <w:shd w:val="clear" w:color="auto" w:fill="FFFFFF"/>
                    </w:rPr>
                    <w:t>理财产品协议书</w:t>
                  </w:r>
                </w:p>
              </w:tc>
              <w:tc>
                <w:tcPr>
                  <w:tcW w:w="2724" w:type="dxa"/>
                  <w:tcBorders>
                    <w:left w:val="nil"/>
                    <w:bottom w:val="nil"/>
                    <w:right w:val="nil"/>
                  </w:tcBorders>
                  <w:vAlign w:val="center"/>
                </w:tcPr>
                <w:p w:rsidR="00F32CDD" w:rsidRDefault="00F32CDD" w:rsidP="006945CC">
                  <w:pPr>
                    <w:jc w:val="center"/>
                    <w:rPr>
                      <w:b/>
                      <w:sz w:val="52"/>
                      <w:szCs w:val="52"/>
                      <w:shd w:val="clear" w:color="auto" w:fill="FFFFFF"/>
                    </w:rPr>
                  </w:pPr>
                  <w:r>
                    <w:rPr>
                      <w:rFonts w:hint="eastAsia"/>
                      <w:b/>
                      <w:sz w:val="52"/>
                      <w:szCs w:val="52"/>
                      <w:shd w:val="clear" w:color="auto" w:fill="FFFFFF"/>
                    </w:rPr>
                    <w:t>产品标志</w:t>
                  </w:r>
                </w:p>
              </w:tc>
            </w:tr>
            <w:tr w:rsidR="00F32CDD" w:rsidTr="006945CC">
              <w:trPr>
                <w:trHeight w:val="1842"/>
              </w:trPr>
              <w:tc>
                <w:tcPr>
                  <w:tcW w:w="3048" w:type="dxa"/>
                  <w:tcBorders>
                    <w:top w:val="nil"/>
                    <w:left w:val="nil"/>
                    <w:right w:val="nil"/>
                  </w:tcBorders>
                </w:tcPr>
                <w:p w:rsidR="00F32CDD" w:rsidRDefault="00F32CDD" w:rsidP="006945CC">
                  <w:pPr>
                    <w:ind w:firstLineChars="200" w:firstLine="360"/>
                    <w:rPr>
                      <w:sz w:val="18"/>
                      <w:szCs w:val="18"/>
                      <w:shd w:val="clear" w:color="auto" w:fill="FFFFFF"/>
                    </w:rPr>
                  </w:pPr>
                </w:p>
                <w:p w:rsidR="00F32CDD" w:rsidRDefault="00F32CDD" w:rsidP="006945CC">
                  <w:pPr>
                    <w:rPr>
                      <w:sz w:val="18"/>
                      <w:szCs w:val="18"/>
                      <w:shd w:val="clear" w:color="auto" w:fill="FFFFFF"/>
                    </w:rPr>
                  </w:pPr>
                  <w:r>
                    <w:rPr>
                      <w:rFonts w:hint="eastAsia"/>
                      <w:sz w:val="18"/>
                      <w:szCs w:val="18"/>
                      <w:shd w:val="clear" w:color="auto" w:fill="FFFFFF"/>
                    </w:rPr>
                    <w:t>客服热线：</w:t>
                  </w:r>
                </w:p>
                <w:p w:rsidR="00F32CDD" w:rsidRDefault="00F32CDD" w:rsidP="006945CC">
                  <w:pPr>
                    <w:rPr>
                      <w:sz w:val="18"/>
                      <w:szCs w:val="18"/>
                      <w:shd w:val="clear" w:color="auto" w:fill="FFFFFF"/>
                    </w:rPr>
                  </w:pPr>
                </w:p>
              </w:tc>
              <w:tc>
                <w:tcPr>
                  <w:tcW w:w="3936" w:type="dxa"/>
                  <w:vMerge/>
                  <w:tcBorders>
                    <w:left w:val="nil"/>
                    <w:right w:val="nil"/>
                  </w:tcBorders>
                </w:tcPr>
                <w:p w:rsidR="00F32CDD" w:rsidRDefault="00F32CDD" w:rsidP="006945CC">
                  <w:pPr>
                    <w:jc w:val="center"/>
                    <w:rPr>
                      <w:b/>
                      <w:szCs w:val="21"/>
                      <w:shd w:val="clear" w:color="auto" w:fill="FFFFFF"/>
                    </w:rPr>
                  </w:pPr>
                </w:p>
              </w:tc>
              <w:tc>
                <w:tcPr>
                  <w:tcW w:w="2724" w:type="dxa"/>
                  <w:tcBorders>
                    <w:top w:val="nil"/>
                    <w:left w:val="nil"/>
                    <w:right w:val="nil"/>
                  </w:tcBorders>
                </w:tcPr>
                <w:p w:rsidR="00F32CDD" w:rsidRDefault="00F32CDD" w:rsidP="006945CC">
                  <w:pPr>
                    <w:rPr>
                      <w:sz w:val="18"/>
                      <w:szCs w:val="18"/>
                      <w:shd w:val="clear" w:color="auto" w:fill="FFFFFF"/>
                    </w:rPr>
                  </w:pPr>
                  <w:r>
                    <w:rPr>
                      <w:rFonts w:hint="eastAsia"/>
                      <w:sz w:val="18"/>
                      <w:szCs w:val="18"/>
                      <w:shd w:val="clear" w:color="auto" w:fill="FFFFFF"/>
                    </w:rPr>
                    <w:t>协议书编号：</w:t>
                  </w:r>
                </w:p>
                <w:p w:rsidR="00F32CDD" w:rsidRDefault="00F32CDD" w:rsidP="006945CC">
                  <w:pPr>
                    <w:rPr>
                      <w:b/>
                      <w:szCs w:val="21"/>
                      <w:shd w:val="clear" w:color="auto" w:fill="FFFFFF"/>
                    </w:rPr>
                  </w:pPr>
                  <w:r>
                    <w:rPr>
                      <w:rFonts w:hint="eastAsia"/>
                      <w:sz w:val="18"/>
                      <w:szCs w:val="18"/>
                      <w:shd w:val="clear" w:color="auto" w:fill="FFFFFF"/>
                    </w:rPr>
                    <w:t>网址</w:t>
                  </w:r>
                  <w:r>
                    <w:rPr>
                      <w:rFonts w:hint="eastAsia"/>
                      <w:sz w:val="18"/>
                      <w:szCs w:val="18"/>
                      <w:shd w:val="clear" w:color="auto" w:fill="FFFFFF"/>
                    </w:rPr>
                    <w:t>:</w:t>
                  </w:r>
                </w:p>
              </w:tc>
            </w:tr>
          </w:tbl>
          <w:p w:rsidR="00F32CDD" w:rsidRDefault="00F32CDD" w:rsidP="006945CC">
            <w:pPr>
              <w:jc w:val="center"/>
              <w:rPr>
                <w:b/>
                <w:szCs w:val="21"/>
                <w:shd w:val="clear" w:color="auto" w:fill="FFFFFF"/>
              </w:rPr>
            </w:pPr>
          </w:p>
        </w:tc>
      </w:tr>
      <w:tr w:rsidR="00F32CDD" w:rsidTr="006945CC">
        <w:trPr>
          <w:trHeight w:hRule="exact" w:val="312"/>
          <w:jc w:val="center"/>
        </w:trPr>
        <w:tc>
          <w:tcPr>
            <w:tcW w:w="9924" w:type="dxa"/>
            <w:tcBorders>
              <w:top w:val="single" w:sz="4" w:space="0" w:color="auto"/>
            </w:tcBorders>
            <w:shd w:val="clear" w:color="auto" w:fill="666666"/>
          </w:tcPr>
          <w:p w:rsidR="00F32CDD" w:rsidRDefault="00F32CDD" w:rsidP="006945CC">
            <w:pPr>
              <w:jc w:val="center"/>
              <w:rPr>
                <w:b/>
                <w:shd w:val="clear" w:color="auto" w:fill="FFFFFF"/>
              </w:rPr>
            </w:pPr>
            <w:r>
              <w:rPr>
                <w:rFonts w:hint="eastAsia"/>
                <w:b/>
                <w:shd w:val="clear" w:color="auto" w:fill="FFFFFF"/>
              </w:rPr>
              <w:t>交易内容</w:t>
            </w:r>
          </w:p>
        </w:tc>
      </w:tr>
    </w:tbl>
    <w:p w:rsidR="00F32CDD" w:rsidRDefault="00F32CDD" w:rsidP="00F32CDD">
      <w:pPr>
        <w:rPr>
          <w:vanish/>
          <w:sz w:val="18"/>
          <w:szCs w:val="18"/>
          <w:shd w:val="clear" w:color="auto" w:fill="FFFFFF"/>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F32CDD" w:rsidTr="006945CC">
        <w:trPr>
          <w:trHeight w:val="2538"/>
        </w:trPr>
        <w:tc>
          <w:tcPr>
            <w:tcW w:w="9923" w:type="dxa"/>
            <w:vAlign w:val="center"/>
          </w:tcPr>
          <w:p w:rsidR="00F32CDD" w:rsidRDefault="00F32CDD" w:rsidP="006945CC">
            <w:pPr>
              <w:rPr>
                <w:b/>
                <w:shd w:val="clear" w:color="auto" w:fill="FFFFFF"/>
              </w:rPr>
            </w:pPr>
          </w:p>
        </w:tc>
      </w:tr>
      <w:tr w:rsidR="00F32CDD" w:rsidTr="006945CC">
        <w:trPr>
          <w:trHeight w:hRule="exact" w:val="369"/>
        </w:trPr>
        <w:tc>
          <w:tcPr>
            <w:tcW w:w="9923" w:type="dxa"/>
            <w:shd w:val="clear" w:color="auto" w:fill="606060"/>
            <w:vAlign w:val="center"/>
          </w:tcPr>
          <w:p w:rsidR="00F32CDD" w:rsidRDefault="00F32CDD" w:rsidP="006945CC">
            <w:pPr>
              <w:jc w:val="center"/>
              <w:rPr>
                <w:b/>
                <w:shd w:val="clear" w:color="auto" w:fill="FFFFFF"/>
              </w:rPr>
            </w:pPr>
            <w:r>
              <w:rPr>
                <w:rFonts w:hint="eastAsia"/>
                <w:b/>
                <w:shd w:val="clear" w:color="auto" w:fill="FFFFFF"/>
              </w:rPr>
              <w:t>合约签约栏</w:t>
            </w:r>
          </w:p>
        </w:tc>
      </w:tr>
      <w:tr w:rsidR="00F32CDD" w:rsidTr="006945CC">
        <w:trPr>
          <w:trHeight w:val="7254"/>
        </w:trPr>
        <w:tc>
          <w:tcPr>
            <w:tcW w:w="9923" w:type="dxa"/>
          </w:tcPr>
          <w:p w:rsidR="00F32CDD" w:rsidRDefault="00F32CDD" w:rsidP="006945CC">
            <w:pPr>
              <w:rPr>
                <w:b/>
                <w:shd w:val="clear" w:color="auto" w:fill="FFFFFF"/>
              </w:rPr>
            </w:pPr>
            <w:r>
              <w:rPr>
                <w:rFonts w:hint="eastAsia"/>
                <w:b/>
                <w:shd w:val="clear" w:color="auto" w:fill="FFFFFF"/>
              </w:rPr>
              <w:t>特别提示：</w:t>
            </w:r>
          </w:p>
          <w:p w:rsidR="00F32CDD" w:rsidRDefault="00F32CDD" w:rsidP="006945CC">
            <w:pPr>
              <w:rPr>
                <w:sz w:val="18"/>
                <w:szCs w:val="18"/>
                <w:shd w:val="clear" w:color="auto" w:fill="FFFFFF"/>
              </w:rPr>
            </w:pPr>
            <w:r>
              <w:rPr>
                <w:rFonts w:hint="eastAsia"/>
                <w:sz w:val="18"/>
                <w:szCs w:val="18"/>
                <w:shd w:val="clear" w:color="auto" w:fill="FFFFFF"/>
              </w:rPr>
              <w:t>●本协议书与交易内容中所记载的产品说明书共同构成客户与发行银行之间的银行理财产品交易合同（以下简称：本合同），客户在认真阅读上述文件后签署本合同。</w:t>
            </w:r>
          </w:p>
          <w:p w:rsidR="00F32CDD" w:rsidRDefault="00F32CDD" w:rsidP="006945CC">
            <w:pPr>
              <w:rPr>
                <w:sz w:val="18"/>
                <w:szCs w:val="18"/>
                <w:shd w:val="clear" w:color="auto" w:fill="FFFFFF"/>
              </w:rPr>
            </w:pPr>
            <w:r>
              <w:rPr>
                <w:rFonts w:hint="eastAsia"/>
                <w:sz w:val="18"/>
                <w:szCs w:val="18"/>
                <w:shd w:val="clear" w:color="auto" w:fill="FFFFFF"/>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F32CDD" w:rsidRDefault="00F32CDD" w:rsidP="006945CC">
            <w:pPr>
              <w:rPr>
                <w:sz w:val="18"/>
                <w:szCs w:val="18"/>
                <w:shd w:val="clear" w:color="auto" w:fill="FFFFFF"/>
              </w:rPr>
            </w:pPr>
            <w:r>
              <w:rPr>
                <w:rFonts w:hint="eastAsia"/>
                <w:sz w:val="18"/>
                <w:szCs w:val="18"/>
                <w:shd w:val="clear" w:color="auto" w:fill="FFFFFF"/>
              </w:rPr>
              <w:t>●客户签署本协议书则被视为已详细阅读过本协议书及交易内容中记载的新产品说明书，并充分理解相关的收益和潜在风险。自愿购买，并遵守本合同项下的各项规定。</w:t>
            </w:r>
          </w:p>
          <w:p w:rsidR="00F32CDD" w:rsidRDefault="00F32CDD" w:rsidP="006945CC">
            <w:pPr>
              <w:spacing w:line="280" w:lineRule="exact"/>
              <w:rPr>
                <w:b/>
                <w:sz w:val="20"/>
                <w:shd w:val="clear" w:color="auto" w:fill="FFFFFF"/>
              </w:rPr>
            </w:pPr>
          </w:p>
          <w:p w:rsidR="00F32CDD" w:rsidRDefault="00F32CDD" w:rsidP="006945CC">
            <w:pPr>
              <w:spacing w:line="280" w:lineRule="exact"/>
              <w:rPr>
                <w:b/>
                <w:sz w:val="20"/>
                <w:shd w:val="clear" w:color="auto" w:fill="FFFFFF"/>
              </w:rPr>
            </w:pPr>
            <w:r>
              <w:rPr>
                <w:rFonts w:ascii="仿宋_GB2312" w:hint="eastAsia"/>
                <w:b/>
                <w:sz w:val="20"/>
                <w:shd w:val="clear" w:color="auto" w:fill="FFFFFF"/>
              </w:rPr>
              <w:t>□</w:t>
            </w:r>
            <w:r>
              <w:rPr>
                <w:rFonts w:hint="eastAsia"/>
                <w:b/>
                <w:sz w:val="20"/>
                <w:shd w:val="clear" w:color="auto" w:fill="FFFFFF"/>
              </w:rPr>
              <w:t xml:space="preserve">  </w:t>
            </w:r>
            <w:r>
              <w:rPr>
                <w:rFonts w:hint="eastAsia"/>
                <w:b/>
                <w:sz w:val="20"/>
                <w:shd w:val="clear" w:color="auto" w:fill="FFFFFF"/>
              </w:rPr>
              <w:t>本人已阅读本协议书及相应的产品说明书中条款及相应的风险提示，充分了解并清楚知晓本产品的风险，认可本产品信息披露方式，愿意承担相关风险。</w:t>
            </w:r>
          </w:p>
          <w:p w:rsidR="00F32CDD" w:rsidRDefault="00F32CDD" w:rsidP="006945CC">
            <w:pPr>
              <w:spacing w:line="280" w:lineRule="exact"/>
              <w:rPr>
                <w:b/>
                <w:sz w:val="20"/>
                <w:shd w:val="clear" w:color="auto" w:fill="FFFFFF"/>
              </w:rPr>
            </w:pPr>
          </w:p>
          <w:p w:rsidR="00F32CDD" w:rsidRDefault="00F32CDD" w:rsidP="00F32CDD">
            <w:pPr>
              <w:numPr>
                <w:ilvl w:val="0"/>
                <w:numId w:val="1"/>
              </w:numPr>
              <w:spacing w:line="280" w:lineRule="exact"/>
              <w:rPr>
                <w:b/>
                <w:sz w:val="20"/>
                <w:shd w:val="clear" w:color="auto" w:fill="FFFFFF"/>
              </w:rPr>
            </w:pPr>
            <w:r>
              <w:rPr>
                <w:rFonts w:hint="eastAsia"/>
                <w:b/>
                <w:sz w:val="20"/>
                <w:shd w:val="clear" w:color="auto" w:fill="FFFFFF"/>
              </w:rPr>
              <w:t>经销售银行测评，本人的风险承受能力适合购买本产品。</w:t>
            </w:r>
          </w:p>
          <w:p w:rsidR="00F32CDD" w:rsidRDefault="00F32CDD" w:rsidP="006945CC">
            <w:pPr>
              <w:rPr>
                <w:sz w:val="18"/>
                <w:szCs w:val="18"/>
                <w:shd w:val="clear" w:color="auto" w:fill="FFFFFF"/>
              </w:rPr>
            </w:pPr>
          </w:p>
          <w:p w:rsidR="00F32CDD" w:rsidRDefault="00F32CDD" w:rsidP="006945CC">
            <w:pPr>
              <w:rPr>
                <w:sz w:val="18"/>
                <w:szCs w:val="18"/>
                <w:shd w:val="clear" w:color="auto" w:fill="FFFFFF"/>
              </w:rPr>
            </w:pPr>
          </w:p>
          <w:p w:rsidR="00F32CDD" w:rsidRDefault="00F32CDD" w:rsidP="006945CC">
            <w:pPr>
              <w:rPr>
                <w:sz w:val="18"/>
                <w:szCs w:val="18"/>
                <w:shd w:val="clear" w:color="auto" w:fill="FFFFFF"/>
              </w:rPr>
            </w:pPr>
          </w:p>
          <w:p w:rsidR="00F32CDD" w:rsidRDefault="00F32CDD" w:rsidP="006945CC">
            <w:pPr>
              <w:rPr>
                <w:b/>
                <w:szCs w:val="18"/>
                <w:shd w:val="clear" w:color="auto" w:fill="FFFFFF"/>
              </w:rPr>
            </w:pPr>
            <w:r>
              <w:rPr>
                <w:rFonts w:hint="eastAsia"/>
                <w:b/>
                <w:szCs w:val="18"/>
                <w:shd w:val="clear" w:color="auto" w:fill="FFFFFF"/>
              </w:rPr>
              <w:t>甲方：</w:t>
            </w:r>
            <w:r>
              <w:rPr>
                <w:rFonts w:hint="eastAsia"/>
                <w:b/>
                <w:szCs w:val="18"/>
                <w:shd w:val="clear" w:color="auto" w:fill="FFFFFF"/>
              </w:rPr>
              <w:t xml:space="preserve">                                                 </w:t>
            </w:r>
            <w:r>
              <w:rPr>
                <w:rFonts w:hint="eastAsia"/>
                <w:b/>
                <w:szCs w:val="18"/>
                <w:shd w:val="clear" w:color="auto" w:fill="FFFFFF"/>
              </w:rPr>
              <w:t>乙方：</w:t>
            </w:r>
          </w:p>
          <w:p w:rsidR="00F32CDD" w:rsidRDefault="00F32CDD" w:rsidP="006945CC">
            <w:pPr>
              <w:rPr>
                <w:shd w:val="clear" w:color="auto" w:fill="FFFFFF"/>
              </w:rPr>
            </w:pPr>
            <w:r>
              <w:rPr>
                <w:rFonts w:hint="eastAsia"/>
                <w:shd w:val="clear" w:color="auto" w:fill="FFFFFF"/>
              </w:rPr>
              <w:t>客户签章（个人）：</w:t>
            </w:r>
            <w:r>
              <w:rPr>
                <w:rFonts w:hint="eastAsia"/>
                <w:shd w:val="clear" w:color="auto" w:fill="FFFFFF"/>
              </w:rPr>
              <w:t xml:space="preserve">                                      </w:t>
            </w:r>
            <w:r>
              <w:rPr>
                <w:rFonts w:hint="eastAsia"/>
                <w:shd w:val="clear" w:color="auto" w:fill="FFFFFF"/>
              </w:rPr>
              <w:t>销售银行签章（机构）：</w:t>
            </w:r>
          </w:p>
          <w:p w:rsidR="00F32CDD" w:rsidRDefault="00F32CDD" w:rsidP="006945CC">
            <w:pPr>
              <w:rPr>
                <w:shd w:val="clear" w:color="auto" w:fill="FFFFFF"/>
              </w:rPr>
            </w:pPr>
            <w:r>
              <w:rPr>
                <w:rFonts w:hint="eastAsia"/>
                <w:shd w:val="clear" w:color="auto" w:fill="FFFFFF"/>
              </w:rPr>
              <w:t>日期：</w:t>
            </w:r>
            <w:r>
              <w:rPr>
                <w:rFonts w:hint="eastAsia"/>
                <w:shd w:val="clear" w:color="auto" w:fill="FFFFFF"/>
              </w:rPr>
              <w:t xml:space="preserve">                                                </w:t>
            </w:r>
            <w:r>
              <w:rPr>
                <w:rFonts w:hint="eastAsia"/>
                <w:shd w:val="clear" w:color="auto" w:fill="FFFFFF"/>
              </w:rPr>
              <w:t>（加盖经办行“业务公章”）</w:t>
            </w:r>
          </w:p>
          <w:p w:rsidR="00F32CDD" w:rsidRDefault="00F32CDD" w:rsidP="006945CC">
            <w:pPr>
              <w:rPr>
                <w:shd w:val="clear" w:color="auto" w:fill="FFFFFF"/>
              </w:rPr>
            </w:pPr>
            <w:r>
              <w:rPr>
                <w:rFonts w:hint="eastAsia"/>
                <w:shd w:val="clear" w:color="auto" w:fill="FFFFFF"/>
              </w:rPr>
              <w:t>客户签章（机构）：</w:t>
            </w:r>
            <w:r>
              <w:rPr>
                <w:rFonts w:hint="eastAsia"/>
                <w:shd w:val="clear" w:color="auto" w:fill="FFFFFF"/>
              </w:rPr>
              <w:t xml:space="preserve">                                      </w:t>
            </w:r>
            <w:r>
              <w:rPr>
                <w:rFonts w:hint="eastAsia"/>
                <w:shd w:val="clear" w:color="auto" w:fill="FFFFFF"/>
              </w:rPr>
              <w:t>日期：</w:t>
            </w:r>
          </w:p>
          <w:p w:rsidR="00F32CDD" w:rsidRDefault="00F32CDD" w:rsidP="006945CC">
            <w:pPr>
              <w:rPr>
                <w:shd w:val="clear" w:color="auto" w:fill="FFFFFF"/>
              </w:rPr>
            </w:pPr>
            <w:r>
              <w:rPr>
                <w:rFonts w:hint="eastAsia"/>
                <w:shd w:val="clear" w:color="auto" w:fill="FFFFFF"/>
              </w:rPr>
              <w:t>法定代表人（或授权代理人）：</w:t>
            </w:r>
            <w:r>
              <w:rPr>
                <w:rFonts w:hint="eastAsia"/>
                <w:shd w:val="clear" w:color="auto" w:fill="FFFFFF"/>
              </w:rPr>
              <w:t xml:space="preserve">                            </w:t>
            </w:r>
            <w:r>
              <w:rPr>
                <w:rFonts w:hint="eastAsia"/>
                <w:shd w:val="clear" w:color="auto" w:fill="FFFFFF"/>
              </w:rPr>
              <w:t>经办行经办人员：</w:t>
            </w:r>
          </w:p>
          <w:p w:rsidR="00F32CDD" w:rsidRDefault="00F32CDD" w:rsidP="006945CC">
            <w:pPr>
              <w:rPr>
                <w:shd w:val="clear" w:color="auto" w:fill="FFFFFF"/>
              </w:rPr>
            </w:pPr>
            <w:r>
              <w:rPr>
                <w:rFonts w:hint="eastAsia"/>
                <w:shd w:val="clear" w:color="auto" w:fill="FFFFFF"/>
              </w:rPr>
              <w:t>日期：</w:t>
            </w:r>
            <w:r>
              <w:rPr>
                <w:rFonts w:hint="eastAsia"/>
                <w:shd w:val="clear" w:color="auto" w:fill="FFFFFF"/>
              </w:rPr>
              <w:t xml:space="preserve">                                                </w:t>
            </w:r>
            <w:r>
              <w:rPr>
                <w:rFonts w:hint="eastAsia"/>
                <w:shd w:val="clear" w:color="auto" w:fill="FFFFFF"/>
              </w:rPr>
              <w:t>（加盖个人名章或签章）：</w:t>
            </w:r>
          </w:p>
        </w:tc>
      </w:tr>
    </w:tbl>
    <w:p w:rsidR="00F32CDD" w:rsidRDefault="00F32CDD" w:rsidP="00F32CDD">
      <w:pPr>
        <w:rPr>
          <w:b/>
          <w:shd w:val="clear" w:color="auto" w:fill="FFFFFF"/>
        </w:rPr>
        <w:sectPr w:rsidR="00F32CDD">
          <w:footerReference w:type="even" r:id="rId7"/>
          <w:footerReference w:type="default" r:id="rId8"/>
          <w:pgSz w:w="11906" w:h="16838"/>
          <w:pgMar w:top="1440" w:right="1474" w:bottom="1440" w:left="1588" w:header="851" w:footer="992" w:gutter="0"/>
          <w:cols w:space="720"/>
          <w:docGrid w:type="lines" w:linePitch="312"/>
        </w:sectPr>
      </w:pPr>
    </w:p>
    <w:p w:rsidR="00F32CDD" w:rsidRDefault="00F32CDD" w:rsidP="00F32CDD">
      <w:pPr>
        <w:spacing w:line="500" w:lineRule="exact"/>
        <w:jc w:val="center"/>
        <w:rPr>
          <w:rFonts w:ascii="黑体" w:eastAsia="黑体" w:hAnsi="黑体"/>
          <w:sz w:val="44"/>
          <w:szCs w:val="44"/>
          <w:shd w:val="clear" w:color="auto" w:fill="FFFFFF"/>
        </w:rPr>
      </w:pPr>
      <w:r>
        <w:rPr>
          <w:rFonts w:ascii="黑体" w:eastAsia="黑体" w:hAnsi="黑体" w:hint="eastAsia"/>
          <w:sz w:val="44"/>
          <w:szCs w:val="44"/>
          <w:shd w:val="clear" w:color="auto" w:fill="FFFFFF"/>
        </w:rPr>
        <w:lastRenderedPageBreak/>
        <w:t>诸暨农商银行理财产品协议条款</w:t>
      </w:r>
    </w:p>
    <w:p w:rsidR="00F32CDD" w:rsidRDefault="00F32CDD" w:rsidP="00F32CDD">
      <w:pPr>
        <w:spacing w:line="500" w:lineRule="exact"/>
        <w:jc w:val="center"/>
        <w:rPr>
          <w:rFonts w:ascii="仿宋_GB2312" w:eastAsia="仿宋_GB2312" w:cs="楷体_GB2312"/>
          <w:sz w:val="28"/>
          <w:szCs w:val="28"/>
          <w:shd w:val="clear" w:color="auto" w:fill="FFFFFF"/>
        </w:rPr>
      </w:pP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本《诸暨农商银行理财产品协议书》与《诸暨农商银行理财产品协议条款》共同构成甲、乙双方之间的理财产品交易协议（以下简称“本协议”）。</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根据相关法律法规和监管规定，甲乙双方经友好协商，本着平等自愿、诚实信用的原则，就甲方向乙方购买人民币理财产品，达成协议如下：</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一、本协议、《产品说明书》以及业务凭证共同构成一份完整的、关于甲方所购某一理财产品的理财产品法律文件（以下简称“理财产品文件”）。本协议与《产品说明书》不一致的，以《产品说明书》为准。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甲方购买多个银行理财产品时，每一份针对某一理财产品的《产品说明书》及相关业务凭证与本协议共同构成一份独立的理财产品文件，该理财产品文件的效力和履行情况均独立于其他理财产品文件。</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二、甲方声明和保证：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（一）个人投资者声明和保证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1、甲方具有完全民事行为能力；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2、甲方以本人合法所有的资金购买理财产品；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3、甲方已如实向乙方披露其风险承受能力状况及相关信息；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（二）机构投资者声明和保证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lastRenderedPageBreak/>
        <w:t xml:space="preserve">1、甲方为依法设立并合法存续的企业法人、事业法人、社会团体或其他组织，具有依据法律法规投资理财产品的资格；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3、甲方用于购买理财产品的资金为其合法所有并具有完全的占有、使用、收益、处分权，该资金可合法地投资于理财产品而不存在任何禁止或限制情形；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4、甲方已如实、完整向乙方披露其风险承受能力状况及相关信息；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三、双方权利与义务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（一）甲方有权依照理财产品文件约定获取投资收益，在约定的投资期内，投资本金不另计存款利息。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（二）甲方有义务保证投资资金的来源合法，投资行为及资金投向符合法律、法规及相关监管部门的规定。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（三）甲方有义务保证所提供的信息、资料真实有效，如变更，应及时到乙方办理变更登记，因甲方未及时办理相关变更手续而造成</w:t>
      </w:r>
      <w:r>
        <w:rPr>
          <w:rFonts w:ascii="仿宋_GB2312" w:eastAsia="仿宋_GB2312" w:cs="楷体_GB2312" w:hint="eastAsia"/>
          <w:sz w:val="28"/>
          <w:szCs w:val="28"/>
          <w:shd w:val="clear" w:color="auto" w:fill="FFFFFF"/>
        </w:rPr>
        <w:lastRenderedPageBreak/>
        <w:t>的损失，乙方不承担责任。</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（六）乙方有权从甲方资金账户扣划本协议项下理财产品相应认/申购资金等理财款项，或将相应资金币种转换后进行境外投资。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（七）乙方有权依据理财产品文件决定投资本金和收益分配方案；乙方有权向甲方收取一定的理财产品管理费，具体收费方式和标准在《产品说明书》中载明。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（十）乙方有义务根据恪守信用、勤勉尽责的原则管理和运用理财产品财产，维护甲方利益。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（十一）除另有约定外，乙方不负责代扣代缴甲方应缴纳的税款。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lastRenderedPageBreak/>
        <w:t xml:space="preserve">（十二）甲、乙双方对本协议及其条款负有保密义务。除法律法规、监管部门另有规定外，未经一方书面认可，另一方不得向任何组织、个人提供或泄漏与对方有关的资料和信息。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（十三）法律法规和理财产品文件规定的其他权利和义务。</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四、违约及争议解决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（一）一方不能履行或者不能完全履行理财产品文件的，应承担违约责任。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（四）本协议及理财产品文件均适用中华人民共和国法律。本协议项下的任何争议，双方应通过友好协商解决；若协商不成，应向乙方所在地人民法院诉讼解决。</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 五、协议生效、终止及其他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 xml:space="preserve">（一）甲方为个人投资者的，本协议经甲方签字，乙方盖章后生效；甲方为机构投资者的，本协议经甲方授权签字人签字并加盖法人公章，乙方盖章后生效； </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（二）除《产品说明书》约定的提前终止情形外，甲方有违约行为或甲方资金账户被有权机关冻结、扣划时，乙方有权提前终止本协议。</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（三）如甲方与乙方之间存在多份产品协议书，则每一份产品协</w:t>
      </w:r>
      <w:r>
        <w:rPr>
          <w:rFonts w:ascii="仿宋_GB2312" w:eastAsia="仿宋_GB2312" w:cs="楷体_GB2312" w:hint="eastAsia"/>
          <w:sz w:val="28"/>
          <w:szCs w:val="28"/>
          <w:shd w:val="clear" w:color="auto" w:fill="FFFFFF"/>
        </w:rPr>
        <w:lastRenderedPageBreak/>
        <w:t>议书之间相互独立，每一份产品协议书的效力及履行情况均独立于其他产品协议书。</w:t>
      </w:r>
    </w:p>
    <w:p w:rsidR="00F32CDD" w:rsidRDefault="00F32CDD" w:rsidP="00F32CDD">
      <w:pPr>
        <w:spacing w:line="500" w:lineRule="exact"/>
        <w:ind w:firstLineChars="200" w:firstLine="560"/>
        <w:rPr>
          <w:rFonts w:ascii="仿宋_GB2312" w:eastAsia="仿宋_GB2312" w:cs="楷体_GB2312"/>
          <w:sz w:val="28"/>
          <w:szCs w:val="28"/>
          <w:shd w:val="clear" w:color="auto" w:fill="FFFFFF"/>
        </w:rPr>
      </w:pPr>
      <w:r>
        <w:rPr>
          <w:rFonts w:ascii="仿宋_GB2312" w:eastAsia="仿宋_GB2312" w:cs="楷体_GB2312" w:hint="eastAsia"/>
          <w:sz w:val="28"/>
          <w:szCs w:val="28"/>
          <w:shd w:val="clear" w:color="auto" w:fill="FFFFFF"/>
        </w:rPr>
        <w:t>（四）本产品协议书一式二份，经双方签字或盖章且产品协议书项下的认购资金存入理财账户后生效，双方各执一份，具有同等法律效力。</w:t>
      </w:r>
    </w:p>
    <w:p w:rsidR="00D917F3" w:rsidRPr="00F32CDD" w:rsidRDefault="00D917F3"/>
    <w:sectPr w:rsidR="00D917F3" w:rsidRPr="00F32CDD" w:rsidSect="008B1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7F3" w:rsidRDefault="00D917F3" w:rsidP="00F32CDD">
      <w:r>
        <w:separator/>
      </w:r>
    </w:p>
  </w:endnote>
  <w:endnote w:type="continuationSeparator" w:id="1">
    <w:p w:rsidR="00D917F3" w:rsidRDefault="00D917F3" w:rsidP="00F32CDD">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DD" w:rsidRDefault="00F32CDD">
    <w:pPr>
      <w:pStyle w:val="a4"/>
      <w:framePr w:wrap="around" w:vAnchor="text" w:hAnchor="margin" w:xAlign="right" w:y="1"/>
      <w:rPr>
        <w:rStyle w:val="a5"/>
      </w:rPr>
    </w:pPr>
    <w:r>
      <w:fldChar w:fldCharType="begin"/>
    </w:r>
    <w:r>
      <w:rPr>
        <w:rStyle w:val="a5"/>
      </w:rPr>
      <w:instrText xml:space="preserve">PAGE  </w:instrText>
    </w:r>
    <w:r>
      <w:fldChar w:fldCharType="end"/>
    </w:r>
  </w:p>
  <w:p w:rsidR="00F32CDD" w:rsidRDefault="00F32C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DD" w:rsidRDefault="00F32CDD">
    <w:pPr>
      <w:pStyle w:val="a4"/>
      <w:framePr w:wrap="around" w:vAnchor="text" w:hAnchor="margin" w:xAlign="right" w:y="1"/>
      <w:rPr>
        <w:rStyle w:val="a5"/>
      </w:rPr>
    </w:pPr>
    <w:r>
      <w:fldChar w:fldCharType="begin"/>
    </w:r>
    <w:r>
      <w:rPr>
        <w:rStyle w:val="a5"/>
      </w:rPr>
      <w:instrText xml:space="preserve">PAGE  </w:instrText>
    </w:r>
    <w:r>
      <w:fldChar w:fldCharType="separate"/>
    </w:r>
    <w:r>
      <w:rPr>
        <w:rStyle w:val="a5"/>
        <w:noProof/>
      </w:rPr>
      <w:t>1</w:t>
    </w:r>
    <w:r>
      <w:fldChar w:fldCharType="end"/>
    </w:r>
  </w:p>
  <w:p w:rsidR="00F32CDD" w:rsidRDefault="00F32C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7F3" w:rsidRDefault="00D917F3" w:rsidP="00F32CDD">
      <w:r>
        <w:separator/>
      </w:r>
    </w:p>
  </w:footnote>
  <w:footnote w:type="continuationSeparator" w:id="1">
    <w:p w:rsidR="00D917F3" w:rsidRDefault="00D917F3" w:rsidP="00F32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cs="Times New Roman" w:hint="eastAsia"/>
        <w: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CDD"/>
    <w:rsid w:val="00D917F3"/>
    <w:rsid w:val="00F32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C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CDD"/>
    <w:rPr>
      <w:sz w:val="18"/>
      <w:szCs w:val="18"/>
    </w:rPr>
  </w:style>
  <w:style w:type="paragraph" w:styleId="a4">
    <w:name w:val="footer"/>
    <w:basedOn w:val="a"/>
    <w:link w:val="Char0"/>
    <w:uiPriority w:val="99"/>
    <w:unhideWhenUsed/>
    <w:rsid w:val="00F32CDD"/>
    <w:pPr>
      <w:tabs>
        <w:tab w:val="center" w:pos="4153"/>
        <w:tab w:val="right" w:pos="8306"/>
      </w:tabs>
      <w:snapToGrid w:val="0"/>
      <w:jc w:val="left"/>
    </w:pPr>
    <w:rPr>
      <w:sz w:val="18"/>
      <w:szCs w:val="18"/>
    </w:rPr>
  </w:style>
  <w:style w:type="character" w:customStyle="1" w:styleId="Char0">
    <w:name w:val="页脚 Char"/>
    <w:basedOn w:val="a0"/>
    <w:link w:val="a4"/>
    <w:uiPriority w:val="99"/>
    <w:rsid w:val="00F32CDD"/>
    <w:rPr>
      <w:sz w:val="18"/>
      <w:szCs w:val="18"/>
    </w:rPr>
  </w:style>
  <w:style w:type="character" w:styleId="a5">
    <w:name w:val="page number"/>
    <w:rsid w:val="00F32C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陈莎</dc:creator>
  <cp:keywords/>
  <dc:description/>
  <cp:lastModifiedBy>陈莎</cp:lastModifiedBy>
  <cp:revision>2</cp:revision>
  <dcterms:created xsi:type="dcterms:W3CDTF">2019-09-06T07:48:00Z</dcterms:created>
  <dcterms:modified xsi:type="dcterms:W3CDTF">2019-09-06T07:48:00Z</dcterms:modified>
</cp:coreProperties>
</file>