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宋体" w:hAnsi="宋体" w:cs="宋体"/>
          <w:b/>
          <w:bCs/>
          <w:sz w:val="44"/>
          <w:szCs w:val="44"/>
          <w:highlight w:val="none"/>
        </w:rPr>
      </w:pPr>
      <w:bookmarkStart w:id="0" w:name="_GoBack"/>
      <w:bookmarkEnd w:id="0"/>
      <w:r>
        <w:rPr>
          <w:rFonts w:hint="eastAsia" w:ascii="宋体" w:hAnsi="宋体" w:cs="宋体"/>
          <w:b/>
          <w:bCs/>
          <w:sz w:val="44"/>
          <w:szCs w:val="44"/>
          <w:highlight w:val="none"/>
        </w:rPr>
        <w:t>杭银理财幸福99</w:t>
      </w:r>
      <w:r>
        <w:rPr>
          <w:rFonts w:hint="eastAsia" w:ascii="宋体" w:hAnsi="宋体" w:cs="宋体"/>
          <w:b/>
          <w:bCs/>
          <w:sz w:val="44"/>
          <w:szCs w:val="44"/>
          <w:highlight w:val="none"/>
          <w:lang w:eastAsia="zh-CN"/>
        </w:rPr>
        <w:t>半年添益2013期理财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〖Z7002221000178〗</w:t>
      </w:r>
    </w:p>
    <w:p>
      <w:pPr>
        <w:spacing w:line="360" w:lineRule="auto"/>
        <w:jc w:val="center"/>
        <w:rPr>
          <w:rFonts w:hint="eastAsia" w:ascii="宋体" w:hAnsi="宋体" w:cs="宋体"/>
          <w:bCs/>
          <w:sz w:val="24"/>
          <w:highlight w:val="none"/>
        </w:rPr>
      </w:pP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rPr>
        <w:t>《</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w:t>
      </w:r>
      <w:r>
        <w:rPr>
          <w:rFonts w:hint="eastAsia" w:ascii="宋体" w:hAnsi="宋体" w:cs="宋体"/>
          <w:bCs/>
          <w:sz w:val="24"/>
          <w:highlight w:val="none"/>
        </w:rPr>
        <w:t>《理财计划投资协议书》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，将共同构成投资者与管理人之间的理财计划交易合同。</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在本理财计划存续期内，如因监管政策或法律法规发生变化，在不损害投资者利益的前提下，管理人有权单方对本理财计划说明书条款进行修订。</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3"/>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6"/>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6"/>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rPr>
        <w:t>。</w:t>
      </w:r>
    </w:p>
    <w:p>
      <w:pPr>
        <w:pStyle w:val="16"/>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rPr>
        <w:t>，客服热线为95398。</w:t>
      </w:r>
    </w:p>
    <w:p>
      <w:pPr>
        <w:pStyle w:val="16"/>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cs="宋体"/>
          <w:bCs/>
          <w:color w:val="auto"/>
          <w:kern w:val="2"/>
          <w:highlight w:val="none"/>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6"/>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6"/>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6"/>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银保监会、中国证券监督管理委员会、外汇管理局、银行业理财登记托管中心等。</w:t>
      </w:r>
    </w:p>
    <w:p>
      <w:pPr>
        <w:pStyle w:val="16"/>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6"/>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半年添益2013期理财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6"/>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半年添益2013期理财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6"/>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半年添益2013期理财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6"/>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指作为杭银理财幸福99</w:t>
      </w:r>
      <w:r>
        <w:rPr>
          <w:rFonts w:hint="eastAsia" w:ascii="宋体" w:hAnsi="宋体" w:cs="宋体"/>
          <w:bCs/>
          <w:highlight w:val="none"/>
          <w:lang w:eastAsia="zh-CN"/>
        </w:rPr>
        <w:t>半年添益2013期理财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6"/>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理财计划销售协议书：</w:t>
      </w:r>
      <w:r>
        <w:rPr>
          <w:rFonts w:hint="eastAsia" w:ascii="宋体" w:hAnsi="宋体" w:cs="宋体"/>
          <w:bCs/>
          <w:color w:val="auto"/>
          <w:kern w:val="2"/>
          <w:highlight w:val="none"/>
          <w:lang w:eastAsia="zh-CN"/>
        </w:rPr>
        <w:t>指作为杭银理财幸福</w:t>
      </w:r>
      <w:r>
        <w:rPr>
          <w:rFonts w:hint="eastAsia" w:ascii="宋体" w:hAnsi="宋体" w:cs="宋体"/>
          <w:bCs/>
          <w:color w:val="auto"/>
          <w:kern w:val="2"/>
          <w:highlight w:val="none"/>
          <w:lang w:val="en-US" w:eastAsia="zh-CN"/>
        </w:rPr>
        <w:t>99</w:t>
      </w:r>
      <w:r>
        <w:rPr>
          <w:rFonts w:hint="eastAsia" w:ascii="宋体" w:hAnsi="宋体" w:cs="宋体"/>
          <w:bCs/>
          <w:highlight w:val="none"/>
          <w:lang w:eastAsia="zh-CN"/>
        </w:rPr>
        <w:t>半年添益2013期理财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6"/>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w:t>
      </w:r>
      <w:r>
        <w:rPr>
          <w:rFonts w:hint="eastAsia" w:ascii="宋体" w:hAnsi="宋体" w:cs="宋体"/>
          <w:bCs/>
          <w:color w:val="auto"/>
          <w:kern w:val="2"/>
          <w:highlight w:val="none"/>
        </w:rPr>
        <w:t>《理财计划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理财计划产品说明书</w:t>
      </w:r>
      <w:r>
        <w:rPr>
          <w:rFonts w:hint="eastAsia" w:ascii="宋体" w:hAnsi="宋体" w:cs="宋体"/>
          <w:bCs/>
          <w:color w:val="auto"/>
          <w:kern w:val="2"/>
          <w:highlight w:val="none"/>
        </w:rPr>
        <w:t>》《投资者权益须知》《理财计划投资协议书》</w:t>
      </w:r>
      <w:r>
        <w:rPr>
          <w:rFonts w:hint="eastAsia" w:ascii="宋体" w:hAnsi="宋体" w:cs="宋体"/>
          <w:bCs/>
          <w:color w:val="auto"/>
          <w:kern w:val="2"/>
          <w:highlight w:val="none"/>
          <w:lang w:eastAsia="zh-CN"/>
        </w:rPr>
        <w:t>《理财计划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6"/>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指杭银理财幸福99</w:t>
      </w:r>
      <w:r>
        <w:rPr>
          <w:rFonts w:hint="eastAsia" w:ascii="宋体" w:hAnsi="宋体" w:cs="宋体"/>
          <w:bCs/>
          <w:highlight w:val="none"/>
          <w:lang w:eastAsia="zh-CN"/>
        </w:rPr>
        <w:t>半年添益2013期理财</w:t>
      </w:r>
      <w:r>
        <w:rPr>
          <w:rFonts w:hint="eastAsia" w:ascii="宋体" w:hAnsi="宋体" w:cs="宋体"/>
          <w:bCs/>
          <w:highlight w:val="none"/>
        </w:rPr>
        <w:t>。</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6"/>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6"/>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指上海证券交易所、深圳证券交易所的正常交易日。</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6"/>
        <w:numPr>
          <w:ilvl w:val="0"/>
          <w:numId w:val="7"/>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6"/>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6"/>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6"/>
        <w:numPr>
          <w:ilvl w:val="0"/>
          <w:numId w:val="8"/>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6"/>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6"/>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6"/>
        <w:numPr>
          <w:ilvl w:val="0"/>
          <w:numId w:val="0"/>
        </w:numPr>
        <w:adjustRightInd/>
        <w:spacing w:line="360" w:lineRule="auto"/>
        <w:rPr>
          <w:rFonts w:hint="eastAsia" w:ascii="宋体" w:hAnsi="宋体" w:cs="宋体"/>
          <w:b/>
          <w:color w:val="auto"/>
          <w:kern w:val="2"/>
          <w:highlight w:val="none"/>
        </w:rPr>
      </w:pPr>
    </w:p>
    <w:p>
      <w:pPr>
        <w:pStyle w:val="16"/>
        <w:numPr>
          <w:ilvl w:val="0"/>
          <w:numId w:val="10"/>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本理财计划的风险等级为〖R</w:t>
      </w:r>
      <w:r>
        <w:rPr>
          <w:rFonts w:hint="eastAsia" w:ascii="宋体" w:hAnsi="宋体" w:cs="宋体"/>
          <w:b/>
          <w:color w:val="auto"/>
          <w:kern w:val="2"/>
          <w:highlight w:val="none"/>
          <w:lang w:val="en-US" w:eastAsia="zh-CN"/>
        </w:rPr>
        <w:t>2</w:t>
      </w:r>
      <w:r>
        <w:rPr>
          <w:rFonts w:hint="eastAsia" w:ascii="宋体" w:hAnsi="宋体" w:cs="宋体"/>
          <w:b/>
          <w:color w:val="auto"/>
          <w:kern w:val="2"/>
          <w:highlight w:val="none"/>
        </w:rPr>
        <w:t>〗，〖</w:t>
      </w:r>
      <w:r>
        <w:rPr>
          <w:rFonts w:hint="eastAsia" w:ascii="宋体" w:hAnsi="宋体" w:cs="宋体"/>
          <w:b/>
          <w:color w:val="auto"/>
          <w:kern w:val="2"/>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R2</w:t>
            </w:r>
          </w:p>
        </w:tc>
        <w:tc>
          <w:tcPr>
            <w:tcW w:w="1382" w:type="dxa"/>
            <w:noWrap w:val="0"/>
            <w:vAlign w:val="top"/>
          </w:tcPr>
          <w:p>
            <w:pPr>
              <w:pStyle w:val="16"/>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中低</w:t>
            </w:r>
          </w:p>
        </w:tc>
        <w:tc>
          <w:tcPr>
            <w:tcW w:w="4755" w:type="dxa"/>
            <w:noWrap w:val="0"/>
            <w:vAlign w:val="top"/>
          </w:tcPr>
          <w:p>
            <w:pPr>
              <w:pStyle w:val="16"/>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稳健型</w:t>
            </w:r>
            <w:r>
              <w:rPr>
                <w:rFonts w:hint="eastAsia" w:ascii="宋体" w:hAnsi="宋体" w:cs="宋体"/>
                <w:b/>
                <w:bCs w:val="0"/>
                <w:color w:val="auto"/>
                <w:kern w:val="2"/>
                <w:highlight w:val="none"/>
                <w:lang w:eastAsia="zh-CN"/>
              </w:rPr>
              <w:t>、</w:t>
            </w:r>
            <w:r>
              <w:rPr>
                <w:rFonts w:hint="eastAsia" w:ascii="宋体" w:hAnsi="宋体" w:cs="宋体"/>
                <w:b/>
                <w:bCs w:val="0"/>
                <w:color w:val="auto"/>
                <w:kern w:val="2"/>
                <w:highlight w:val="none"/>
              </w:rPr>
              <w:t>平衡型</w:t>
            </w:r>
            <w:r>
              <w:rPr>
                <w:rFonts w:hint="eastAsia" w:ascii="宋体" w:hAnsi="宋体" w:cs="宋体"/>
                <w:b/>
                <w:bCs w:val="0"/>
                <w:color w:val="auto"/>
                <w:kern w:val="2"/>
                <w:highlight w:val="none"/>
                <w:lang w:eastAsia="zh-CN"/>
              </w:rPr>
              <w:t>、成长</w:t>
            </w:r>
            <w:r>
              <w:rPr>
                <w:rFonts w:hint="eastAsia" w:ascii="宋体" w:hAnsi="宋体" w:cs="宋体"/>
                <w:b/>
                <w:bCs w:val="0"/>
                <w:color w:val="auto"/>
                <w:kern w:val="2"/>
                <w:highlight w:val="none"/>
              </w:rPr>
              <w:t>型</w:t>
            </w:r>
            <w:r>
              <w:rPr>
                <w:rFonts w:hint="eastAsia" w:ascii="宋体" w:hAnsi="宋体" w:cs="宋体"/>
                <w:b/>
                <w:bCs w:val="0"/>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6"/>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6"/>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6"/>
        <w:adjustRightInd/>
        <w:spacing w:line="360" w:lineRule="auto"/>
        <w:rPr>
          <w:rFonts w:hint="eastAsia" w:ascii="宋体" w:hAnsi="宋体" w:cs="宋体"/>
          <w:b/>
          <w:color w:val="auto"/>
          <w:kern w:val="2"/>
          <w:highlight w:val="none"/>
        </w:rPr>
      </w:pPr>
    </w:p>
    <w:p>
      <w:pPr>
        <w:pStyle w:val="16"/>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杭银理财幸福99</w:t>
            </w:r>
            <w:r>
              <w:rPr>
                <w:rFonts w:hint="eastAsia" w:ascii="宋体" w:hAnsi="宋体" w:cs="宋体"/>
                <w:bCs/>
                <w:sz w:val="21"/>
                <w:szCs w:val="21"/>
                <w:highlight w:val="none"/>
                <w:lang w:eastAsia="zh-CN"/>
              </w:rPr>
              <w:t>半年添益2013期</w:t>
            </w:r>
            <w:r>
              <w:rPr>
                <w:rFonts w:hint="eastAsia" w:ascii="宋体" w:hAnsi="宋体" w:cs="宋体"/>
                <w:sz w:val="21"/>
                <w:szCs w:val="21"/>
                <w:highlight w:val="none"/>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widowControl/>
              <w:spacing w:line="360" w:lineRule="auto"/>
              <w:contextualSpacing/>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半年添益2013期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TYG6M2013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本理财计划在全国银行业理财信息登记系统的原登记编码是〖C1092020000476〗</w:t>
            </w:r>
            <w:r>
              <w:rPr>
                <w:rFonts w:hint="eastAsia" w:ascii="宋体" w:hAnsi="宋体" w:cs="宋体"/>
                <w:color w:val="000000"/>
                <w:kern w:val="0"/>
                <w:highlight w:val="none"/>
              </w:rPr>
              <w:t>，</w:t>
            </w:r>
            <w:r>
              <w:rPr>
                <w:rFonts w:hint="eastAsia" w:ascii="宋体" w:hAnsi="宋体" w:cs="宋体"/>
                <w:color w:val="000000"/>
                <w:sz w:val="21"/>
                <w:szCs w:val="21"/>
                <w:highlight w:val="none"/>
              </w:rPr>
              <w:t>变更登记后为〖Z700222100017</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widowControl/>
              <w:spacing w:line="360" w:lineRule="auto"/>
              <w:contextualSpacing/>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rPr>
              <w:t>本理财计划适合</w:t>
            </w:r>
            <w:r>
              <w:rPr>
                <w:rFonts w:hint="eastAsia" w:ascii="宋体" w:hAnsi="宋体" w:cs="宋体"/>
                <w:b/>
                <w:sz w:val="21"/>
                <w:szCs w:val="21"/>
                <w:highlight w:val="none"/>
              </w:rPr>
              <w:t>〖</w:t>
            </w:r>
            <w:r>
              <w:rPr>
                <w:rFonts w:hint="eastAsia" w:ascii="宋体" w:hAnsi="宋体" w:cs="宋体"/>
                <w:b/>
                <w:color w:val="000000"/>
                <w:sz w:val="21"/>
                <w:szCs w:val="21"/>
                <w:highlight w:val="none"/>
              </w:rPr>
              <w:t>机构投资者</w:t>
            </w:r>
            <w:r>
              <w:rPr>
                <w:rFonts w:hint="eastAsia" w:ascii="宋体" w:hAnsi="宋体" w:cs="宋体"/>
                <w:b/>
                <w:sz w:val="21"/>
                <w:szCs w:val="21"/>
                <w:highlight w:val="none"/>
              </w:rPr>
              <w:t>〗</w:t>
            </w:r>
            <w:r>
              <w:rPr>
                <w:rFonts w:hint="eastAsia" w:ascii="宋体" w:hAnsi="宋体" w:cs="宋体"/>
                <w:b/>
                <w:color w:val="000000"/>
                <w:sz w:val="21"/>
                <w:szCs w:val="21"/>
                <w:highlight w:val="none"/>
              </w:rPr>
              <w:t>以及</w:t>
            </w:r>
            <w:r>
              <w:rPr>
                <w:rFonts w:hint="eastAsia" w:ascii="宋体" w:hAnsi="宋体" w:cs="宋体"/>
                <w:b/>
                <w:sz w:val="21"/>
                <w:szCs w:val="21"/>
                <w:highlight w:val="none"/>
              </w:rPr>
              <w:t>〖稳健型、平衡型、成长型、进取型〗</w:t>
            </w:r>
            <w:r>
              <w:rPr>
                <w:rFonts w:hint="eastAsia" w:ascii="宋体" w:hAnsi="宋体" w:cs="宋体"/>
                <w:b/>
                <w:color w:val="000000"/>
                <w:sz w:val="21"/>
                <w:szCs w:val="21"/>
                <w:highlight w:val="none"/>
              </w:rPr>
              <w:t>的个人投资者。</w:t>
            </w:r>
            <w:r>
              <w:rPr>
                <w:rFonts w:hint="eastAsia" w:ascii="宋体" w:hAnsi="宋体" w:cs="宋体"/>
                <w:bCs/>
                <w:color w:val="auto"/>
                <w:kern w:val="2"/>
                <w:sz w:val="21"/>
                <w:szCs w:val="21"/>
                <w:highlight w:val="none"/>
                <w:lang w:eastAsia="zh-CN"/>
              </w:rPr>
              <w:t>投资者风险承受能力评级水平以销售机构评估为准。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否</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w:t>
            </w:r>
            <w:r>
              <w:rPr>
                <w:rFonts w:hint="eastAsia" w:ascii="宋体" w:hAnsi="宋体" w:cs="宋体"/>
                <w:sz w:val="21"/>
                <w:szCs w:val="21"/>
                <w:highlight w:val="none"/>
              </w:rPr>
              <w:t>〖</w:t>
            </w:r>
            <w:r>
              <w:rPr>
                <w:rFonts w:hint="eastAsia" w:ascii="宋体" w:hAnsi="宋体" w:cs="宋体"/>
                <w:color w:val="000000"/>
                <w:sz w:val="21"/>
                <w:szCs w:val="21"/>
                <w:highlight w:val="none"/>
              </w:rPr>
              <w:t>营业网点、网上银行、手机银行</w:t>
            </w:r>
            <w:r>
              <w:rPr>
                <w:rFonts w:hint="eastAsia" w:ascii="宋体" w:hAnsi="宋体" w:cs="宋体"/>
                <w:sz w:val="21"/>
                <w:szCs w:val="21"/>
                <w:highlight w:val="none"/>
              </w:rPr>
              <w:t>〗</w:t>
            </w:r>
            <w:r>
              <w:rPr>
                <w:rFonts w:hint="eastAsia" w:ascii="宋体" w:hAnsi="宋体" w:cs="宋体"/>
                <w:color w:val="000000"/>
                <w:sz w:val="21"/>
                <w:szCs w:val="21"/>
                <w:highlight w:val="none"/>
              </w:rPr>
              <w:t>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100</w:t>
            </w:r>
            <w:r>
              <w:rPr>
                <w:rFonts w:hint="eastAsia" w:ascii="宋体" w:hAnsi="宋体" w:cs="宋体"/>
                <w:color w:val="000000"/>
                <w:sz w:val="21"/>
                <w:szCs w:val="21"/>
                <w:highlight w:val="none"/>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2020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28</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29</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p>
          <w:p>
            <w:pPr>
              <w:widowControl/>
              <w:spacing w:line="360" w:lineRule="auto"/>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kern w:val="0"/>
                <w:sz w:val="21"/>
                <w:szCs w:val="21"/>
                <w:highlight w:val="none"/>
                <w:lang w:val="en-US" w:eastAsia="zh-CN"/>
              </w:rPr>
            </w:pPr>
            <w:r>
              <w:rPr>
                <w:rFonts w:hint="eastAsia" w:ascii="宋体" w:hAnsi="宋体" w:cs="宋体"/>
                <w:color w:val="auto"/>
                <w:kern w:val="2"/>
                <w:sz w:val="21"/>
                <w:szCs w:val="21"/>
                <w:highlight w:val="none"/>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sz w:val="21"/>
                <w:szCs w:val="21"/>
                <w:highlight w:val="none"/>
                <w:lang w:val="en-US" w:eastAsia="zh-CN"/>
              </w:rPr>
              <w:t>2000</w:t>
            </w:r>
            <w:r>
              <w:rPr>
                <w:rFonts w:hint="eastAsia" w:ascii="宋体" w:hAnsi="宋体" w:cs="宋体"/>
                <w:sz w:val="21"/>
                <w:szCs w:val="21"/>
                <w:highlight w:val="none"/>
              </w:rPr>
              <w:t>〗</w:t>
            </w:r>
            <w:r>
              <w:rPr>
                <w:rFonts w:hint="eastAsia" w:ascii="宋体" w:hAnsi="宋体" w:cs="宋体"/>
                <w:color w:val="000000"/>
                <w:sz w:val="21"/>
                <w:szCs w:val="21"/>
                <w:highlight w:val="none"/>
              </w:rPr>
              <w:t>万元，则管理人可宣布本理财计划不成立并在原定理财计划成立日</w:t>
            </w:r>
            <w:r>
              <w:rPr>
                <w:rFonts w:hint="eastAsia" w:ascii="宋体" w:hAnsi="宋体" w:cs="宋体"/>
                <w:color w:val="000000"/>
                <w:sz w:val="21"/>
                <w:szCs w:val="21"/>
                <w:highlight w:val="none"/>
                <w:lang w:val="en-US" w:eastAsia="zh-CN"/>
              </w:rPr>
              <w:t>当日</w:t>
            </w:r>
            <w:r>
              <w:rPr>
                <w:rFonts w:hint="eastAsia" w:ascii="宋体" w:hAnsi="宋体" w:cs="宋体"/>
                <w:color w:val="000000"/>
                <w:sz w:val="21"/>
                <w:szCs w:val="21"/>
                <w:highlight w:val="none"/>
              </w:rPr>
              <w:t>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理财计划</w:t>
            </w:r>
            <w:r>
              <w:rPr>
                <w:rFonts w:hint="eastAsia" w:ascii="宋体" w:hAnsi="宋体" w:cs="宋体"/>
                <w:sz w:val="21"/>
                <w:szCs w:val="21"/>
                <w:highlight w:val="none"/>
                <w:lang w:val="en-US" w:eastAsia="zh-CN"/>
              </w:rPr>
              <w:t>〖每半年〗开放一次,开放期为〖产品确认日前5-7个工作日〗，具体开放期将以管理人公告为准。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w:t>
            </w:r>
            <w:r>
              <w:rPr>
                <w:rFonts w:hint="eastAsia" w:ascii="宋体" w:hAnsi="宋体" w:cs="宋体"/>
                <w:sz w:val="21"/>
                <w:szCs w:val="21"/>
                <w:highlight w:val="none"/>
              </w:rPr>
              <w:t>〖1〗个</w:t>
            </w:r>
            <w:r>
              <w:rPr>
                <w:rFonts w:hint="eastAsia" w:ascii="宋体" w:hAnsi="宋体" w:cs="宋体"/>
                <w:bCs/>
                <w:sz w:val="21"/>
                <w:szCs w:val="21"/>
                <w:highlight w:val="none"/>
              </w:rPr>
              <w:t>工作日进行确认。</w:t>
            </w:r>
            <w:r>
              <w:rPr>
                <w:rFonts w:hint="eastAsia" w:ascii="宋体" w:hAnsi="宋体" w:cs="宋体"/>
                <w:color w:val="000000"/>
                <w:sz w:val="21"/>
                <w:szCs w:val="21"/>
                <w:highlight w:val="none"/>
              </w:rPr>
              <w:t>确认日如遇非工作日，则顺延至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widowControl/>
              <w:spacing w:line="360" w:lineRule="auto"/>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.工作时间为每个工作日上午〖9:00〗至下午〖17:00〗。确认日如遇非工作日，则顺延至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认购/开放期内提交的交易申请，在产品成立日/确认日前一日下午17:00之前可以撤单。</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widowControl/>
              <w:spacing w:line="360" w:lineRule="auto"/>
              <w:contextualSpacing/>
              <w:rPr>
                <w:rFonts w:hint="default" w:ascii="宋体" w:hAnsi="宋体" w:cs="宋体"/>
                <w:bCs/>
                <w:color w:val="auto"/>
                <w:sz w:val="21"/>
                <w:szCs w:val="21"/>
                <w:highlight w:val="none"/>
                <w:lang w:val="en-US" w:eastAsia="zh-CN"/>
              </w:rPr>
            </w:pPr>
            <w:r>
              <w:rPr>
                <w:rFonts w:hint="eastAsia" w:ascii="宋体" w:hAnsi="宋体" w:cs="宋体"/>
                <w:bCs/>
                <w:sz w:val="21"/>
                <w:szCs w:val="21"/>
              </w:rPr>
              <w:t>5.</w:t>
            </w:r>
            <w:r>
              <w:rPr>
                <w:rFonts w:hint="eastAsia" w:ascii="宋体" w:hAnsi="宋体" w:cs="宋体"/>
                <w:bCs/>
                <w:color w:val="auto"/>
                <w:kern w:val="2"/>
                <w:sz w:val="21"/>
                <w:szCs w:val="21"/>
              </w:rPr>
              <w:t>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val="en-US" w:eastAsia="zh-CN"/>
              </w:rPr>
            </w:pPr>
            <w:r>
              <w:rPr>
                <w:rFonts w:hint="eastAsia" w:ascii="宋体" w:hAnsi="宋体" w:cs="宋体"/>
                <w:sz w:val="21"/>
                <w:szCs w:val="21"/>
                <w:highlight w:val="none"/>
              </w:rPr>
              <w:t>单户最高存续份额为〖</w:t>
            </w:r>
            <w:r>
              <w:rPr>
                <w:rFonts w:hint="eastAsia" w:ascii="宋体" w:hAnsi="宋体" w:cs="宋体"/>
                <w:sz w:val="21"/>
                <w:szCs w:val="21"/>
                <w:highlight w:val="none"/>
                <w:lang w:val="en-US" w:eastAsia="zh-CN"/>
              </w:rPr>
              <w:t>1</w:t>
            </w:r>
            <w:r>
              <w:rPr>
                <w:rFonts w:hint="eastAsia" w:ascii="宋体" w:hAnsi="宋体" w:cs="宋体"/>
                <w:sz w:val="21"/>
                <w:szCs w:val="21"/>
                <w:highlight w:val="none"/>
              </w:rPr>
              <w:t>亿份〗</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单位净值=理财计划估值日理财计划总净值/理财计划总份额，单位净值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val="en-US" w:eastAsia="zh-CN"/>
              </w:rPr>
              <w:t>四</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四位后去尾</w:t>
            </w:r>
            <w:r>
              <w:rPr>
                <w:rFonts w:hint="eastAsia" w:ascii="宋体" w:hAnsi="宋体" w:cs="宋体"/>
                <w:color w:val="000000"/>
                <w:sz w:val="21"/>
                <w:szCs w:val="21"/>
                <w:highlight w:val="none"/>
              </w:rPr>
              <w:t>。</w:t>
            </w:r>
          </w:p>
          <w:p>
            <w:pPr>
              <w:widowControl/>
              <w:spacing w:line="360" w:lineRule="auto"/>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个工作日，最晚</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2.理财计划到期后，最快</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个工作日，最晚</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widowControl/>
              <w:spacing w:line="360" w:lineRule="auto"/>
              <w:contextualSpacing/>
              <w:rPr>
                <w:rFonts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w:t>
            </w:r>
            <w:r>
              <w:rPr>
                <w:rFonts w:hint="eastAsia" w:ascii="宋体" w:hAnsi="宋体" w:cs="宋体"/>
                <w:sz w:val="21"/>
                <w:szCs w:val="21"/>
                <w:highlight w:val="none"/>
              </w:rPr>
              <w:t>〖</w:t>
            </w:r>
            <w:r>
              <w:rPr>
                <w:rFonts w:hint="eastAsia" w:ascii="宋体" w:hAnsi="宋体" w:cs="宋体"/>
                <w:sz w:val="21"/>
                <w:szCs w:val="21"/>
                <w:highlight w:val="none"/>
                <w:lang w:val="en-US" w:eastAsia="zh-CN"/>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本理财计划业绩比较基准为〖</w:t>
            </w:r>
            <w:r>
              <w:rPr>
                <w:rFonts w:hint="eastAsia" w:ascii="宋体" w:hAnsi="宋体" w:cs="宋体"/>
                <w:sz w:val="21"/>
                <w:szCs w:val="21"/>
                <w:highlight w:val="none"/>
                <w:lang w:val="en-US" w:eastAsia="zh-CN"/>
              </w:rPr>
              <w:t>3.20%-3.80%</w:t>
            </w:r>
            <w:r>
              <w:rPr>
                <w:rFonts w:hint="eastAsia" w:ascii="宋体" w:hAnsi="宋体" w:cs="宋体"/>
                <w:sz w:val="21"/>
                <w:szCs w:val="21"/>
                <w:highlight w:val="none"/>
              </w:rPr>
              <w:t>〗（年化）。</w:t>
            </w:r>
          </w:p>
          <w:p>
            <w:pPr>
              <w:widowControl/>
              <w:spacing w:line="360" w:lineRule="auto"/>
              <w:jc w:val="left"/>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rPr>
              <w:t>业绩基准测算依据：</w:t>
            </w:r>
            <w:r>
              <w:rPr>
                <w:rFonts w:hint="eastAsia" w:ascii="宋体" w:hAnsi="宋体" w:cs="宋体"/>
                <w:b/>
                <w:bCs/>
                <w:sz w:val="21"/>
                <w:szCs w:val="21"/>
                <w:highlight w:val="none"/>
                <w:lang w:val="en-US" w:eastAsia="zh-CN"/>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w:t>
            </w:r>
            <w:r>
              <w:rPr>
                <w:rFonts w:hint="eastAsia" w:ascii="宋体" w:hAnsi="宋体" w:cs="宋体"/>
                <w:b/>
                <w:sz w:val="21"/>
                <w:szCs w:val="21"/>
                <w:highlight w:val="none"/>
              </w:rPr>
              <w:t>本理财计划业绩比较基准由管理人根据投资范围及投资策略，结合市场环境因素进行测算而得出。业绩比较基准是管理人基于理财计划收益风险特征、投资策略、过往经验等因素对理财计划业绩设定的投资目标。</w:t>
            </w:r>
            <w:r>
              <w:rPr>
                <w:rFonts w:hint="eastAsia" w:ascii="宋体" w:hAnsi="宋体" w:cs="宋体"/>
                <w:b/>
                <w:sz w:val="21"/>
                <w:szCs w:val="21"/>
                <w:highlight w:val="none"/>
              </w:rPr>
              <w:t>本公司提醒投资者关注，业绩比较基准</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widowControl/>
              <w:numPr>
                <w:ilvl w:val="0"/>
                <w:numId w:val="0"/>
              </w:numPr>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widowControl/>
              <w:spacing w:line="360" w:lineRule="auto"/>
              <w:contextualSpacing/>
              <w:rPr>
                <w:rFonts w:hint="eastAsia" w:ascii="宋体" w:hAnsi="宋体" w:eastAsia="宋体" w:cs="宋体"/>
                <w:bCs/>
                <w:color w:val="FF0000"/>
                <w:sz w:val="21"/>
                <w:szCs w:val="21"/>
                <w:highlight w:val="none"/>
                <w:lang w:eastAsia="zh-CN"/>
              </w:rPr>
            </w:pPr>
            <w:r>
              <w:rPr>
                <w:rFonts w:hint="eastAsia" w:ascii="宋体" w:hAnsi="宋体" w:cs="宋体"/>
                <w:color w:val="000000"/>
                <w:sz w:val="21"/>
                <w:szCs w:val="21"/>
                <w:highlight w:val="none"/>
              </w:rPr>
              <w:t>3.固定管理费：收取年化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0.40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4.认购费：本理财计划免除认购费。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widowControl/>
              <w:spacing w:line="360" w:lineRule="auto"/>
              <w:contextualSpacing/>
              <w:rPr>
                <w:rFonts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widowControl/>
              <w:spacing w:line="360" w:lineRule="auto"/>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7.浮动管理费。管理人根据理财计划投资情况计算浮动管理费，本理财计划投资周期的</w:t>
            </w:r>
            <w:r>
              <w:rPr>
                <w:rFonts w:hint="eastAsia" w:ascii="宋体" w:hAnsi="宋体" w:cs="宋体"/>
                <w:sz w:val="21"/>
                <w:szCs w:val="21"/>
                <w:highlight w:val="none"/>
              </w:rPr>
              <w:t>〖</w:t>
            </w:r>
            <w:r>
              <w:rPr>
                <w:rFonts w:hint="eastAsia" w:ascii="宋体" w:hAnsi="宋体" w:cs="宋体"/>
                <w:color w:val="000000"/>
                <w:sz w:val="21"/>
                <w:szCs w:val="21"/>
                <w:highlight w:val="none"/>
              </w:rPr>
              <w:t>折合年化收益率超过</w:t>
            </w:r>
            <w:r>
              <w:rPr>
                <w:rFonts w:hint="eastAsia" w:ascii="宋体" w:hAnsi="宋体" w:cs="宋体"/>
                <w:color w:val="000000"/>
                <w:sz w:val="21"/>
                <w:szCs w:val="21"/>
                <w:highlight w:val="none"/>
                <w:lang w:val="en-US" w:eastAsia="zh-CN"/>
              </w:rPr>
              <w:t>业绩比较基准上限</w:t>
            </w:r>
            <w:r>
              <w:rPr>
                <w:rFonts w:hint="eastAsia" w:ascii="宋体" w:hAnsi="宋体" w:cs="宋体"/>
                <w:sz w:val="21"/>
                <w:szCs w:val="21"/>
                <w:highlight w:val="none"/>
              </w:rPr>
              <w:t>〗</w:t>
            </w:r>
            <w:r>
              <w:rPr>
                <w:rFonts w:hint="eastAsia" w:ascii="宋体" w:hAnsi="宋体" w:cs="宋体"/>
                <w:color w:val="000000"/>
                <w:sz w:val="21"/>
                <w:szCs w:val="21"/>
                <w:highlight w:val="none"/>
              </w:rPr>
              <w:t>的部分,</w:t>
            </w:r>
            <w:r>
              <w:rPr>
                <w:rFonts w:hint="eastAsia" w:ascii="宋体" w:hAnsi="宋体" w:cs="宋体"/>
                <w:b/>
                <w:color w:val="000000"/>
                <w:sz w:val="21"/>
                <w:szCs w:val="21"/>
                <w:highlight w:val="none"/>
              </w:rPr>
              <w:t>管理人提取</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5</w:t>
            </w:r>
            <w:r>
              <w:rPr>
                <w:rFonts w:hint="eastAsia" w:ascii="宋体" w:hAnsi="宋体" w:cs="宋体"/>
                <w:b/>
                <w:bCs/>
                <w:sz w:val="21"/>
                <w:szCs w:val="21"/>
                <w:highlight w:val="none"/>
                <w:lang w:val="en-US" w:eastAsia="zh-CN"/>
              </w:rPr>
              <w:t>0</w:t>
            </w:r>
            <w:r>
              <w:rPr>
                <w:rFonts w:hint="eastAsia" w:ascii="宋体" w:hAnsi="宋体" w:cs="宋体"/>
                <w:b/>
                <w:bCs/>
                <w:sz w:val="21"/>
                <w:szCs w:val="21"/>
                <w:highlight w:val="none"/>
              </w:rPr>
              <w:t>%〗</w:t>
            </w:r>
            <w:r>
              <w:rPr>
                <w:rFonts w:hint="eastAsia" w:ascii="宋体" w:hAnsi="宋体" w:cs="宋体"/>
                <w:b/>
                <w:color w:val="000000"/>
                <w:sz w:val="21"/>
                <w:szCs w:val="21"/>
                <w:highlight w:val="none"/>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spacing w:line="360" w:lineRule="auto"/>
              <w:outlineLvl w:val="0"/>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spacing w:line="360" w:lineRule="auto"/>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highlight w:val="none"/>
              </w:rPr>
              <w:t>（具体以销售机构规定为准）</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1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固定收益类资产：包括但不限于各类债券、存款、货币市场金融工具、债券基金、质押式及买断式回购，其他符合监管要求的固定收益类资产及资产管理产品。</w:t>
      </w:r>
    </w:p>
    <w:p>
      <w:pPr>
        <w:numPr>
          <w:ilvl w:val="0"/>
          <w:numId w:val="1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权益类资产：包括国内发行上市优先股、上市公司股票、定向增发、员工持股计划、以及其他符合监管要求的权益类资产及资产管理产品（不包括未上市企业股权）。</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本理财计划各投资资产占净资产的配置比例如下：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jc w:val="center"/>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投资资产</w:t>
            </w:r>
          </w:p>
        </w:tc>
        <w:tc>
          <w:tcPr>
            <w:tcW w:w="1996"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大类资产类型</w:t>
            </w: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固定收益类资产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权益类资产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0%-20%</w:t>
            </w:r>
          </w:p>
        </w:tc>
      </w:tr>
    </w:tbl>
    <w:p>
      <w:pPr>
        <w:pStyle w:val="16"/>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6"/>
        <w:spacing w:line="360" w:lineRule="auto"/>
        <w:ind w:firstLine="480" w:firstLineChars="200"/>
        <w:rPr>
          <w:rFonts w:hint="eastAsia" w:ascii="宋体" w:hAnsi="宋体" w:cs="宋体"/>
          <w:b/>
          <w:sz w:val="24"/>
          <w:highlight w:val="none"/>
        </w:rPr>
      </w:pPr>
      <w:r>
        <w:rPr>
          <w:rFonts w:hint="eastAsia" w:ascii="宋体" w:cs="宋体"/>
          <w:sz w:val="24"/>
          <w:szCs w:val="24"/>
          <w:highlight w:val="none"/>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4"/>
          <w:szCs w:val="24"/>
          <w:highlight w:val="none"/>
        </w:rPr>
        <w:t>本产品还可能根据市场行情，在监管政策允许的范围内，在适当的时机投资不高于理财产品总资产的20%的资金于其他资产。</w:t>
      </w:r>
    </w:p>
    <w:p>
      <w:pPr>
        <w:numPr>
          <w:ilvl w:val="0"/>
          <w:numId w:val="1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1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1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1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1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本理财计划直接投资于流动性受限资产的市值在开放日不得超过该理财计划资产净值的15%。</w:t>
      </w:r>
    </w:p>
    <w:p>
      <w:pPr>
        <w:numPr>
          <w:ilvl w:val="0"/>
          <w:numId w:val="17"/>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本理财计划如定期开放周期不低于90天，应当在开放日及开放日前7个工作日内持有不低于该理财计划资产净值5%的现金或者到期日在一年以内的国债、中央银行票据和政策性金融债券；如定期开放周期低于90天，</w:t>
      </w:r>
      <w:r>
        <w:rPr>
          <w:rFonts w:hint="eastAsia" w:ascii="宋体" w:hAnsi="宋体" w:cs="宋体"/>
          <w:bCs/>
          <w:sz w:val="24"/>
          <w:highlight w:val="none"/>
        </w:rPr>
        <w:t>应当持有不低于该理财</w:t>
      </w:r>
      <w:r>
        <w:rPr>
          <w:rFonts w:hint="eastAsia" w:ascii="宋体" w:hAnsi="宋体" w:cs="宋体"/>
          <w:bCs/>
          <w:sz w:val="24"/>
          <w:highlight w:val="none"/>
          <w:lang w:eastAsia="zh-CN"/>
        </w:rPr>
        <w:t>计划</w:t>
      </w:r>
      <w:r>
        <w:rPr>
          <w:rFonts w:hint="eastAsia" w:ascii="宋体" w:hAnsi="宋体" w:cs="宋体"/>
          <w:bCs/>
          <w:sz w:val="24"/>
          <w:highlight w:val="none"/>
        </w:rPr>
        <w:t>资产净值5%的现金或者到期日在一年以内的国债、中央银行票据和政策性金融债券。</w:t>
      </w:r>
    </w:p>
    <w:p>
      <w:pPr>
        <w:numPr>
          <w:ilvl w:val="0"/>
          <w:numId w:val="17"/>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17"/>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本理财计划如定期开放周期低于90天，计划投资不存在活跃交易市场，并且需要采用估值技术确定公允价值的资产比例不得超过理财产品净资产50%以上。</w:t>
      </w:r>
    </w:p>
    <w:p>
      <w:pPr>
        <w:numPr>
          <w:ilvl w:val="0"/>
          <w:numId w:val="1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9"/>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9"/>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9"/>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资产的可能流动性风险（如有）：权益类资产包括但不限于上市公司普通股、上市公司优先股、股票基金、股票定向增发等，受国家政策、经济周期、利率、汇率、股票发行人经营情况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0"/>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noWrap w:val="0"/>
            <w:vAlign w:val="center"/>
          </w:tcPr>
          <w:p>
            <w:pPr>
              <w:spacing w:line="360" w:lineRule="auto"/>
              <w:jc w:val="center"/>
              <w:rPr>
                <w:rFonts w:hint="eastAsia" w:ascii="宋体" w:hAnsi="宋体" w:cs="宋体"/>
                <w:bCs/>
                <w:sz w:val="21"/>
                <w:szCs w:val="18"/>
                <w:highlight w:val="none"/>
              </w:rPr>
            </w:pPr>
            <w:r>
              <w:rPr>
                <w:rFonts w:hint="eastAsia" w:ascii="宋体" w:hAnsi="宋体" w:cs="宋体"/>
                <w:bCs/>
                <w:sz w:val="21"/>
                <w:szCs w:val="18"/>
                <w:highlight w:val="none"/>
              </w:rPr>
              <w:t>托管人名称</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noWrap w:val="0"/>
            <w:vAlign w:val="center"/>
          </w:tcPr>
          <w:p>
            <w:pPr>
              <w:spacing w:line="360" w:lineRule="auto"/>
              <w:jc w:val="center"/>
              <w:rPr>
                <w:rFonts w:hint="eastAsia" w:ascii="宋体" w:hAnsi="宋体" w:cs="宋体"/>
                <w:bCs/>
                <w:sz w:val="21"/>
                <w:szCs w:val="18"/>
                <w:highlight w:val="none"/>
              </w:rPr>
            </w:pPr>
            <w:r>
              <w:rPr>
                <w:rFonts w:hint="eastAsia" w:ascii="宋体" w:hAnsi="宋体" w:cs="宋体"/>
                <w:bCs/>
                <w:sz w:val="21"/>
                <w:szCs w:val="18"/>
                <w:highlight w:val="none"/>
              </w:rPr>
              <w:t>托管人住所</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noWrap w:val="0"/>
            <w:vAlign w:val="center"/>
          </w:tcPr>
          <w:p>
            <w:pPr>
              <w:spacing w:line="360" w:lineRule="auto"/>
              <w:jc w:val="center"/>
              <w:rPr>
                <w:rFonts w:hint="eastAsia" w:ascii="宋体" w:hAnsi="宋体" w:cs="宋体"/>
                <w:bCs/>
                <w:sz w:val="21"/>
                <w:szCs w:val="18"/>
                <w:highlight w:val="none"/>
              </w:rPr>
            </w:pPr>
            <w:r>
              <w:rPr>
                <w:rFonts w:hint="eastAsia" w:ascii="宋体" w:hAnsi="宋体" w:cs="宋体"/>
                <w:bCs/>
                <w:sz w:val="21"/>
                <w:szCs w:val="18"/>
                <w:highlight w:val="none"/>
              </w:rPr>
              <w:t>托管人职责</w:t>
            </w:r>
          </w:p>
        </w:tc>
        <w:tc>
          <w:tcPr>
            <w:tcW w:w="6233" w:type="dxa"/>
            <w:noWrap w:val="0"/>
            <w:vAlign w:val="top"/>
          </w:tcPr>
          <w:p>
            <w:pPr>
              <w:spacing w:line="360" w:lineRule="auto"/>
              <w:jc w:val="left"/>
              <w:rPr>
                <w:rFonts w:hint="eastAsia" w:ascii="宋体" w:hAnsi="宋体" w:cs="宋体"/>
                <w:bCs/>
                <w:sz w:val="21"/>
                <w:szCs w:val="18"/>
                <w:highlight w:val="none"/>
              </w:rPr>
            </w:pPr>
            <w:r>
              <w:rPr>
                <w:rFonts w:hint="eastAsia" w:ascii="宋体" w:hAnsi="宋体" w:cs="宋体"/>
                <w:bCs/>
                <w:sz w:val="21"/>
                <w:szCs w:val="18"/>
                <w:highlight w:val="none"/>
              </w:rPr>
              <w:t>主要提供包括账户开立、资金保管、资金结算、估值核对等理财产品托管服务。</w:t>
            </w:r>
          </w:p>
        </w:tc>
      </w:tr>
    </w:tbl>
    <w:p>
      <w:pPr>
        <w:numPr>
          <w:ilvl w:val="0"/>
          <w:numId w:val="2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830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88"/>
        <w:gridCol w:w="1325"/>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restart"/>
            <w:noWrap w:val="0"/>
            <w:vAlign w:val="center"/>
          </w:tcPr>
          <w:p>
            <w:pPr>
              <w:spacing w:line="24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销售机构</w:t>
            </w:r>
            <w:r>
              <w:rPr>
                <w:rFonts w:hint="eastAsia" w:ascii="宋体" w:hAnsi="宋体" w:eastAsia="宋体" w:cs="宋体"/>
                <w:bCs/>
                <w:sz w:val="21"/>
                <w:szCs w:val="21"/>
                <w:highlight w:val="none"/>
                <w:lang w:val="en-US" w:eastAsia="zh-CN"/>
              </w:rPr>
              <w:t>信息</w:t>
            </w: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广东南粤银行股份有限公司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东莞银行股份有限公司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日照银行股份有限公司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苏州银行股份有限公司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杭银理财有限责任公司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澳门国际银行股份有限公司广州分行</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江苏常熟农村商业银行股份有限公司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rPr>
            </w:pPr>
            <w:r>
              <w:rPr>
                <w:rFonts w:hint="eastAsia" w:ascii="宋体" w:hAnsi="宋体" w:eastAsia="宋体" w:cs="宋体"/>
                <w:i w:val="0"/>
                <w:color w:val="000000"/>
                <w:kern w:val="0"/>
                <w:sz w:val="21"/>
                <w:szCs w:val="21"/>
                <w:u w:val="none"/>
                <w:lang w:val="en-US" w:eastAsia="zh-CN" w:bidi="ar"/>
              </w:rPr>
              <w:t>浙商银行股份有限公司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九江银行股份有限公司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浙江舟山定海海洋农村商业银行股份有限公司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浙江临安农村商业银行股份有限公司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浙江青田农村商业银行股份有限公司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南洋商业银行（中国）有限公司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中邮邮惠万家银行有限责任公司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40011-88888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温州银行股份有限公司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浙江新昌农村商业银行股份有限公司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浙江永康农村商业银行股份有限公司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绍兴银行股份有限公司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浙江衢州衢江农村商业银行股份有限公司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新韩银行（中国）有限公司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秦皇岛银行股份有限公司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潍坊银行股份有限公司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浙江江山农村商业银行股份有限公司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浙江常山农村商业银行股份有限公司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restart"/>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浙江武义农村商业银行股份有限公司</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住所</w:t>
            </w:r>
          </w:p>
        </w:tc>
        <w:tc>
          <w:tcPr>
            <w:tcW w:w="3875" w:type="dxa"/>
            <w:noWrap w:val="0"/>
            <w:vAlign w:val="center"/>
          </w:tcPr>
          <w:p>
            <w:pPr>
              <w:keepNext w:val="0"/>
              <w:keepLines w:val="0"/>
              <w:widowControl/>
              <w:suppressLineNumbers w:val="0"/>
              <w:jc w:val="center"/>
              <w:textAlignment w:val="bottom"/>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noWrap w:val="0"/>
            <w:vAlign w:val="center"/>
          </w:tcPr>
          <w:p>
            <w:pPr>
              <w:spacing w:line="240" w:lineRule="auto"/>
              <w:jc w:val="center"/>
              <w:rPr>
                <w:rFonts w:hint="eastAsia" w:ascii="宋体" w:hAnsi="宋体" w:eastAsia="宋体" w:cs="宋体"/>
                <w:bCs/>
                <w:sz w:val="21"/>
                <w:szCs w:val="21"/>
                <w:highlight w:val="none"/>
              </w:rPr>
            </w:pPr>
          </w:p>
        </w:tc>
        <w:tc>
          <w:tcPr>
            <w:tcW w:w="1688" w:type="dxa"/>
            <w:vMerge w:val="continue"/>
            <w:noWrap w:val="0"/>
            <w:vAlign w:val="center"/>
          </w:tcPr>
          <w:p>
            <w:pPr>
              <w:jc w:val="center"/>
              <w:rPr>
                <w:rFonts w:hint="eastAsia" w:ascii="宋体" w:hAnsi="宋体" w:eastAsia="宋体" w:cs="宋体"/>
                <w:bCs/>
                <w:sz w:val="21"/>
                <w:szCs w:val="21"/>
                <w:highlight w:val="none"/>
                <w:lang w:val="en-US" w:eastAsia="zh-CN"/>
              </w:rPr>
            </w:pP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客服热线</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销售机构职责</w:t>
            </w:r>
          </w:p>
        </w:tc>
        <w:tc>
          <w:tcPr>
            <w:tcW w:w="6888" w:type="dxa"/>
            <w:gridSpan w:val="3"/>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主要负责理财计划推广、投资者风险承受能力评估、投资者适当性管理、理财计划份额认购、申购及赎回办理。</w:t>
            </w:r>
            <w:r>
              <w:rPr>
                <w:rFonts w:hint="eastAsia" w:ascii="宋体" w:hAnsi="宋体" w:eastAsia="宋体" w:cs="宋体"/>
                <w:bCs/>
                <w:sz w:val="21"/>
                <w:szCs w:val="21"/>
                <w:highlight w:val="none"/>
              </w:rPr>
              <w:br w:type="textWrapping"/>
            </w:r>
            <w:r>
              <w:rPr>
                <w:rFonts w:hint="eastAsia" w:ascii="宋体" w:hAnsi="宋体" w:eastAsia="宋体" w:cs="宋体"/>
                <w:bCs/>
                <w:sz w:val="21"/>
                <w:szCs w:val="21"/>
                <w:highlight w:val="none"/>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在本理财计划发行后新增准入的销售机构将以管理人对外公告为准。</w:t>
      </w:r>
    </w:p>
    <w:p>
      <w:pPr>
        <w:spacing w:line="360" w:lineRule="auto"/>
        <w:jc w:val="left"/>
        <w:rPr>
          <w:rFonts w:ascii="宋体" w:hAnsi="宋体" w:cs="宋体"/>
          <w:bCs/>
          <w:sz w:val="24"/>
          <w:highlight w:val="none"/>
        </w:rPr>
      </w:pPr>
    </w:p>
    <w:p>
      <w:pPr>
        <w:numPr>
          <w:ilvl w:val="0"/>
          <w:numId w:val="20"/>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2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6"/>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val="en-US" w:eastAsia="zh-CN"/>
        </w:rPr>
        <w:t>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5"/>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5"/>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25"/>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4"/>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6"/>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6"/>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6"/>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6"/>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2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0"/>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2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销售服务费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本理财计划</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原则上按日计提。</w:t>
      </w:r>
    </w:p>
    <w:p>
      <w:pPr>
        <w:numPr>
          <w:ilvl w:val="0"/>
          <w:numId w:val="2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0.40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0.40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val="en-US"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eastAsia="zh-CN"/>
        </w:rPr>
        <w:t>如理财计划实际运作结果不达业绩比较基准下限时，管理人有权减免固定管理费。</w:t>
      </w:r>
    </w:p>
    <w:p>
      <w:pPr>
        <w:numPr>
          <w:ilvl w:val="0"/>
          <w:numId w:val="2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2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本理财计划免除申购费。</w:t>
      </w:r>
    </w:p>
    <w:p>
      <w:pPr>
        <w:numPr>
          <w:ilvl w:val="0"/>
          <w:numId w:val="29"/>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本理财计划免除赎回费。</w:t>
      </w:r>
    </w:p>
    <w:p>
      <w:pPr>
        <w:numPr>
          <w:ilvl w:val="0"/>
          <w:numId w:val="3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理财管理人根据理财计划投资情况计算浮动管理费，本理财计划投资周期的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折合年化收益率超过</w:t>
      </w:r>
      <w:r>
        <w:rPr>
          <w:rFonts w:hint="eastAsia" w:ascii="宋体" w:hAnsi="宋体" w:cs="宋体"/>
          <w:bCs/>
          <w:color w:val="000000"/>
          <w:sz w:val="24"/>
          <w:highlight w:val="none"/>
          <w:lang w:val="en-US" w:eastAsia="zh-CN"/>
        </w:rPr>
        <w:t>业绩比较基准上限</w:t>
      </w:r>
      <w:r>
        <w:rPr>
          <w:rFonts w:hint="eastAsia" w:ascii="宋体" w:hAnsi="宋体" w:cs="宋体"/>
          <w:szCs w:val="21"/>
          <w:highlight w:val="none"/>
        </w:rPr>
        <w:t>〗</w:t>
      </w:r>
      <w:r>
        <w:rPr>
          <w:rFonts w:hint="eastAsia" w:ascii="宋体" w:hAnsi="宋体" w:cs="宋体"/>
          <w:bCs/>
          <w:color w:val="000000"/>
          <w:sz w:val="24"/>
          <w:highlight w:val="none"/>
        </w:rPr>
        <w:t>的部分管理人提取</w:t>
      </w:r>
      <w:r>
        <w:rPr>
          <w:rFonts w:hint="eastAsia" w:ascii="宋体" w:hAnsi="宋体" w:cs="宋体"/>
          <w:szCs w:val="21"/>
          <w:highlight w:val="none"/>
        </w:rPr>
        <w:t>〖</w:t>
      </w:r>
      <w:r>
        <w:rPr>
          <w:rFonts w:hint="eastAsia" w:ascii="宋体" w:hAnsi="宋体" w:cs="宋体"/>
          <w:szCs w:val="21"/>
          <w:highlight w:val="none"/>
          <w:lang w:val="en-US" w:eastAsia="zh-CN"/>
        </w:rPr>
        <w:t>50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作为浮动管理费，每个投资周期结束后收取。本理财计划投资周期的</w:t>
      </w:r>
      <w:r>
        <w:rPr>
          <w:rFonts w:hint="eastAsia" w:ascii="宋体" w:hAnsi="宋体" w:cs="宋体"/>
          <w:szCs w:val="21"/>
          <w:highlight w:val="none"/>
        </w:rPr>
        <w:t>〖</w:t>
      </w:r>
      <w:r>
        <w:rPr>
          <w:rFonts w:hint="eastAsia" w:ascii="宋体" w:hAnsi="宋体" w:cs="宋体"/>
          <w:bCs/>
          <w:color w:val="000000"/>
          <w:sz w:val="24"/>
          <w:highlight w:val="none"/>
        </w:rPr>
        <w:t>折合年化收益率若小于或等于</w:t>
      </w:r>
      <w:r>
        <w:rPr>
          <w:rFonts w:hint="eastAsia" w:ascii="宋体" w:hAnsi="宋体" w:cs="宋体"/>
          <w:bCs/>
          <w:color w:val="000000"/>
          <w:sz w:val="24"/>
          <w:highlight w:val="none"/>
          <w:lang w:val="en-US" w:eastAsia="zh-CN"/>
        </w:rPr>
        <w:t>业绩比较基准上限</w:t>
      </w:r>
      <w:r>
        <w:rPr>
          <w:rFonts w:hint="eastAsia" w:ascii="宋体" w:hAnsi="宋体" w:cs="宋体"/>
          <w:szCs w:val="21"/>
          <w:highlight w:val="none"/>
        </w:rPr>
        <w:t>〗</w:t>
      </w:r>
      <w:r>
        <w:rPr>
          <w:rFonts w:hint="eastAsia" w:ascii="宋体" w:hAnsi="宋体" w:cs="宋体"/>
          <w:bCs/>
          <w:color w:val="000000"/>
          <w:sz w:val="24"/>
          <w:highlight w:val="none"/>
        </w:rPr>
        <w:t>则不收取浮动管理费。</w:t>
      </w:r>
      <w:r>
        <w:rPr>
          <w:rFonts w:hint="eastAsia" w:ascii="宋体" w:hAnsi="宋体" w:cs="宋体"/>
          <w:bCs/>
          <w:color w:val="000000"/>
          <w:sz w:val="24"/>
          <w:highlight w:val="none"/>
          <w:lang w:eastAsia="zh-CN"/>
        </w:rPr>
        <w:t>浮动管理费原则上按估值日计提，</w:t>
      </w:r>
      <w:r>
        <w:rPr>
          <w:rFonts w:hint="eastAsia" w:ascii="宋体" w:hAnsi="宋体" w:cs="宋体"/>
          <w:bCs/>
          <w:color w:val="000000"/>
          <w:sz w:val="24"/>
          <w:highlight w:val="none"/>
          <w:lang w:val="en-US" w:eastAsia="zh-CN"/>
        </w:rPr>
        <w:t>每个投资周期结束后</w:t>
      </w:r>
      <w:r>
        <w:rPr>
          <w:rFonts w:hint="eastAsia" w:ascii="宋体" w:hAnsi="宋体" w:cs="宋体"/>
          <w:bCs/>
          <w:color w:val="000000"/>
          <w:sz w:val="24"/>
          <w:highlight w:val="none"/>
          <w:lang w:eastAsia="zh-CN"/>
        </w:rPr>
        <w:t>收取。</w:t>
      </w:r>
      <w:r>
        <w:rPr>
          <w:rFonts w:hint="eastAsia" w:ascii="宋体" w:hAnsi="宋体" w:cs="宋体"/>
          <w:bCs/>
          <w:color w:val="000000"/>
          <w:sz w:val="24"/>
          <w:highlight w:val="none"/>
        </w:rPr>
        <w:t>具体计算方法如下：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lang w:val="en-US" w:eastAsia="zh-CN"/>
        </w:rPr>
        <w:t>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H为当前确认日应收取浮动管理费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rPr>
        <w:t>本理财计划</w:t>
      </w:r>
      <w:r>
        <w:rPr>
          <w:rFonts w:hint="eastAsia" w:ascii="宋体" w:hAnsi="宋体" w:cs="宋体"/>
          <w:bCs/>
          <w:color w:val="000000"/>
          <w:sz w:val="24"/>
          <w:highlight w:val="none"/>
        </w:rPr>
        <w:t>上一个确认日的存续份额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R为本次投资周期的业绩比较</w:t>
      </w:r>
      <w:r>
        <w:rPr>
          <w:rFonts w:hint="eastAsia" w:ascii="宋体" w:hAnsi="宋体" w:cs="宋体"/>
          <w:bCs/>
          <w:color w:val="000000"/>
          <w:sz w:val="24"/>
          <w:highlight w:val="none"/>
          <w:lang w:val="en-US" w:eastAsia="zh-CN"/>
        </w:rPr>
        <w:t>基准</w:t>
      </w:r>
      <w:r>
        <w:rPr>
          <w:rFonts w:hint="eastAsia" w:ascii="宋体" w:hAnsi="宋体" w:cs="宋体"/>
          <w:bCs/>
          <w:color w:val="000000"/>
          <w:sz w:val="24"/>
          <w:highlight w:val="none"/>
        </w:rPr>
        <w:t>上限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T为当前投资周期内每单位份额的实际分红金额的合计（如有）</w:t>
      </w:r>
    </w:p>
    <w:p>
      <w:pPr>
        <w:numPr>
          <w:ilvl w:val="0"/>
          <w:numId w:val="3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4"/>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4"/>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0"/>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w:t>
      </w:r>
      <w:r>
        <w:rPr>
          <w:rFonts w:hint="eastAsia" w:ascii="宋体" w:hAnsi="宋体" w:cs="宋体"/>
          <w:bCs/>
          <w:color w:val="000000"/>
          <w:sz w:val="24"/>
          <w:highlight w:val="none"/>
        </w:rPr>
        <w:t>为提取相关费用及税费后的单位理财计划份额净值。</w:t>
      </w:r>
    </w:p>
    <w:p>
      <w:pPr>
        <w:numPr>
          <w:ilvl w:val="0"/>
          <w:numId w:val="35"/>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eastAsia="zh-CN"/>
        </w:rPr>
        <w:t>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（如有）后，投资收益率超过〖</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以某投资者投资10万元为例，假设购买时理财计划净值为1.00元，折算份额为100,000.00份,假设投资理财计划362天</w:t>
      </w:r>
      <w:r>
        <w:rPr>
          <w:rFonts w:hint="eastAsia" w:ascii="宋体" w:hAnsi="宋体" w:cs="宋体"/>
          <w:bCs/>
          <w:color w:val="000000"/>
        </w:rPr>
        <w:t>后，赎回份额100,000.00份</w:t>
      </w:r>
      <w:r>
        <w:rPr>
          <w:rFonts w:hint="eastAsia" w:ascii="宋体" w:hAnsi="宋体" w:cs="宋体"/>
          <w:bCs/>
          <w:color w:val="000000"/>
          <w:sz w:val="24"/>
          <w:highlight w:val="none"/>
        </w:rPr>
        <w:t>。假设管理人提取超过〖业绩比较基准上限〗的50%作为浮动管理费，</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（如有）后，如理财计划净值为1.0615，此时，(1.0615/1.00-1)×365/362=6.20%&gt;5.00%，即投资收益超过〖5.00%〗，则投资管理人对超过〖5.00%〗部分收益收取浮动管理费，浮动管理费为：</w:t>
      </w:r>
    </w:p>
    <w:p>
      <w:pPr>
        <w:spacing w:line="360" w:lineRule="auto"/>
        <w:ind w:firstLine="480" w:firstLineChars="2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100,000.00×1.0615-100,000.00×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50%=595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100,000.00×（1.0615-1.00）-</w:t>
      </w:r>
      <w:r>
        <w:rPr>
          <w:rFonts w:hint="eastAsia" w:ascii="宋体" w:hAnsi="宋体" w:cs="宋体"/>
          <w:bCs/>
          <w:color w:val="000000"/>
          <w:sz w:val="24"/>
          <w:highlight w:val="none"/>
          <w:lang w:val="en-US" w:eastAsia="zh-CN"/>
        </w:rPr>
        <w:t>595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55</w:t>
      </w:r>
      <w:r>
        <w:rPr>
          <w:rFonts w:hint="eastAsia" w:ascii="宋体" w:hAnsi="宋体" w:cs="宋体"/>
          <w:bCs/>
          <w:color w:val="000000"/>
          <w:sz w:val="24"/>
          <w:highlight w:val="none"/>
        </w:rPr>
        <w:t xml:space="preserve"> =5,55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（元），理财计划</w:t>
      </w:r>
      <w:r>
        <w:rPr>
          <w:rFonts w:hint="eastAsia" w:ascii="宋体" w:hAnsi="宋体" w:cs="宋体"/>
          <w:bCs/>
          <w:color w:val="000000"/>
          <w:sz w:val="24"/>
          <w:highlight w:val="none"/>
          <w:lang w:val="en-US" w:eastAsia="zh-CN"/>
        </w:rPr>
        <w:t>赎回</w:t>
      </w:r>
      <w:r>
        <w:rPr>
          <w:rFonts w:hint="eastAsia" w:ascii="宋体" w:hAnsi="宋体" w:cs="宋体"/>
          <w:bCs/>
          <w:color w:val="000000"/>
          <w:sz w:val="24"/>
          <w:highlight w:val="none"/>
        </w:rPr>
        <w:t>时，投资者获得的实际收益相当于达到年化收益率水平为：</w:t>
      </w:r>
      <w:r>
        <w:rPr>
          <w:rFonts w:hint="eastAsia" w:ascii="宋体" w:hAnsi="宋体" w:cs="宋体"/>
          <w:bCs/>
          <w:color w:val="000000"/>
          <w:sz w:val="24"/>
          <w:highlight w:val="none"/>
        </w:rPr>
        <w:t>5,55</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45</w:t>
      </w:r>
      <w:r>
        <w:rPr>
          <w:rFonts w:hint="eastAsia" w:ascii="宋体" w:hAnsi="宋体" w:cs="宋体"/>
          <w:bCs/>
          <w:color w:val="000000"/>
          <w:sz w:val="24"/>
          <w:highlight w:val="none"/>
        </w:rPr>
        <w:t>/100,000.00×365/362=5.60%。</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（如有）后，投资收益率未达到〖</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以某投资者投资10万元为例，假设购买时理财计划净值为1.00元，折算份额为100,000.00份，假设投资理财计划362天</w:t>
      </w:r>
      <w:r>
        <w:rPr>
          <w:rFonts w:hint="eastAsia" w:ascii="宋体" w:hAnsi="宋体" w:cs="宋体"/>
          <w:bCs/>
          <w:color w:val="000000"/>
        </w:rPr>
        <w:t>后，赎回份额100,000.00份</w:t>
      </w:r>
      <w:r>
        <w:rPr>
          <w:rFonts w:hint="eastAsia" w:ascii="宋体" w:hAnsi="宋体" w:cs="宋体"/>
          <w:bCs/>
          <w:color w:val="000000"/>
          <w:sz w:val="24"/>
          <w:highlight w:val="none"/>
        </w:rPr>
        <w:t>。假设管理人提取超过〖</w:t>
      </w:r>
      <w:r>
        <w:rPr>
          <w:rFonts w:hint="eastAsia" w:ascii="宋体" w:hAnsi="宋体" w:cs="宋体"/>
          <w:bCs/>
          <w:color w:val="000000"/>
          <w:sz w:val="24"/>
          <w:highlight w:val="none"/>
        </w:rPr>
        <w:t>业绩比较基准上限</w:t>
      </w:r>
      <w:r>
        <w:rPr>
          <w:rFonts w:hint="eastAsia" w:ascii="宋体" w:hAnsi="宋体" w:cs="宋体"/>
          <w:bCs/>
          <w:color w:val="000000"/>
          <w:sz w:val="24"/>
          <w:highlight w:val="none"/>
        </w:rPr>
        <w:t>〗的50%作为浮动管理费，</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（如有）后，如理财计划净值为1.0426，此时，(1.0426/1.00-1)×365/362=4.30%&lt;5.00%，即投资收益未达到〖5.00%〗，则投资管理人不收取浮动管理费，投资者最终收益为：100,000.00×(1.0426-1.00）=4,260.00（元）</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示例三</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以某投资者投资10万元为例，假设购买时理财计划净值为1.00元，折算份额为100,000.00份，假设投资理财计划362天</w:t>
      </w:r>
      <w:r>
        <w:rPr>
          <w:rFonts w:hint="eastAsia" w:ascii="宋体" w:hAnsi="宋体" w:cs="宋体"/>
          <w:bCs/>
          <w:color w:val="000000"/>
        </w:rPr>
        <w:t>后，赎回份额100,000.00份</w:t>
      </w:r>
      <w:r>
        <w:rPr>
          <w:rFonts w:hint="eastAsia" w:ascii="宋体" w:hAnsi="宋体" w:cs="宋体"/>
          <w:bCs/>
          <w:color w:val="000000"/>
          <w:sz w:val="24"/>
          <w:highlight w:val="none"/>
        </w:rPr>
        <w:t>。假设管理人提取超过〖</w:t>
      </w:r>
      <w:r>
        <w:rPr>
          <w:rFonts w:hint="eastAsia" w:ascii="宋体" w:hAnsi="宋体" w:cs="宋体"/>
          <w:bCs/>
          <w:color w:val="000000"/>
          <w:sz w:val="24"/>
          <w:highlight w:val="none"/>
        </w:rPr>
        <w:t>业绩比较基准上限</w:t>
      </w:r>
      <w:r>
        <w:rPr>
          <w:rFonts w:hint="eastAsia" w:ascii="宋体" w:hAnsi="宋体" w:cs="宋体"/>
          <w:bCs/>
          <w:color w:val="000000"/>
          <w:sz w:val="24"/>
          <w:highlight w:val="none"/>
        </w:rPr>
        <w:t>〗的50%作为浮动管理费，</w:t>
      </w:r>
      <w:r>
        <w:rPr>
          <w:rFonts w:hint="eastAsia" w:ascii="宋体" w:hAnsi="宋体" w:cs="宋体"/>
          <w:bCs/>
          <w:color w:val="000000"/>
          <w:sz w:val="24"/>
          <w:highlight w:val="none"/>
          <w:lang w:val="en-US" w:eastAsia="zh-CN"/>
        </w:rPr>
        <w:t>业绩比较基准上限为5.00%，期间无分红。赎回</w:t>
      </w:r>
      <w:r>
        <w:rPr>
          <w:rFonts w:hint="eastAsia" w:ascii="宋体" w:hAnsi="宋体" w:cs="宋体"/>
          <w:bCs/>
          <w:color w:val="000000"/>
          <w:sz w:val="24"/>
          <w:highlight w:val="none"/>
        </w:rPr>
        <w:t>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（如有）后，如理财计划净值为0.9975，则投资管理人不收取浮动管理费，投资者最终收益为：100,000.00×（0.9975-1.00）=-250.00（元）。</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val="en-US"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0"/>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w:t>
      </w:r>
      <w:r>
        <w:rPr>
          <w:rFonts w:hint="eastAsia" w:ascii="宋体" w:hAnsi="宋体" w:cs="宋体"/>
          <w:bCs/>
          <w:color w:val="000000"/>
        </w:rPr>
        <w:t>具体以销售机构要求为准</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p>
    <w:p>
      <w:pPr>
        <w:numPr>
          <w:ilvl w:val="0"/>
          <w:numId w:val="3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3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9"/>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4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申请将在确认日进行确认，即开放期后的第〖1〗个工作日进行确认。</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工作时间为每个工作日上午〖9:00〗至下午〖17:00〗。</w:t>
      </w:r>
      <w:r>
        <w:rPr>
          <w:rFonts w:hint="eastAsia" w:ascii="宋体" w:hAnsi="宋体" w:cs="宋体"/>
          <w:color w:val="000000"/>
          <w:kern w:val="0"/>
          <w:sz w:val="24"/>
          <w:szCs w:val="24"/>
          <w:highlight w:val="none"/>
        </w:rPr>
        <w:t>（具体以销售机构规定为准）</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如</w:t>
      </w:r>
      <w:r>
        <w:rPr>
          <w:rFonts w:hint="eastAsia" w:ascii="宋体" w:hAnsi="宋体" w:cs="宋体"/>
          <w:bCs/>
          <w:color w:val="000000"/>
          <w:sz w:val="24"/>
          <w:highlight w:val="none"/>
          <w:lang w:eastAsia="zh-CN"/>
        </w:rPr>
        <w:t>新增申</w:t>
      </w:r>
      <w:r>
        <w:rPr>
          <w:rFonts w:hint="eastAsia" w:ascii="宋体" w:hAnsi="宋体" w:cs="宋体"/>
          <w:bCs/>
          <w:color w:val="000000"/>
          <w:sz w:val="24"/>
          <w:highlight w:val="none"/>
          <w:lang w:val="en-US" w:eastAsia="zh-CN"/>
        </w:rPr>
        <w:t>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〗个工作日内（遇节假日顺延）理财资金与收益将一次性支付。如遇资金在途或法定工作日调整，实际资金到账日以公告为准。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4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理财计划存续期内，若理财计划开放日净赎回申请份额超过上一日日终理财计划总份额〖10%〗时，即构成巨额赎回。</w:t>
      </w:r>
    </w:p>
    <w:p>
      <w:pPr>
        <w:numPr>
          <w:ilvl w:val="0"/>
          <w:numId w:val="4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如连续2日（含）以上开放日发生巨额赎回，对于已经接受的赎回申请，管理人可以延缓支付赎回款项，但延缓期限不得超过5个工作日。</w:t>
      </w:r>
    </w:p>
    <w:p>
      <w:pPr>
        <w:numPr>
          <w:ilvl w:val="0"/>
          <w:numId w:val="4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4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4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4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4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4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4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4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3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cs="宋体"/>
          <w:bCs/>
          <w:sz w:val="24"/>
          <w:highlight w:val="none"/>
          <w:lang w:val="en-US" w:eastAsia="zh-CN"/>
        </w:rPr>
        <w:t>1</w:t>
      </w:r>
      <w:r>
        <w:rPr>
          <w:rFonts w:hint="eastAsia" w:ascii="宋体" w:hAnsi="宋体" w:cs="宋体"/>
          <w:bCs/>
          <w:sz w:val="24"/>
          <w:highlight w:val="none"/>
        </w:rPr>
        <w:t>〗个工作日、最晚〖</w:t>
      </w:r>
      <w:r>
        <w:rPr>
          <w:rFonts w:hint="eastAsia" w:ascii="宋体" w:hAnsi="宋体" w:cs="宋体"/>
          <w:bCs/>
          <w:sz w:val="24"/>
          <w:highlight w:val="none"/>
          <w:lang w:val="en-US" w:eastAsia="zh-CN"/>
        </w:rPr>
        <w:t>3</w:t>
      </w:r>
      <w:r>
        <w:rPr>
          <w:rFonts w:hint="eastAsia" w:ascii="宋体" w:hAnsi="宋体" w:cs="宋体"/>
          <w:bCs/>
          <w:sz w:val="24"/>
          <w:highlight w:val="none"/>
        </w:rPr>
        <w:t>〗个工作日内（遇节假日顺延）将资金按规定的要求划入投资者授权指定的理财账户。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3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szCs w:val="24"/>
          <w:highlight w:val="none"/>
        </w:rPr>
        <w:t>〖</w:t>
      </w:r>
      <w:r>
        <w:rPr>
          <w:rFonts w:hint="eastAsia" w:ascii="宋体" w:hAnsi="宋体" w:cs="宋体"/>
          <w:szCs w:val="21"/>
          <w:highlight w:val="none"/>
          <w:lang w:val="en-US" w:eastAsia="zh-CN"/>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市场收益率大幅波动，可能或实质影响理财计划投资收益的。</w:t>
      </w:r>
    </w:p>
    <w:p>
      <w:pPr>
        <w:numPr>
          <w:ilvl w:val="0"/>
          <w:numId w:val="4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0"/>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5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highlight w:val="none"/>
        </w:rPr>
        <w:t>理财产品成立不足90个工作日或者存续期不超过90个工作日的，不编制理财产品当期的季度、半年和年度报告。</w:t>
      </w:r>
    </w:p>
    <w:p>
      <w:pPr>
        <w:numPr>
          <w:ilvl w:val="0"/>
          <w:numId w:val="5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5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0"/>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5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eastAsia="zh-CN"/>
        </w:rPr>
        <w:t>销售机构或</w:t>
      </w:r>
      <w:r>
        <w:rPr>
          <w:rFonts w:hint="eastAsia" w:ascii="宋体" w:hAnsi="宋体" w:cs="宋体"/>
          <w:bCs/>
          <w:color w:val="000000"/>
          <w:sz w:val="24"/>
          <w:highlight w:val="none"/>
        </w:rPr>
        <w:t>管理人所在地有管辖权的人民法院诉讼解决。</w:t>
      </w:r>
    </w:p>
    <w:p>
      <w:pPr>
        <w:numPr>
          <w:ilvl w:val="0"/>
          <w:numId w:val="5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jc w:val="both"/>
        <w:outlineLvl w:val="0"/>
        <w:rPr>
          <w:rFonts w:hint="eastAsia" w:ascii="Calibri" w:hAnsi="Calibri" w:eastAsia="宋体" w:cs="黑体"/>
          <w:b/>
          <w:bCs w:val="0"/>
          <w:sz w:val="44"/>
          <w:szCs w:val="44"/>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投资需谨慎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5460E80"/>
    <w:multiLevelType w:val="singleLevel"/>
    <w:tmpl w:val="85460E80"/>
    <w:lvl w:ilvl="0" w:tentative="0">
      <w:start w:val="1"/>
      <w:numFmt w:val="decimal"/>
      <w:suff w:val="nothing"/>
      <w:lvlText w:val="（%1）"/>
      <w:lvlJc w:val="left"/>
      <w:rPr>
        <w:rFonts w:hint="default"/>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4">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5">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6">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7">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8">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19">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0">
    <w:nsid w:val="D8D75090"/>
    <w:multiLevelType w:val="singleLevel"/>
    <w:tmpl w:val="D8D75090"/>
    <w:lvl w:ilvl="0" w:tentative="0">
      <w:start w:val="1"/>
      <w:numFmt w:val="decimal"/>
      <w:suff w:val="nothing"/>
      <w:lvlText w:val="（%1）"/>
      <w:lvlJc w:val="left"/>
      <w:rPr>
        <w:rFonts w:hint="default"/>
        <w:b w:val="0"/>
        <w:bCs w:val="0"/>
      </w:rPr>
    </w:lvl>
  </w:abstractNum>
  <w:abstractNum w:abstractNumId="21">
    <w:nsid w:val="DD2251DF"/>
    <w:multiLevelType w:val="singleLevel"/>
    <w:tmpl w:val="DD2251DF"/>
    <w:lvl w:ilvl="0" w:tentative="0">
      <w:start w:val="1"/>
      <w:numFmt w:val="decimal"/>
      <w:suff w:val="nothing"/>
      <w:lvlText w:val="（%1）"/>
      <w:lvlJc w:val="left"/>
      <w:rPr>
        <w:rFonts w:hint="default"/>
        <w:b w:val="0"/>
        <w:bCs w:val="0"/>
      </w:rPr>
    </w:lvl>
  </w:abstractNum>
  <w:abstractNum w:abstractNumId="22">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3">
    <w:nsid w:val="E70DF796"/>
    <w:multiLevelType w:val="singleLevel"/>
    <w:tmpl w:val="E70DF796"/>
    <w:lvl w:ilvl="0" w:tentative="0">
      <w:start w:val="1"/>
      <w:numFmt w:val="decimal"/>
      <w:suff w:val="nothing"/>
      <w:lvlText w:val="（%1）"/>
      <w:lvlJc w:val="left"/>
    </w:lvl>
  </w:abstractNum>
  <w:abstractNum w:abstractNumId="24">
    <w:nsid w:val="EFF37F09"/>
    <w:multiLevelType w:val="singleLevel"/>
    <w:tmpl w:val="EFF37F09"/>
    <w:lvl w:ilvl="0" w:tentative="0">
      <w:start w:val="1"/>
      <w:numFmt w:val="decimal"/>
      <w:suff w:val="nothing"/>
      <w:lvlText w:val="（%1）"/>
      <w:lvlJc w:val="left"/>
      <w:rPr>
        <w:rFonts w:hint="default"/>
        <w:b w:val="0"/>
        <w:bCs w:val="0"/>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28">
    <w:nsid w:val="F574F5B6"/>
    <w:multiLevelType w:val="singleLevel"/>
    <w:tmpl w:val="F574F5B6"/>
    <w:lvl w:ilvl="0" w:tentative="0">
      <w:start w:val="1"/>
      <w:numFmt w:val="decimal"/>
      <w:suff w:val="nothing"/>
      <w:lvlText w:val="（%1）"/>
      <w:lvlJc w:val="left"/>
    </w:lvl>
  </w:abstractNum>
  <w:abstractNum w:abstractNumId="29">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37">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8">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39">
    <w:nsid w:val="2CB63BE6"/>
    <w:multiLevelType w:val="singleLevel"/>
    <w:tmpl w:val="2CB63BE6"/>
    <w:lvl w:ilvl="0" w:tentative="0">
      <w:start w:val="1"/>
      <w:numFmt w:val="decimal"/>
      <w:suff w:val="nothing"/>
      <w:lvlText w:val="（%1）"/>
      <w:lvlJc w:val="left"/>
      <w:rPr>
        <w:rFonts w:hint="default"/>
        <w:b w:val="0"/>
        <w:bCs w:val="0"/>
      </w:rPr>
    </w:lvl>
  </w:abstractNum>
  <w:abstractNum w:abstractNumId="40">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4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7">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8">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9">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0">
    <w:nsid w:val="5BA91325"/>
    <w:multiLevelType w:val="singleLevel"/>
    <w:tmpl w:val="5BA91325"/>
    <w:lvl w:ilvl="0" w:tentative="0">
      <w:start w:val="1"/>
      <w:numFmt w:val="decimal"/>
      <w:suff w:val="nothing"/>
      <w:lvlText w:val="（%1）"/>
      <w:lvlJc w:val="left"/>
    </w:lvl>
  </w:abstractNum>
  <w:abstractNum w:abstractNumId="51">
    <w:nsid w:val="61F30F62"/>
    <w:multiLevelType w:val="singleLevel"/>
    <w:tmpl w:val="61F30F62"/>
    <w:lvl w:ilvl="0" w:tentative="0">
      <w:start w:val="1"/>
      <w:numFmt w:val="decimal"/>
      <w:suff w:val="nothing"/>
      <w:lvlText w:val="（%1）"/>
      <w:lvlJc w:val="left"/>
      <w:rPr>
        <w:rFonts w:hint="default"/>
        <w:b w:val="0"/>
        <w:bCs w:val="0"/>
      </w:rPr>
    </w:lvl>
  </w:abstractNum>
  <w:abstractNum w:abstractNumId="5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48"/>
  </w:num>
  <w:num w:numId="2">
    <w:abstractNumId w:val="44"/>
  </w:num>
  <w:num w:numId="3">
    <w:abstractNumId w:val="29"/>
  </w:num>
  <w:num w:numId="4">
    <w:abstractNumId w:val="26"/>
  </w:num>
  <w:num w:numId="5">
    <w:abstractNumId w:val="33"/>
  </w:num>
  <w:num w:numId="6">
    <w:abstractNumId w:val="25"/>
  </w:num>
  <w:num w:numId="7">
    <w:abstractNumId w:val="17"/>
  </w:num>
  <w:num w:numId="8">
    <w:abstractNumId w:val="10"/>
  </w:num>
  <w:num w:numId="9">
    <w:abstractNumId w:val="14"/>
  </w:num>
  <w:num w:numId="10">
    <w:abstractNumId w:val="7"/>
  </w:num>
  <w:num w:numId="11">
    <w:abstractNumId w:val="8"/>
  </w:num>
  <w:num w:numId="12">
    <w:abstractNumId w:val="6"/>
  </w:num>
  <w:num w:numId="13">
    <w:abstractNumId w:val="32"/>
  </w:num>
  <w:num w:numId="14">
    <w:abstractNumId w:val="43"/>
  </w:num>
  <w:num w:numId="15">
    <w:abstractNumId w:val="28"/>
  </w:num>
  <w:num w:numId="16">
    <w:abstractNumId w:val="45"/>
  </w:num>
  <w:num w:numId="17">
    <w:abstractNumId w:val="50"/>
  </w:num>
  <w:num w:numId="18">
    <w:abstractNumId w:val="38"/>
  </w:num>
  <w:num w:numId="19">
    <w:abstractNumId w:val="16"/>
  </w:num>
  <w:num w:numId="20">
    <w:abstractNumId w:val="37"/>
  </w:num>
  <w:num w:numId="21">
    <w:abstractNumId w:val="19"/>
  </w:num>
  <w:num w:numId="22">
    <w:abstractNumId w:val="5"/>
  </w:num>
  <w:num w:numId="23">
    <w:abstractNumId w:val="47"/>
  </w:num>
  <w:num w:numId="24">
    <w:abstractNumId w:val="4"/>
  </w:num>
  <w:num w:numId="25">
    <w:abstractNumId w:val="31"/>
  </w:num>
  <w:num w:numId="26">
    <w:abstractNumId w:val="36"/>
  </w:num>
  <w:num w:numId="27">
    <w:abstractNumId w:val="52"/>
  </w:num>
  <w:num w:numId="28">
    <w:abstractNumId w:val="30"/>
  </w:num>
  <w:num w:numId="29">
    <w:abstractNumId w:val="18"/>
  </w:num>
  <w:num w:numId="30">
    <w:abstractNumId w:val="40"/>
  </w:num>
  <w:num w:numId="31">
    <w:abstractNumId w:val="0"/>
  </w:num>
  <w:num w:numId="32">
    <w:abstractNumId w:val="21"/>
  </w:num>
  <w:num w:numId="33">
    <w:abstractNumId w:val="42"/>
  </w:num>
  <w:num w:numId="34">
    <w:abstractNumId w:val="2"/>
  </w:num>
  <w:num w:numId="35">
    <w:abstractNumId w:val="22"/>
  </w:num>
  <w:num w:numId="36">
    <w:abstractNumId w:val="13"/>
  </w:num>
  <w:num w:numId="37">
    <w:abstractNumId w:val="46"/>
  </w:num>
  <w:num w:numId="38">
    <w:abstractNumId w:val="34"/>
  </w:num>
  <w:num w:numId="39">
    <w:abstractNumId w:val="15"/>
  </w:num>
  <w:num w:numId="40">
    <w:abstractNumId w:val="27"/>
  </w:num>
  <w:num w:numId="41">
    <w:abstractNumId w:val="23"/>
  </w:num>
  <w:num w:numId="42">
    <w:abstractNumId w:val="24"/>
  </w:num>
  <w:num w:numId="43">
    <w:abstractNumId w:val="51"/>
  </w:num>
  <w:num w:numId="44">
    <w:abstractNumId w:val="39"/>
  </w:num>
  <w:num w:numId="45">
    <w:abstractNumId w:val="1"/>
  </w:num>
  <w:num w:numId="46">
    <w:abstractNumId w:val="49"/>
  </w:num>
  <w:num w:numId="47">
    <w:abstractNumId w:val="11"/>
  </w:num>
  <w:num w:numId="48">
    <w:abstractNumId w:val="9"/>
  </w:num>
  <w:num w:numId="49">
    <w:abstractNumId w:val="12"/>
  </w:num>
  <w:num w:numId="50">
    <w:abstractNumId w:val="35"/>
  </w:num>
  <w:num w:numId="51">
    <w:abstractNumId w:val="20"/>
  </w:num>
  <w:num w:numId="52">
    <w:abstractNumId w:val="3"/>
  </w:num>
  <w:num w:numId="5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4A3A51"/>
    <w:rsid w:val="00D5498D"/>
    <w:rsid w:val="01364432"/>
    <w:rsid w:val="01523B8E"/>
    <w:rsid w:val="01BB3F30"/>
    <w:rsid w:val="01E60817"/>
    <w:rsid w:val="01FD241C"/>
    <w:rsid w:val="03F1228C"/>
    <w:rsid w:val="046C4318"/>
    <w:rsid w:val="05165B63"/>
    <w:rsid w:val="05E05E4D"/>
    <w:rsid w:val="05ED7265"/>
    <w:rsid w:val="06420CFA"/>
    <w:rsid w:val="06503B59"/>
    <w:rsid w:val="065B6789"/>
    <w:rsid w:val="06DA626B"/>
    <w:rsid w:val="06F301FD"/>
    <w:rsid w:val="0752555A"/>
    <w:rsid w:val="07C960D7"/>
    <w:rsid w:val="07E45984"/>
    <w:rsid w:val="0828699A"/>
    <w:rsid w:val="087D4021"/>
    <w:rsid w:val="08E1077C"/>
    <w:rsid w:val="09155E8F"/>
    <w:rsid w:val="097E3F67"/>
    <w:rsid w:val="09FE573C"/>
    <w:rsid w:val="0A0C6349"/>
    <w:rsid w:val="0A1347F5"/>
    <w:rsid w:val="0A1F3796"/>
    <w:rsid w:val="0A2434E2"/>
    <w:rsid w:val="0A2A32B9"/>
    <w:rsid w:val="0AA05189"/>
    <w:rsid w:val="0B8E27E3"/>
    <w:rsid w:val="0BF71AE2"/>
    <w:rsid w:val="0C9C7394"/>
    <w:rsid w:val="0CA6603D"/>
    <w:rsid w:val="0D0B1B00"/>
    <w:rsid w:val="0D3F210A"/>
    <w:rsid w:val="0E36795A"/>
    <w:rsid w:val="0E4A4B6F"/>
    <w:rsid w:val="0E9465E2"/>
    <w:rsid w:val="0EAE473F"/>
    <w:rsid w:val="0EF65480"/>
    <w:rsid w:val="0F3349D0"/>
    <w:rsid w:val="0F821EAC"/>
    <w:rsid w:val="10776FA2"/>
    <w:rsid w:val="10E7087B"/>
    <w:rsid w:val="10FA5463"/>
    <w:rsid w:val="119C4829"/>
    <w:rsid w:val="11BA058F"/>
    <w:rsid w:val="12081858"/>
    <w:rsid w:val="12B62B3B"/>
    <w:rsid w:val="12F57C75"/>
    <w:rsid w:val="12F65E46"/>
    <w:rsid w:val="12F96486"/>
    <w:rsid w:val="13031153"/>
    <w:rsid w:val="13181417"/>
    <w:rsid w:val="135A629F"/>
    <w:rsid w:val="13CF7B8E"/>
    <w:rsid w:val="14B80FF2"/>
    <w:rsid w:val="14C57FED"/>
    <w:rsid w:val="150C5665"/>
    <w:rsid w:val="15485BE1"/>
    <w:rsid w:val="15C56302"/>
    <w:rsid w:val="160940BB"/>
    <w:rsid w:val="1659752C"/>
    <w:rsid w:val="16CE5BE1"/>
    <w:rsid w:val="16E43A7F"/>
    <w:rsid w:val="175F7C56"/>
    <w:rsid w:val="17F169B0"/>
    <w:rsid w:val="185A3DA1"/>
    <w:rsid w:val="198C4B50"/>
    <w:rsid w:val="19BB4557"/>
    <w:rsid w:val="19DA4F78"/>
    <w:rsid w:val="19F13F4F"/>
    <w:rsid w:val="1A102675"/>
    <w:rsid w:val="1A3B5FB6"/>
    <w:rsid w:val="1B280245"/>
    <w:rsid w:val="1B581220"/>
    <w:rsid w:val="1B843575"/>
    <w:rsid w:val="1BBE4697"/>
    <w:rsid w:val="1C1B1717"/>
    <w:rsid w:val="1C8071BB"/>
    <w:rsid w:val="1CD6762A"/>
    <w:rsid w:val="1D4D5B7F"/>
    <w:rsid w:val="1D5076C2"/>
    <w:rsid w:val="1D552DD9"/>
    <w:rsid w:val="1DAB6D83"/>
    <w:rsid w:val="1E3173A3"/>
    <w:rsid w:val="1E792E51"/>
    <w:rsid w:val="1F0F5A19"/>
    <w:rsid w:val="1F1D6E1F"/>
    <w:rsid w:val="1F3E7F7D"/>
    <w:rsid w:val="1F51312D"/>
    <w:rsid w:val="1FC9553A"/>
    <w:rsid w:val="204D3B12"/>
    <w:rsid w:val="205A2AB3"/>
    <w:rsid w:val="20B6224D"/>
    <w:rsid w:val="21025026"/>
    <w:rsid w:val="21036497"/>
    <w:rsid w:val="21CE3241"/>
    <w:rsid w:val="22A04AF7"/>
    <w:rsid w:val="22A73C8E"/>
    <w:rsid w:val="22D3594B"/>
    <w:rsid w:val="22F12819"/>
    <w:rsid w:val="22F16CBB"/>
    <w:rsid w:val="234F46D7"/>
    <w:rsid w:val="23753F06"/>
    <w:rsid w:val="238E1AAE"/>
    <w:rsid w:val="23DF60A6"/>
    <w:rsid w:val="24030B6D"/>
    <w:rsid w:val="24345B9A"/>
    <w:rsid w:val="245517BD"/>
    <w:rsid w:val="2483647E"/>
    <w:rsid w:val="24E34A84"/>
    <w:rsid w:val="256F076F"/>
    <w:rsid w:val="25AF7681"/>
    <w:rsid w:val="25BC1D1C"/>
    <w:rsid w:val="25CA2E84"/>
    <w:rsid w:val="26397862"/>
    <w:rsid w:val="26820AF7"/>
    <w:rsid w:val="268D46D2"/>
    <w:rsid w:val="27947E62"/>
    <w:rsid w:val="27DA28AF"/>
    <w:rsid w:val="27EB2573"/>
    <w:rsid w:val="292668E3"/>
    <w:rsid w:val="29361BBD"/>
    <w:rsid w:val="2A124404"/>
    <w:rsid w:val="2A1B5D68"/>
    <w:rsid w:val="2A5975B6"/>
    <w:rsid w:val="2A991D32"/>
    <w:rsid w:val="2AB92324"/>
    <w:rsid w:val="2AD6555A"/>
    <w:rsid w:val="2B376BE0"/>
    <w:rsid w:val="2B5B0398"/>
    <w:rsid w:val="2C1B1E9D"/>
    <w:rsid w:val="2CAB68C5"/>
    <w:rsid w:val="2E354AE5"/>
    <w:rsid w:val="2E4D79E8"/>
    <w:rsid w:val="2EBC6D03"/>
    <w:rsid w:val="2F196945"/>
    <w:rsid w:val="2F1F666C"/>
    <w:rsid w:val="2FD32A37"/>
    <w:rsid w:val="30111202"/>
    <w:rsid w:val="30551FFC"/>
    <w:rsid w:val="311F702A"/>
    <w:rsid w:val="31331DE0"/>
    <w:rsid w:val="317B2027"/>
    <w:rsid w:val="31A82883"/>
    <w:rsid w:val="320E3E15"/>
    <w:rsid w:val="32B15B31"/>
    <w:rsid w:val="32C937E9"/>
    <w:rsid w:val="333F6AA7"/>
    <w:rsid w:val="3480359E"/>
    <w:rsid w:val="34BE4ED5"/>
    <w:rsid w:val="35476F5E"/>
    <w:rsid w:val="354D3F58"/>
    <w:rsid w:val="359A216E"/>
    <w:rsid w:val="35CB65AD"/>
    <w:rsid w:val="36631FD8"/>
    <w:rsid w:val="36C419F2"/>
    <w:rsid w:val="36E72D9B"/>
    <w:rsid w:val="36FD7080"/>
    <w:rsid w:val="379F2ED6"/>
    <w:rsid w:val="37CA172C"/>
    <w:rsid w:val="37DC2068"/>
    <w:rsid w:val="38071350"/>
    <w:rsid w:val="38224FD0"/>
    <w:rsid w:val="38E31C93"/>
    <w:rsid w:val="39775E90"/>
    <w:rsid w:val="39AC0F1B"/>
    <w:rsid w:val="39B95084"/>
    <w:rsid w:val="39BA0AF0"/>
    <w:rsid w:val="3A3E2041"/>
    <w:rsid w:val="3B131EF6"/>
    <w:rsid w:val="3B490D86"/>
    <w:rsid w:val="3BD74075"/>
    <w:rsid w:val="3C2F2290"/>
    <w:rsid w:val="3E2C1E51"/>
    <w:rsid w:val="3E6704D2"/>
    <w:rsid w:val="3EA67C14"/>
    <w:rsid w:val="3EAD1B36"/>
    <w:rsid w:val="3F056B9E"/>
    <w:rsid w:val="3F354A62"/>
    <w:rsid w:val="3F880527"/>
    <w:rsid w:val="3FB01289"/>
    <w:rsid w:val="3FE233B8"/>
    <w:rsid w:val="3FF54C55"/>
    <w:rsid w:val="40181F9C"/>
    <w:rsid w:val="406370BC"/>
    <w:rsid w:val="40DF388D"/>
    <w:rsid w:val="40FB7670"/>
    <w:rsid w:val="412E2C9B"/>
    <w:rsid w:val="41B60000"/>
    <w:rsid w:val="423C06E2"/>
    <w:rsid w:val="42815397"/>
    <w:rsid w:val="42C94634"/>
    <w:rsid w:val="43113F5B"/>
    <w:rsid w:val="43BB29BF"/>
    <w:rsid w:val="453D02B5"/>
    <w:rsid w:val="45540446"/>
    <w:rsid w:val="458F3937"/>
    <w:rsid w:val="459F641E"/>
    <w:rsid w:val="45A93DC9"/>
    <w:rsid w:val="45BB5620"/>
    <w:rsid w:val="45EC58A2"/>
    <w:rsid w:val="45F127ED"/>
    <w:rsid w:val="46263D02"/>
    <w:rsid w:val="46CD66A0"/>
    <w:rsid w:val="472803B7"/>
    <w:rsid w:val="478411E4"/>
    <w:rsid w:val="48021DEB"/>
    <w:rsid w:val="488B59A4"/>
    <w:rsid w:val="48A33DA0"/>
    <w:rsid w:val="48CC5267"/>
    <w:rsid w:val="494502E1"/>
    <w:rsid w:val="494C4325"/>
    <w:rsid w:val="49BB2867"/>
    <w:rsid w:val="4A010AC9"/>
    <w:rsid w:val="4A7F0ADF"/>
    <w:rsid w:val="4AA612F0"/>
    <w:rsid w:val="4B0D3113"/>
    <w:rsid w:val="4B2770CB"/>
    <w:rsid w:val="4B660D6A"/>
    <w:rsid w:val="4B992D86"/>
    <w:rsid w:val="4C1A730D"/>
    <w:rsid w:val="4C6B0DDA"/>
    <w:rsid w:val="4C6E1306"/>
    <w:rsid w:val="4CC946ED"/>
    <w:rsid w:val="4CF979F4"/>
    <w:rsid w:val="4D8C0BC8"/>
    <w:rsid w:val="4E186164"/>
    <w:rsid w:val="4E247E9A"/>
    <w:rsid w:val="4E2F1033"/>
    <w:rsid w:val="4E8274B0"/>
    <w:rsid w:val="4EA65BC4"/>
    <w:rsid w:val="4EF420E3"/>
    <w:rsid w:val="4EFC1B31"/>
    <w:rsid w:val="4F2836A5"/>
    <w:rsid w:val="4FF363B3"/>
    <w:rsid w:val="500C7461"/>
    <w:rsid w:val="501216FC"/>
    <w:rsid w:val="50B73634"/>
    <w:rsid w:val="51434E1B"/>
    <w:rsid w:val="51504FE6"/>
    <w:rsid w:val="54E90CED"/>
    <w:rsid w:val="54E91D9C"/>
    <w:rsid w:val="55A47BB4"/>
    <w:rsid w:val="5625142C"/>
    <w:rsid w:val="56B44788"/>
    <w:rsid w:val="570528AC"/>
    <w:rsid w:val="57141583"/>
    <w:rsid w:val="57BB6218"/>
    <w:rsid w:val="57FF3AAA"/>
    <w:rsid w:val="58DD2EEE"/>
    <w:rsid w:val="58E96C7A"/>
    <w:rsid w:val="59263C31"/>
    <w:rsid w:val="59AD3C67"/>
    <w:rsid w:val="5A4B183F"/>
    <w:rsid w:val="5B0D630F"/>
    <w:rsid w:val="5B4D0076"/>
    <w:rsid w:val="5B602150"/>
    <w:rsid w:val="5B9919B4"/>
    <w:rsid w:val="5B9E0365"/>
    <w:rsid w:val="5BB70148"/>
    <w:rsid w:val="5BF22FE4"/>
    <w:rsid w:val="5C2F1987"/>
    <w:rsid w:val="5C3C3DDC"/>
    <w:rsid w:val="5C810761"/>
    <w:rsid w:val="5D160516"/>
    <w:rsid w:val="5D690386"/>
    <w:rsid w:val="5D713BC5"/>
    <w:rsid w:val="5D7D0F36"/>
    <w:rsid w:val="5DB61BFF"/>
    <w:rsid w:val="5DEF454B"/>
    <w:rsid w:val="5E076A27"/>
    <w:rsid w:val="5E5A6C63"/>
    <w:rsid w:val="5F3C6712"/>
    <w:rsid w:val="5F4B58F3"/>
    <w:rsid w:val="5F5160E3"/>
    <w:rsid w:val="6053481F"/>
    <w:rsid w:val="60553A8D"/>
    <w:rsid w:val="606E0DED"/>
    <w:rsid w:val="60AB2000"/>
    <w:rsid w:val="60F2599C"/>
    <w:rsid w:val="61C97391"/>
    <w:rsid w:val="61D85325"/>
    <w:rsid w:val="62860AAA"/>
    <w:rsid w:val="628B7CEE"/>
    <w:rsid w:val="629D5796"/>
    <w:rsid w:val="62B8299F"/>
    <w:rsid w:val="63FA4C5C"/>
    <w:rsid w:val="64102A52"/>
    <w:rsid w:val="64BC6713"/>
    <w:rsid w:val="66F54088"/>
    <w:rsid w:val="671E2162"/>
    <w:rsid w:val="67C2281F"/>
    <w:rsid w:val="68004383"/>
    <w:rsid w:val="680C1A56"/>
    <w:rsid w:val="684F0C72"/>
    <w:rsid w:val="689D378E"/>
    <w:rsid w:val="68D8721E"/>
    <w:rsid w:val="6A7F04CC"/>
    <w:rsid w:val="6A831914"/>
    <w:rsid w:val="6B4C3753"/>
    <w:rsid w:val="6B610D05"/>
    <w:rsid w:val="6BAC21D5"/>
    <w:rsid w:val="6C210C2C"/>
    <w:rsid w:val="6CED1CB3"/>
    <w:rsid w:val="6D3B42C3"/>
    <w:rsid w:val="6D5A3D63"/>
    <w:rsid w:val="6D9A4080"/>
    <w:rsid w:val="6E1942EF"/>
    <w:rsid w:val="6E7E575F"/>
    <w:rsid w:val="6EC27507"/>
    <w:rsid w:val="6EF15941"/>
    <w:rsid w:val="6F215763"/>
    <w:rsid w:val="6F926461"/>
    <w:rsid w:val="6F9921A1"/>
    <w:rsid w:val="6FA453FA"/>
    <w:rsid w:val="71E101E4"/>
    <w:rsid w:val="71EA2A00"/>
    <w:rsid w:val="720B7A64"/>
    <w:rsid w:val="720F6016"/>
    <w:rsid w:val="722D6F9E"/>
    <w:rsid w:val="72581C8E"/>
    <w:rsid w:val="73407EBD"/>
    <w:rsid w:val="73932176"/>
    <w:rsid w:val="73EF4563"/>
    <w:rsid w:val="74037319"/>
    <w:rsid w:val="74175679"/>
    <w:rsid w:val="744124AA"/>
    <w:rsid w:val="74664F47"/>
    <w:rsid w:val="756E538F"/>
    <w:rsid w:val="75D950C9"/>
    <w:rsid w:val="76F41323"/>
    <w:rsid w:val="77100360"/>
    <w:rsid w:val="778222EA"/>
    <w:rsid w:val="778B4219"/>
    <w:rsid w:val="77A30DC4"/>
    <w:rsid w:val="77E0572E"/>
    <w:rsid w:val="77ED4104"/>
    <w:rsid w:val="78EC13E3"/>
    <w:rsid w:val="78EF4372"/>
    <w:rsid w:val="79771B00"/>
    <w:rsid w:val="7980282D"/>
    <w:rsid w:val="798F6426"/>
    <w:rsid w:val="79B94653"/>
    <w:rsid w:val="7ACA272A"/>
    <w:rsid w:val="7B0E7C70"/>
    <w:rsid w:val="7B2E004A"/>
    <w:rsid w:val="7B76641B"/>
    <w:rsid w:val="7BBF1397"/>
    <w:rsid w:val="7C03155E"/>
    <w:rsid w:val="7CED52DC"/>
    <w:rsid w:val="7DAD7B6B"/>
    <w:rsid w:val="7E4C7E5D"/>
    <w:rsid w:val="7E6F339A"/>
    <w:rsid w:val="7E810662"/>
    <w:rsid w:val="7E860D98"/>
    <w:rsid w:val="7ED67E61"/>
    <w:rsid w:val="7F1D7506"/>
    <w:rsid w:val="7F2343DC"/>
    <w:rsid w:val="7F590AE3"/>
    <w:rsid w:val="7FB62C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0"/>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3"/>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19"/>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Style w:val="11"/>
      <w:tblLayout w:type="fixed"/>
      <w:tblCellMar>
        <w:top w:w="0" w:type="dxa"/>
        <w:left w:w="108" w:type="dxa"/>
        <w:bottom w:w="0" w:type="dxa"/>
        <w:right w:w="108" w:type="dxa"/>
      </w:tblCellMar>
    </w:tblPr>
  </w:style>
  <w:style w:type="paragraph" w:styleId="5">
    <w:name w:val="annotation text"/>
    <w:basedOn w:val="1"/>
    <w:link w:val="22"/>
    <w:uiPriority w:val="0"/>
    <w:pPr>
      <w:jc w:val="left"/>
    </w:pPr>
  </w:style>
  <w:style w:type="paragraph" w:styleId="6">
    <w:name w:val="Balloon Text"/>
    <w:basedOn w:val="1"/>
    <w:link w:val="24"/>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1"/>
    <w:uiPriority w:val="0"/>
    <w:rPr>
      <w:b/>
      <w:bCs/>
    </w:rPr>
  </w:style>
  <w:style w:type="table" w:styleId="12">
    <w:name w:val="Table Grid"/>
    <w:basedOn w:val="11"/>
    <w:unhideWhenUsed/>
    <w:uiPriority w:val="9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paragraph" w:customStyle="1" w:styleId="16">
    <w:name w:val="Default"/>
    <w:qFormat/>
    <w:uiPriority w:val="0"/>
    <w:pPr>
      <w:widowControl w:val="0"/>
      <w:autoSpaceDE w:val="0"/>
      <w:autoSpaceDN w:val="0"/>
      <w:adjustRightInd w:val="0"/>
    </w:pPr>
    <w:rPr>
      <w:color w:val="000000"/>
      <w:sz w:val="24"/>
      <w:szCs w:val="24"/>
      <w:lang w:val="en-US" w:eastAsia="zh-CN" w:bidi="ar-SA"/>
    </w:rPr>
  </w:style>
  <w:style w:type="paragraph" w:customStyle="1" w:styleId="17">
    <w:name w:val="样式1"/>
    <w:basedOn w:val="1"/>
    <w:next w:val="1"/>
    <w:uiPriority w:val="0"/>
    <w:pPr>
      <w:keepNext/>
      <w:keepLines/>
      <w:spacing w:before="340" w:beforeLines="0" w:after="330" w:afterLines="0" w:line="576" w:lineRule="auto"/>
      <w:outlineLvl w:val="0"/>
    </w:pPr>
    <w:rPr>
      <w:rFonts w:hint="eastAsia"/>
      <w:b/>
      <w:kern w:val="44"/>
      <w:sz w:val="44"/>
    </w:rPr>
  </w:style>
  <w:style w:type="paragraph" w:customStyle="1" w:styleId="18">
    <w:name w:val="List Paragraph"/>
    <w:basedOn w:val="1"/>
    <w:unhideWhenUsed/>
    <w:uiPriority w:val="99"/>
    <w:pPr>
      <w:ind w:firstLine="420" w:firstLineChars="200"/>
    </w:pPr>
  </w:style>
  <w:style w:type="character" w:customStyle="1" w:styleId="19">
    <w:name w:val="标题 3 Char"/>
    <w:link w:val="4"/>
    <w:uiPriority w:val="0"/>
    <w:rPr>
      <w:rFonts w:hAnsi="Calibri" w:eastAsia="宋体"/>
      <w:b/>
      <w:sz w:val="24"/>
    </w:rPr>
  </w:style>
  <w:style w:type="character" w:customStyle="1" w:styleId="20">
    <w:name w:val="标题 1 Char"/>
    <w:link w:val="2"/>
    <w:uiPriority w:val="0"/>
    <w:rPr>
      <w:rFonts w:eastAsia="宋体"/>
      <w:b/>
      <w:kern w:val="44"/>
      <w:sz w:val="44"/>
    </w:rPr>
  </w:style>
  <w:style w:type="character" w:customStyle="1" w:styleId="21">
    <w:name w:val="批注主题 Char"/>
    <w:link w:val="10"/>
    <w:uiPriority w:val="0"/>
    <w:rPr>
      <w:rFonts w:ascii="Calibri" w:hAnsi="Calibri" w:cs="黑体"/>
      <w:b/>
      <w:bCs/>
      <w:kern w:val="2"/>
      <w:sz w:val="21"/>
      <w:szCs w:val="24"/>
    </w:rPr>
  </w:style>
  <w:style w:type="character" w:customStyle="1" w:styleId="22">
    <w:name w:val="批注文字 Char"/>
    <w:link w:val="5"/>
    <w:uiPriority w:val="0"/>
    <w:rPr>
      <w:rFonts w:ascii="Calibri" w:hAnsi="Calibri" w:cs="黑体"/>
      <w:kern w:val="2"/>
      <w:sz w:val="21"/>
      <w:szCs w:val="24"/>
    </w:rPr>
  </w:style>
  <w:style w:type="character" w:customStyle="1" w:styleId="23">
    <w:name w:val="标题 2 Char"/>
    <w:link w:val="3"/>
    <w:uiPriority w:val="0"/>
    <w:rPr>
      <w:rFonts w:ascii="Arial" w:hAnsi="Arial" w:eastAsia="宋体"/>
      <w:b/>
      <w:sz w:val="24"/>
    </w:rPr>
  </w:style>
  <w:style w:type="character" w:customStyle="1" w:styleId="24">
    <w:name w:val="批注框文本 Char"/>
    <w:link w:val="6"/>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35363</Words>
  <Characters>37479</Characters>
  <Lines>1</Lines>
  <Paragraphs>1</Paragraphs>
  <TotalTime>1</TotalTime>
  <ScaleCrop>false</ScaleCrop>
  <LinksUpToDate>false</LinksUpToDate>
  <CharactersWithSpaces>37702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2023-05-04T07:04:36Z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