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Style w:val="27"/>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黑体" w:hAnsi="黑体" w:eastAsia="黑体"/>
          <w:sz w:val="44"/>
          <w:szCs w:val="44"/>
        </w:rPr>
      </w:pPr>
      <w:r>
        <w:rPr>
          <w:rStyle w:val="27"/>
          <w:rFonts w:hint="eastAsia" w:ascii="黑体" w:hAnsi="黑体" w:eastAsia="黑体"/>
          <w:sz w:val="44"/>
          <w:szCs w:val="44"/>
        </w:rPr>
        <w:t>兴银理财</w:t>
      </w:r>
      <w:permStart w:id="0" w:edGrp="everyone"/>
      <w:r>
        <w:rPr>
          <w:rStyle w:val="27"/>
          <w:rFonts w:hint="eastAsia" w:ascii="黑体" w:hAnsi="黑体" w:eastAsia="黑体"/>
          <w:sz w:val="44"/>
          <w:szCs w:val="44"/>
        </w:rPr>
        <w:t>【稳利丰收封闭式固收类】</w:t>
      </w:r>
      <w:permEnd w:id="0"/>
      <w:r>
        <w:rPr>
          <w:rStyle w:val="27"/>
          <w:rFonts w:hint="eastAsia" w:ascii="黑体" w:hAnsi="黑体" w:eastAsia="黑体"/>
          <w:sz w:val="44"/>
          <w:szCs w:val="44"/>
        </w:rPr>
        <w:t>理财产品</w:t>
      </w:r>
    </w:p>
    <w:p>
      <w:pPr>
        <w:adjustRightInd w:val="0"/>
        <w:spacing w:line="360" w:lineRule="auto"/>
        <w:jc w:val="center"/>
        <w:rPr>
          <w:rStyle w:val="27"/>
          <w:rFonts w:ascii="黑体" w:hAnsi="黑体" w:eastAsia="黑体"/>
          <w:sz w:val="44"/>
          <w:szCs w:val="44"/>
        </w:rPr>
      </w:pPr>
      <w:r>
        <w:rPr>
          <w:rStyle w:val="27"/>
          <w:rFonts w:hint="eastAsia" w:ascii="黑体" w:hAnsi="黑体" w:eastAsia="黑体"/>
          <w:sz w:val="44"/>
          <w:szCs w:val="44"/>
        </w:rPr>
        <w:t>产品说明书</w:t>
      </w:r>
    </w:p>
    <w:p>
      <w:pPr>
        <w:adjustRightInd w:val="0"/>
        <w:spacing w:line="360" w:lineRule="auto"/>
        <w:jc w:val="center"/>
        <w:rPr>
          <w:rStyle w:val="27"/>
          <w:rFonts w:ascii="宋体" w:hAnsi="宋体"/>
          <w:sz w:val="32"/>
          <w:szCs w:val="32"/>
        </w:rPr>
      </w:pPr>
    </w:p>
    <w:p>
      <w:pPr>
        <w:adjustRightInd w:val="0"/>
        <w:spacing w:line="360" w:lineRule="auto"/>
        <w:rPr>
          <w:rStyle w:val="27"/>
          <w:rFonts w:ascii="黑体" w:hAnsi="黑体" w:eastAsia="黑体"/>
          <w:bCs w:val="0"/>
          <w:sz w:val="28"/>
          <w:szCs w:val="28"/>
        </w:rPr>
      </w:pPr>
      <w:r>
        <w:rPr>
          <w:rStyle w:val="27"/>
          <w:rFonts w:hint="eastAsia" w:ascii="黑体" w:hAnsi="黑体" w:eastAsia="黑体"/>
          <w:bCs w:val="0"/>
          <w:sz w:val="28"/>
          <w:szCs w:val="28"/>
        </w:rPr>
        <w:t xml:space="preserve"> </w:t>
      </w:r>
    </w:p>
    <w:p>
      <w:pPr>
        <w:adjustRightInd w:val="0"/>
        <w:spacing w:line="360" w:lineRule="auto"/>
        <w:jc w:val="center"/>
        <w:rPr>
          <w:rStyle w:val="27"/>
          <w:rFonts w:ascii="黑体" w:hAnsi="黑体" w:eastAsia="黑体"/>
          <w:bCs w:val="0"/>
          <w:sz w:val="28"/>
          <w:szCs w:val="28"/>
        </w:rPr>
      </w:pPr>
      <w:r>
        <w:rPr>
          <w:rStyle w:val="27"/>
          <w:rFonts w:hint="eastAsia" w:ascii="黑体" w:hAnsi="黑体" w:eastAsia="黑体"/>
          <w:bCs w:val="0"/>
          <w:sz w:val="28"/>
          <w:szCs w:val="28"/>
        </w:rPr>
        <w:t xml:space="preserve"> </w:t>
      </w:r>
    </w:p>
    <w:p>
      <w:pPr>
        <w:adjustRightInd w:val="0"/>
        <w:spacing w:line="360" w:lineRule="auto"/>
        <w:jc w:val="center"/>
        <w:rPr>
          <w:rStyle w:val="27"/>
          <w:rFonts w:ascii="黑体" w:hAnsi="黑体" w:eastAsia="黑体"/>
          <w:bCs w:val="0"/>
          <w:sz w:val="28"/>
          <w:szCs w:val="28"/>
        </w:rPr>
      </w:pPr>
    </w:p>
    <w:p>
      <w:pPr>
        <w:adjustRightInd w:val="0"/>
        <w:spacing w:line="360" w:lineRule="auto"/>
        <w:jc w:val="center"/>
        <w:rPr>
          <w:rStyle w:val="27"/>
          <w:rFonts w:ascii="宋体" w:hAnsi="宋体" w:cs="Times New Roman"/>
          <w:sz w:val="32"/>
          <w:szCs w:val="32"/>
        </w:rPr>
      </w:pPr>
      <w:r>
        <w:rPr>
          <w:rStyle w:val="27"/>
          <w:rFonts w:hint="eastAsia" w:ascii="宋体" w:hAnsi="宋体" w:cs="Times New Roman"/>
          <w:sz w:val="32"/>
          <w:szCs w:val="32"/>
        </w:rPr>
        <w:t>理财产品管理人：兴银理财有限责任公司</w:t>
      </w: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sz w:val="32"/>
          <w:szCs w:val="32"/>
        </w:rPr>
      </w:pPr>
    </w:p>
    <w:p>
      <w:pPr>
        <w:adjustRightInd w:val="0"/>
        <w:spacing w:line="360" w:lineRule="auto"/>
        <w:jc w:val="center"/>
        <w:rPr>
          <w:rStyle w:val="27"/>
          <w:rFonts w:ascii="宋体" w:hAnsi="宋体" w:cs="Times New Roman"/>
          <w:sz w:val="32"/>
          <w:szCs w:val="32"/>
        </w:rPr>
      </w:pPr>
      <w:r>
        <w:rPr>
          <w:rStyle w:val="27"/>
          <w:rFonts w:hint="eastAsia" w:ascii="宋体" w:hAnsi="宋体" w:cs="Times New Roman"/>
          <w:sz w:val="32"/>
          <w:szCs w:val="32"/>
        </w:rPr>
        <w:t>日期</w:t>
      </w:r>
      <w:r>
        <w:rPr>
          <w:rStyle w:val="27"/>
          <w:rFonts w:ascii="宋体" w:hAnsi="宋体" w:cs="Times New Roman"/>
          <w:sz w:val="32"/>
          <w:szCs w:val="32"/>
        </w:rPr>
        <w:t>：</w:t>
      </w:r>
      <w:permStart w:id="1" w:edGrp="everyone"/>
      <w:r>
        <w:rPr>
          <w:rStyle w:val="27"/>
          <w:rFonts w:hint="eastAsia" w:ascii="宋体" w:hAnsi="宋体" w:cs="Times New Roman"/>
          <w:sz w:val="32"/>
          <w:szCs w:val="32"/>
        </w:rPr>
        <w:t>【2</w:t>
      </w:r>
      <w:r>
        <w:rPr>
          <w:rStyle w:val="27"/>
          <w:rFonts w:ascii="宋体" w:hAnsi="宋体" w:cs="Times New Roman"/>
          <w:sz w:val="32"/>
          <w:szCs w:val="32"/>
        </w:rPr>
        <w:t>024</w:t>
      </w:r>
      <w:r>
        <w:rPr>
          <w:rStyle w:val="27"/>
          <w:rFonts w:hint="eastAsia" w:ascii="宋体" w:hAnsi="宋体" w:cs="Times New Roman"/>
          <w:sz w:val="32"/>
          <w:szCs w:val="32"/>
        </w:rPr>
        <w:t>】年【</w:t>
      </w:r>
      <w:r>
        <w:rPr>
          <w:rStyle w:val="27"/>
          <w:rFonts w:hint="eastAsia" w:ascii="宋体" w:hAnsi="宋体" w:cs="Times New Roman"/>
          <w:sz w:val="32"/>
          <w:szCs w:val="32"/>
          <w:lang w:val="en-US" w:eastAsia="zh-CN"/>
        </w:rPr>
        <w:t>4</w:t>
      </w:r>
      <w:r>
        <w:rPr>
          <w:rStyle w:val="27"/>
          <w:rFonts w:hint="eastAsia" w:ascii="宋体" w:hAnsi="宋体" w:cs="Times New Roman"/>
          <w:sz w:val="32"/>
          <w:szCs w:val="32"/>
        </w:rPr>
        <w:t>】月</w:t>
      </w:r>
      <w:permEnd w:id="1"/>
    </w:p>
    <w:p>
      <w:pPr>
        <w:adjustRightInd w:val="0"/>
        <w:spacing w:line="360" w:lineRule="auto"/>
        <w:jc w:val="center"/>
        <w:rPr>
          <w:rStyle w:val="27"/>
          <w:rFonts w:ascii="宋体" w:hAnsi="宋体"/>
          <w:sz w:val="32"/>
          <w:szCs w:val="32"/>
        </w:rPr>
      </w:pPr>
    </w:p>
    <w:p>
      <w:pPr>
        <w:pStyle w:val="3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48"/>
            <w:spacing w:line="360" w:lineRule="auto"/>
            <w:jc w:val="center"/>
          </w:pPr>
          <w:bookmarkStart w:id="0" w:name="_Toc78276587"/>
          <w:r>
            <w:rPr>
              <w:lang w:val="zh-CN"/>
            </w:rPr>
            <w:t>目录</w:t>
          </w:r>
        </w:p>
        <w:p>
          <w:pPr>
            <w:pStyle w:val="16"/>
            <w:tabs>
              <w:tab w:val="right" w:leader="dot" w:pos="8296"/>
            </w:tabs>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29"/>
              <w:rFonts w:hint="eastAsia" w:ascii="Times New Roman"/>
            </w:rPr>
            <w:t>第一条</w:t>
          </w:r>
          <w:r>
            <w:rPr>
              <w:rStyle w:val="29"/>
              <w:rFonts w:ascii="Times New Roman"/>
            </w:rPr>
            <w:t xml:space="preserve">  </w:t>
          </w:r>
          <w:r>
            <w:rPr>
              <w:rStyle w:val="29"/>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29"/>
              <w:rFonts w:hint="eastAsia" w:hAnsi="宋体"/>
            </w:rPr>
            <w:t>第二条</w:t>
          </w:r>
          <w:r>
            <w:rPr>
              <w:rStyle w:val="29"/>
              <w:rFonts w:hAnsi="宋体"/>
            </w:rPr>
            <w:t xml:space="preserve">  </w:t>
          </w:r>
          <w:r>
            <w:rPr>
              <w:rStyle w:val="29"/>
              <w:rFonts w:hint="eastAsia" w:hAnsi="宋体"/>
            </w:rPr>
            <w:t>理财产品基本情况</w:t>
          </w:r>
          <w:r>
            <w:rPr>
              <w:rStyle w:val="29"/>
              <w:rFonts w:hAnsi="宋体"/>
            </w:rPr>
            <w:t xml:space="preserve"> </w:t>
          </w:r>
          <w:r>
            <w:tab/>
          </w:r>
          <w:r>
            <w:fldChar w:fldCharType="begin"/>
          </w:r>
          <w:r>
            <w:instrText xml:space="preserve"> PAGEREF _Toc116649650 \h </w:instrText>
          </w:r>
          <w:r>
            <w:fldChar w:fldCharType="separate"/>
          </w:r>
          <w:r>
            <w:t>8</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29"/>
              <w:rFonts w:hint="eastAsia" w:ascii="Times New Roman"/>
            </w:rPr>
            <w:t>第三条</w:t>
          </w:r>
          <w:r>
            <w:rPr>
              <w:rStyle w:val="29"/>
              <w:rFonts w:ascii="Times New Roman"/>
            </w:rPr>
            <w:t xml:space="preserve">  </w:t>
          </w:r>
          <w:r>
            <w:rPr>
              <w:rStyle w:val="29"/>
              <w:rFonts w:hint="eastAsia" w:ascii="Times New Roman"/>
            </w:rPr>
            <w:t>理财产品的认购</w:t>
          </w:r>
          <w:r>
            <w:tab/>
          </w:r>
          <w:r>
            <w:fldChar w:fldCharType="begin"/>
          </w:r>
          <w:r>
            <w:instrText xml:space="preserve"> PAGEREF _Toc116649651 \h </w:instrText>
          </w:r>
          <w:r>
            <w:fldChar w:fldCharType="separate"/>
          </w:r>
          <w:r>
            <w:t>14</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29"/>
              <w:rFonts w:hint="eastAsia" w:ascii="Times New Roman"/>
            </w:rPr>
            <w:t>第四条</w:t>
          </w:r>
          <w:r>
            <w:rPr>
              <w:rStyle w:val="29"/>
              <w:rFonts w:ascii="Times New Roman"/>
            </w:rPr>
            <w:t xml:space="preserve">  </w:t>
          </w:r>
          <w:r>
            <w:rPr>
              <w:rStyle w:val="29"/>
              <w:rFonts w:hint="eastAsia" w:ascii="Times New Roman"/>
            </w:rPr>
            <w:t>理财产品的申购与赎回</w:t>
          </w:r>
          <w:r>
            <w:tab/>
          </w:r>
          <w:r>
            <w:fldChar w:fldCharType="begin"/>
          </w:r>
          <w:r>
            <w:instrText xml:space="preserve"> PAGEREF _Toc116649652 \h </w:instrText>
          </w:r>
          <w:r>
            <w:fldChar w:fldCharType="separate"/>
          </w:r>
          <w:r>
            <w:t>16</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29"/>
              <w:rFonts w:hint="eastAsia" w:ascii="Times New Roman"/>
            </w:rPr>
            <w:t>第五条</w:t>
          </w:r>
          <w:r>
            <w:rPr>
              <w:rStyle w:val="29"/>
              <w:rFonts w:ascii="Times New Roman"/>
            </w:rPr>
            <w:t xml:space="preserve">  </w:t>
          </w:r>
          <w:r>
            <w:rPr>
              <w:rStyle w:val="29"/>
              <w:rFonts w:hint="eastAsia" w:ascii="Times New Roman"/>
            </w:rPr>
            <w:t>理财产品的投资</w:t>
          </w:r>
          <w:r>
            <w:tab/>
          </w:r>
          <w:r>
            <w:fldChar w:fldCharType="begin"/>
          </w:r>
          <w:r>
            <w:instrText xml:space="preserve"> PAGEREF _Toc116649653 \h </w:instrText>
          </w:r>
          <w:r>
            <w:fldChar w:fldCharType="separate"/>
          </w:r>
          <w:r>
            <w:t>17</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29"/>
              <w:rFonts w:hint="eastAsia" w:ascii="Times New Roman"/>
            </w:rPr>
            <w:t>第六条</w:t>
          </w:r>
          <w:r>
            <w:rPr>
              <w:rStyle w:val="29"/>
              <w:rFonts w:ascii="Times New Roman"/>
            </w:rPr>
            <w:t xml:space="preserve">  </w:t>
          </w:r>
          <w:r>
            <w:rPr>
              <w:rStyle w:val="29"/>
              <w:rFonts w:hint="eastAsia" w:ascii="Times New Roman"/>
            </w:rPr>
            <w:t>理财产品的资产</w:t>
          </w:r>
          <w:r>
            <w:tab/>
          </w:r>
          <w:r>
            <w:fldChar w:fldCharType="begin"/>
          </w:r>
          <w:r>
            <w:instrText xml:space="preserve"> PAGEREF _Toc116649654 \h </w:instrText>
          </w:r>
          <w:r>
            <w:fldChar w:fldCharType="separate"/>
          </w:r>
          <w:r>
            <w:t>20</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29"/>
              <w:rFonts w:hint="eastAsia" w:ascii="Times New Roman"/>
            </w:rPr>
            <w:t>第七条</w:t>
          </w:r>
          <w:r>
            <w:rPr>
              <w:rStyle w:val="29"/>
              <w:rFonts w:ascii="Times New Roman"/>
            </w:rPr>
            <w:t xml:space="preserve">  </w:t>
          </w:r>
          <w:r>
            <w:rPr>
              <w:rStyle w:val="29"/>
              <w:rFonts w:hint="eastAsia" w:ascii="Times New Roman"/>
            </w:rPr>
            <w:t>理财产品项下资产的估值</w:t>
          </w:r>
          <w:r>
            <w:tab/>
          </w:r>
          <w:r>
            <w:fldChar w:fldCharType="begin"/>
          </w:r>
          <w:r>
            <w:instrText xml:space="preserve"> PAGEREF _Toc116649655 \h </w:instrText>
          </w:r>
          <w:r>
            <w:fldChar w:fldCharType="separate"/>
          </w:r>
          <w:r>
            <w:t>21</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29"/>
              <w:rFonts w:hint="eastAsia" w:ascii="Times New Roman"/>
            </w:rPr>
            <w:t>第八条</w:t>
          </w:r>
          <w:r>
            <w:rPr>
              <w:rStyle w:val="29"/>
              <w:rFonts w:ascii="Times New Roman"/>
            </w:rPr>
            <w:t xml:space="preserve">  </w:t>
          </w:r>
          <w:r>
            <w:rPr>
              <w:rStyle w:val="29"/>
              <w:rFonts w:hint="eastAsia" w:ascii="Times New Roman"/>
            </w:rPr>
            <w:t>理财产品的利益分配</w:t>
          </w:r>
          <w:r>
            <w:tab/>
          </w:r>
          <w:r>
            <w:fldChar w:fldCharType="begin"/>
          </w:r>
          <w:r>
            <w:instrText xml:space="preserve"> PAGEREF _Toc116649656 \h </w:instrText>
          </w:r>
          <w:r>
            <w:fldChar w:fldCharType="separate"/>
          </w:r>
          <w:r>
            <w:t>25</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29"/>
              <w:rFonts w:hint="eastAsia" w:ascii="Times New Roman"/>
            </w:rPr>
            <w:t>第九条</w:t>
          </w:r>
          <w:r>
            <w:rPr>
              <w:rStyle w:val="29"/>
              <w:rFonts w:ascii="Times New Roman"/>
            </w:rPr>
            <w:t xml:space="preserve">  </w:t>
          </w:r>
          <w:r>
            <w:rPr>
              <w:rStyle w:val="29"/>
              <w:rFonts w:hint="eastAsia" w:ascii="Times New Roman"/>
            </w:rPr>
            <w:t>理财产品的费用与税收</w:t>
          </w:r>
          <w:r>
            <w:tab/>
          </w:r>
          <w:r>
            <w:fldChar w:fldCharType="begin"/>
          </w:r>
          <w:r>
            <w:instrText xml:space="preserve"> PAGEREF _Toc116649657 \h </w:instrText>
          </w:r>
          <w:r>
            <w:fldChar w:fldCharType="separate"/>
          </w:r>
          <w:r>
            <w:t>26</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29"/>
              <w:rFonts w:hint="eastAsia"/>
            </w:rPr>
            <w:t>第十条</w:t>
          </w:r>
          <w:r>
            <w:rPr>
              <w:rStyle w:val="29"/>
            </w:rPr>
            <w:t xml:space="preserve">  </w:t>
          </w:r>
          <w:r>
            <w:rPr>
              <w:rStyle w:val="29"/>
              <w:rFonts w:hint="eastAsia"/>
            </w:rPr>
            <w:t>理财产品的终止与清算</w:t>
          </w:r>
          <w:r>
            <w:tab/>
          </w:r>
          <w:r>
            <w:fldChar w:fldCharType="begin"/>
          </w:r>
          <w:r>
            <w:instrText xml:space="preserve"> PAGEREF _Toc116649658 \h </w:instrText>
          </w:r>
          <w:r>
            <w:fldChar w:fldCharType="separate"/>
          </w:r>
          <w:r>
            <w:t>29</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29"/>
              <w:rFonts w:hint="eastAsia" w:ascii="Times New Roman"/>
            </w:rPr>
            <w:t>第十一条</w:t>
          </w:r>
          <w:r>
            <w:rPr>
              <w:rStyle w:val="29"/>
              <w:rFonts w:ascii="Times New Roman"/>
            </w:rPr>
            <w:t xml:space="preserve">  </w:t>
          </w:r>
          <w:r>
            <w:rPr>
              <w:rStyle w:val="29"/>
              <w:rFonts w:hint="eastAsia" w:ascii="Times New Roman"/>
            </w:rPr>
            <w:t>理财产品的信息披露</w:t>
          </w:r>
          <w:r>
            <w:tab/>
          </w:r>
          <w:r>
            <w:fldChar w:fldCharType="begin"/>
          </w:r>
          <w:r>
            <w:instrText xml:space="preserve"> PAGEREF _Toc116649659 \h </w:instrText>
          </w:r>
          <w:r>
            <w:fldChar w:fldCharType="separate"/>
          </w:r>
          <w:r>
            <w:t>31</w:t>
          </w:r>
          <w:r>
            <w:fldChar w:fldCharType="end"/>
          </w:r>
          <w:r>
            <w:fldChar w:fldCharType="end"/>
          </w:r>
        </w:p>
        <w:p>
          <w:pPr>
            <w:pStyle w:val="16"/>
            <w:tabs>
              <w:tab w:val="right" w:leader="dot" w:pos="8296"/>
            </w:tabs>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29"/>
              <w:rFonts w:hint="eastAsia" w:ascii="Times New Roman"/>
            </w:rPr>
            <w:t>第十二条</w:t>
          </w:r>
          <w:r>
            <w:rPr>
              <w:rStyle w:val="29"/>
              <w:rFonts w:ascii="Times New Roman"/>
            </w:rPr>
            <w:t xml:space="preserve">  </w:t>
          </w:r>
          <w:r>
            <w:rPr>
              <w:rStyle w:val="29"/>
              <w:rFonts w:hint="eastAsia" w:ascii="Times New Roman"/>
            </w:rPr>
            <w:t>理财产品的风险揭示</w:t>
          </w:r>
          <w:r>
            <w:tab/>
          </w:r>
          <w:r>
            <w:fldChar w:fldCharType="begin"/>
          </w:r>
          <w:r>
            <w:instrText xml:space="preserve"> PAGEREF _Toc116649660 \h </w:instrText>
          </w:r>
          <w:r>
            <w:fldChar w:fldCharType="separate"/>
          </w:r>
          <w:r>
            <w:t>33</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1"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0"/>
      <w:bookmarkEnd w:id="1"/>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w:t>
      </w:r>
      <w:permStart w:id="2" w:edGrp="everyone"/>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permEnd w:id="2"/>
      <w:r>
        <w:rPr>
          <w:rFonts w:asciiTheme="majorEastAsia" w:hAnsiTheme="majorEastAsia" w:eastAsiaTheme="majorEastAsia"/>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w:t>
      </w:r>
      <w:r>
        <w:rPr>
          <w:rFonts w:hint="eastAsia" w:asciiTheme="majorEastAsia" w:hAnsiTheme="majorEastAsia" w:eastAsiaTheme="majorEastAsia"/>
          <w:bCs/>
          <w:color w:val="auto"/>
          <w:sz w:val="18"/>
          <w:szCs w:val="18"/>
        </w:rPr>
        <w:t>监管部门</w:t>
      </w:r>
      <w:r>
        <w:rPr>
          <w:rFonts w:asciiTheme="majorEastAsia" w:hAnsiTheme="majorEastAsia" w:eastAsiaTheme="majorEastAsia"/>
          <w:bCs/>
          <w:color w:val="auto"/>
          <w:sz w:val="18"/>
          <w:szCs w:val="18"/>
        </w:rPr>
        <w:t>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3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3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w:t>
      </w:r>
      <w:permStart w:id="3" w:edGrp="everyone"/>
      <w:r>
        <w:rPr>
          <w:rFonts w:hint="eastAsia" w:asciiTheme="majorEastAsia" w:hAnsiTheme="majorEastAsia" w:eastAsiaTheme="majorEastAsia"/>
          <w:bCs/>
          <w:sz w:val="18"/>
          <w:szCs w:val="18"/>
        </w:rPr>
        <w:t>【稳利丰收封闭式固收类】</w:t>
      </w:r>
      <w:permEnd w:id="3"/>
      <w:r>
        <w:rPr>
          <w:rFonts w:hint="eastAsia" w:asciiTheme="majorEastAsia" w:hAnsiTheme="majorEastAsia" w:eastAsiaTheme="majorEastAsia"/>
          <w:bCs/>
          <w:sz w:val="18"/>
          <w:szCs w:val="18"/>
        </w:rPr>
        <w:t>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w:t>
      </w:r>
      <w:permStart w:id="4" w:edGrp="everyone"/>
      <w:r>
        <w:rPr>
          <w:rFonts w:hint="eastAsia" w:asciiTheme="majorEastAsia" w:hAnsiTheme="majorEastAsia" w:eastAsiaTheme="majorEastAsia"/>
          <w:bCs/>
          <w:sz w:val="18"/>
          <w:szCs w:val="18"/>
        </w:rPr>
        <w:t>【稳利丰收封闭式固收类】</w:t>
      </w:r>
      <w:permEnd w:id="4"/>
      <w:r>
        <w:rPr>
          <w:rFonts w:hint="eastAsia" w:asciiTheme="majorEastAsia" w:hAnsiTheme="majorEastAsia" w:eastAsiaTheme="majorEastAsia"/>
          <w:bCs/>
          <w:sz w:val="18"/>
          <w:szCs w:val="18"/>
        </w:rPr>
        <w:t>理财产品投资协议书》，以及对该文件的有效修改或补充。</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w:t>
      </w:r>
      <w:permStart w:id="5" w:edGrp="everyone"/>
      <w:r>
        <w:rPr>
          <w:rFonts w:hint="eastAsia" w:asciiTheme="majorEastAsia" w:hAnsiTheme="majorEastAsia" w:eastAsiaTheme="majorEastAsia"/>
          <w:bCs/>
          <w:sz w:val="18"/>
          <w:szCs w:val="18"/>
        </w:rPr>
        <w:t>【稳利丰收封闭式固收类】</w:t>
      </w:r>
      <w:permEnd w:id="5"/>
      <w:r>
        <w:rPr>
          <w:rFonts w:hint="eastAsia" w:asciiTheme="majorEastAsia" w:hAnsiTheme="majorEastAsia" w:eastAsiaTheme="majorEastAsia"/>
          <w:bCs/>
          <w:sz w:val="18"/>
          <w:szCs w:val="18"/>
        </w:rPr>
        <w:t>理财产品产品说明书》，以及对该文件的有效修改或补充。</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w:t>
      </w:r>
      <w:permStart w:id="6" w:edGrp="everyone"/>
      <w:r>
        <w:rPr>
          <w:rFonts w:hint="eastAsia" w:asciiTheme="majorEastAsia" w:hAnsiTheme="majorEastAsia" w:eastAsiaTheme="majorEastAsia"/>
          <w:bCs/>
          <w:sz w:val="18"/>
          <w:szCs w:val="18"/>
        </w:rPr>
        <w:t>【稳利丰收封闭式固收类】</w:t>
      </w:r>
      <w:permEnd w:id="6"/>
      <w:r>
        <w:rPr>
          <w:rFonts w:hint="eastAsia" w:asciiTheme="majorEastAsia" w:hAnsiTheme="majorEastAsia" w:eastAsiaTheme="majorEastAsia"/>
          <w:bCs/>
          <w:sz w:val="18"/>
          <w:szCs w:val="18"/>
        </w:rPr>
        <w:t>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w:t>
      </w:r>
      <w:permStart w:id="7" w:edGrp="everyone"/>
      <w:r>
        <w:rPr>
          <w:rFonts w:hint="eastAsia" w:asciiTheme="majorEastAsia" w:hAnsiTheme="majorEastAsia" w:eastAsiaTheme="majorEastAsia"/>
          <w:bCs/>
          <w:sz w:val="18"/>
          <w:szCs w:val="18"/>
        </w:rPr>
        <w:t>【稳利丰收封闭式固收类】</w:t>
      </w:r>
      <w:permEnd w:id="7"/>
      <w:r>
        <w:rPr>
          <w:rFonts w:hint="eastAsia" w:asciiTheme="majorEastAsia" w:hAnsiTheme="majorEastAsia" w:eastAsiaTheme="majorEastAsia"/>
          <w:bCs/>
          <w:sz w:val="18"/>
          <w:szCs w:val="18"/>
        </w:rPr>
        <w:t>理财产品（代理）销售协议书》（文件名称以代理销售机构实际编制为准），以及对该文件的有效修改或补充。</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w:t>
      </w:r>
      <w:permStart w:id="8" w:edGrp="everyone"/>
      <w:r>
        <w:rPr>
          <w:rFonts w:hint="eastAsia" w:asciiTheme="majorEastAsia" w:hAnsiTheme="majorEastAsia" w:eastAsiaTheme="majorEastAsia"/>
          <w:bCs/>
          <w:sz w:val="18"/>
          <w:szCs w:val="18"/>
        </w:rPr>
        <w:t>【稳利丰收封闭式固收类】</w:t>
      </w:r>
      <w:permEnd w:id="8"/>
      <w:r>
        <w:rPr>
          <w:rFonts w:hint="eastAsia" w:asciiTheme="majorEastAsia" w:hAnsiTheme="majorEastAsia" w:eastAsiaTheme="majorEastAsia"/>
          <w:bCs/>
          <w:sz w:val="18"/>
          <w:szCs w:val="18"/>
        </w:rPr>
        <w:t>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w:t>
      </w:r>
      <w:permStart w:id="9" w:edGrp="everyone"/>
      <w:r>
        <w:rPr>
          <w:rFonts w:hint="eastAsia" w:asciiTheme="majorEastAsia" w:hAnsiTheme="majorEastAsia" w:eastAsiaTheme="majorEastAsia"/>
          <w:bCs/>
          <w:sz w:val="18"/>
          <w:szCs w:val="18"/>
        </w:rPr>
        <w:t>【稳利丰收封闭式固收类】</w:t>
      </w:r>
      <w:permEnd w:id="9"/>
      <w:r>
        <w:rPr>
          <w:rFonts w:hint="eastAsia" w:asciiTheme="majorEastAsia" w:hAnsiTheme="majorEastAsia" w:eastAsiaTheme="majorEastAsia"/>
          <w:bCs/>
          <w:sz w:val="18"/>
          <w:szCs w:val="18"/>
        </w:rPr>
        <w:t>理财产品风险揭示书》（文件名称以代理销售机构实际编制为准），以及对该文件的有效修改或补充。</w:t>
      </w:r>
    </w:p>
    <w:p>
      <w:pPr>
        <w:pStyle w:val="3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w:t>
      </w:r>
      <w:permStart w:id="10" w:edGrp="everyone"/>
      <w:r>
        <w:rPr>
          <w:rFonts w:hint="eastAsia" w:asciiTheme="majorEastAsia" w:hAnsiTheme="majorEastAsia" w:eastAsiaTheme="majorEastAsia"/>
          <w:bCs/>
          <w:sz w:val="18"/>
          <w:szCs w:val="18"/>
        </w:rPr>
        <w:t>【稳利丰收封闭式固收类】</w:t>
      </w:r>
      <w:permEnd w:id="10"/>
      <w:r>
        <w:rPr>
          <w:rFonts w:hint="eastAsia" w:asciiTheme="majorEastAsia" w:hAnsiTheme="majorEastAsia" w:eastAsiaTheme="majorEastAsia"/>
          <w:bCs/>
          <w:sz w:val="18"/>
          <w:szCs w:val="18"/>
        </w:rPr>
        <w:t>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w:t>
      </w:r>
      <w:permStart w:id="11" w:edGrp="everyone"/>
      <w:r>
        <w:rPr>
          <w:rFonts w:hint="eastAsia" w:asciiTheme="majorEastAsia" w:hAnsiTheme="majorEastAsia" w:eastAsiaTheme="majorEastAsia"/>
          <w:bCs/>
          <w:sz w:val="18"/>
          <w:szCs w:val="18"/>
        </w:rPr>
        <w:t>【稳利丰收封闭式固收类】</w:t>
      </w:r>
      <w:permEnd w:id="11"/>
      <w:r>
        <w:rPr>
          <w:rFonts w:hint="eastAsia" w:asciiTheme="majorEastAsia" w:hAnsiTheme="majorEastAsia" w:eastAsiaTheme="majorEastAsia"/>
          <w:bCs/>
          <w:sz w:val="18"/>
          <w:szCs w:val="18"/>
        </w:rPr>
        <w:t>理财产品投资者权益须知》（文件名称以代理销售机构实际编制为准），以及对该文件的有效修改或补充。</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3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3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3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业绩比较基准不是预期收益率，不代表产品的未来表现和实际收益，</w:t>
      </w:r>
      <w:r>
        <w:rPr>
          <w:rFonts w:hint="eastAsia" w:ascii="黑体" w:hAnsi="黑体"/>
          <w:sz w:val="18"/>
        </w:rPr>
        <w:t>不</w:t>
      </w:r>
      <w:r>
        <w:rPr>
          <w:rFonts w:hint="eastAsia" w:ascii="黑体" w:hAnsi="黑体" w:eastAsia="黑体"/>
          <w:bCs/>
          <w:sz w:val="18"/>
          <w:szCs w:val="18"/>
        </w:rPr>
        <w:t>构成对</w:t>
      </w:r>
      <w:r>
        <w:rPr>
          <w:rFonts w:hint="eastAsia" w:ascii="黑体" w:hAnsi="黑体"/>
          <w:sz w:val="18"/>
        </w:rPr>
        <w:t>产品收益的</w:t>
      </w:r>
      <w:r>
        <w:rPr>
          <w:rFonts w:hint="eastAsia" w:ascii="黑体" w:hAnsi="黑体" w:eastAsia="黑体"/>
          <w:bCs/>
          <w:sz w:val="18"/>
          <w:szCs w:val="18"/>
        </w:rPr>
        <w:t>承诺</w:t>
      </w:r>
      <w:r>
        <w:rPr>
          <w:rFonts w:hint="eastAsia" w:ascii="黑体" w:hAnsi="黑体"/>
          <w:sz w:val="18"/>
        </w:rPr>
        <w:t>，</w:t>
      </w:r>
      <w:r>
        <w:rPr>
          <w:rFonts w:hint="eastAsia" w:ascii="黑体" w:hAnsi="黑体" w:eastAsia="黑体"/>
          <w:bCs/>
          <w:color w:val="auto"/>
          <w:sz w:val="18"/>
          <w:szCs w:val="18"/>
        </w:rPr>
        <w:t>投资须谨慎。</w:t>
      </w:r>
    </w:p>
    <w:p>
      <w:pPr>
        <w:pStyle w:val="3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★业绩报酬计提基准：</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业绩报酬计提基准不是预期收益率，不代表产品的未来表现和实际收益，不构成对产品收益的承诺，投资须谨慎。</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3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3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3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3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3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3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3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3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3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3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）国家金融监督管理总局：为免歧义，原中国银行业监督管理委员会、原中国银行保险监督管理委员会与国家金融监督管理总局均统称为“国家金融监督管理总局”。</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2" w:name="_Toc79154665"/>
      <w:bookmarkStart w:id="3" w:name="_Toc116649650"/>
      <w:r>
        <w:rPr>
          <w:rFonts w:hint="eastAsia" w:hAnsi="宋体"/>
          <w:sz w:val="28"/>
          <w:szCs w:val="28"/>
        </w:rPr>
        <w:t>第二条  理财产品基本情况</w:t>
      </w:r>
      <w:bookmarkEnd w:id="2"/>
      <w:r>
        <w:rPr>
          <w:rFonts w:hint="eastAsia" w:hAnsi="宋体"/>
          <w:sz w:val="28"/>
          <w:szCs w:val="28"/>
        </w:rPr>
        <w:t xml:space="preserve"> </w:t>
      </w:r>
      <w:bookmarkEnd w:id="3"/>
    </w:p>
    <w:tbl>
      <w:tblPr>
        <w:tblStyle w:val="24"/>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permStart w:id="12" w:edGrp="everyone"/>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兴银理财稳利丰收封闭式60</w:t>
            </w:r>
            <w:r>
              <w:rPr>
                <w:rFonts w:hint="eastAsia" w:ascii="宋体" w:hAnsi="宋体"/>
                <w:bCs/>
                <w:sz w:val="18"/>
                <w:szCs w:val="18"/>
                <w:lang w:val="en-US" w:eastAsia="zh-CN"/>
              </w:rPr>
              <w:t>21</w:t>
            </w:r>
            <w:r>
              <w:rPr>
                <w:rFonts w:hint="eastAsia" w:ascii="宋体" w:hAnsi="宋体"/>
                <w:bCs/>
                <w:sz w:val="18"/>
                <w:szCs w:val="18"/>
              </w:rPr>
              <w:t>号固收类理财产品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color w:val="000000" w:themeColor="text1"/>
                <w:sz w:val="18"/>
                <w:szCs w:val="18"/>
                <w14:textFill>
                  <w14:solidFill>
                    <w14:schemeClr w14:val="tx1"/>
                  </w14:solidFill>
                </w14:textFill>
              </w:rPr>
            </w:pPr>
            <w:r>
              <w:rPr>
                <w:rFonts w:ascii="宋体" w:hAnsi="宋体"/>
                <w:bCs/>
                <w:sz w:val="18"/>
                <w:szCs w:val="18"/>
              </w:rPr>
              <w:t>【</w:t>
            </w:r>
            <w:r>
              <w:rPr>
                <w:rFonts w:hint="eastAsia" w:ascii="宋体" w:hAnsi="宋体"/>
                <w:bCs/>
                <w:sz w:val="18"/>
                <w:szCs w:val="18"/>
              </w:rPr>
              <w:t>稳利丰收封闭式60</w:t>
            </w:r>
            <w:r>
              <w:rPr>
                <w:rFonts w:hint="eastAsia" w:ascii="宋体" w:hAnsi="宋体"/>
                <w:bCs/>
                <w:sz w:val="18"/>
                <w:szCs w:val="18"/>
                <w:lang w:val="en-US" w:eastAsia="zh-CN"/>
              </w:rPr>
              <w:t>21</w:t>
            </w:r>
            <w:r>
              <w:rPr>
                <w:rFonts w:hint="eastAsia" w:ascii="宋体" w:hAnsi="宋体"/>
                <w:bCs/>
                <w:sz w:val="18"/>
                <w:szCs w:val="18"/>
              </w:rPr>
              <w:t>号A】</w:t>
            </w:r>
            <w:r>
              <w:rPr>
                <w:rFonts w:hint="eastAsia" w:ascii="宋体" w:hAnsi="宋体"/>
                <w:bCs/>
                <w:color w:val="000000" w:themeColor="text1"/>
                <w:sz w:val="18"/>
                <w:szCs w:val="18"/>
                <w14:textFill>
                  <w14:solidFill>
                    <w14:schemeClr w14:val="tx1"/>
                  </w14:solidFill>
                </w14:textFill>
              </w:rPr>
              <w:t>（适用【A】类份额）</w:t>
            </w:r>
          </w:p>
          <w:p>
            <w:pPr>
              <w:spacing w:line="360" w:lineRule="auto"/>
              <w:rPr>
                <w:rFonts w:ascii="宋体" w:hAnsi="宋体"/>
                <w:bCs/>
                <w:color w:val="000000" w:themeColor="text1"/>
                <w:sz w:val="18"/>
                <w:szCs w:val="18"/>
                <w14:textFill>
                  <w14:solidFill>
                    <w14:schemeClr w14:val="tx1"/>
                  </w14:solidFill>
                </w14:textFill>
              </w:rPr>
            </w:pPr>
            <w:r>
              <w:rPr>
                <w:rFonts w:ascii="宋体" w:hAnsi="宋体"/>
                <w:bCs/>
                <w:sz w:val="18"/>
                <w:szCs w:val="18"/>
              </w:rPr>
              <w:t>【</w:t>
            </w:r>
            <w:r>
              <w:rPr>
                <w:rFonts w:hint="eastAsia" w:ascii="宋体" w:hAnsi="宋体"/>
                <w:bCs/>
                <w:sz w:val="18"/>
                <w:szCs w:val="18"/>
              </w:rPr>
              <w:t>稳利丰收封闭式60</w:t>
            </w:r>
            <w:r>
              <w:rPr>
                <w:rFonts w:hint="eastAsia" w:ascii="宋体" w:hAnsi="宋体"/>
                <w:bCs/>
                <w:sz w:val="18"/>
                <w:szCs w:val="18"/>
                <w:lang w:val="en-US" w:eastAsia="zh-CN"/>
              </w:rPr>
              <w:t>21</w:t>
            </w:r>
            <w:r>
              <w:rPr>
                <w:rFonts w:hint="eastAsia" w:ascii="宋体" w:hAnsi="宋体"/>
                <w:bCs/>
                <w:sz w:val="18"/>
                <w:szCs w:val="18"/>
              </w:rPr>
              <w:t>号</w:t>
            </w:r>
            <w:r>
              <w:rPr>
                <w:rFonts w:ascii="宋体" w:hAnsi="宋体"/>
                <w:bCs/>
                <w:sz w:val="18"/>
                <w:szCs w:val="18"/>
              </w:rPr>
              <w:t>B</w:t>
            </w:r>
            <w:r>
              <w:rPr>
                <w:rFonts w:hint="eastAsia" w:ascii="宋体" w:hAnsi="宋体"/>
                <w:bCs/>
                <w:sz w:val="18"/>
                <w:szCs w:val="18"/>
              </w:rPr>
              <w:t>】</w:t>
            </w:r>
            <w:r>
              <w:rPr>
                <w:rFonts w:hint="eastAsia" w:ascii="宋体" w:hAnsi="宋体"/>
                <w:bCs/>
                <w:color w:val="000000" w:themeColor="text1"/>
                <w:sz w:val="18"/>
                <w:szCs w:val="18"/>
                <w14:textFill>
                  <w14:solidFill>
                    <w14:schemeClr w14:val="tx1"/>
                  </w14:solidFill>
                </w14:textFill>
              </w:rPr>
              <w:t>（适用【</w:t>
            </w:r>
            <w:r>
              <w:rPr>
                <w:rFonts w:ascii="宋体" w:hAnsi="宋体"/>
                <w:bCs/>
                <w:color w:val="000000" w:themeColor="text1"/>
                <w:sz w:val="18"/>
                <w:szCs w:val="18"/>
                <w14:textFill>
                  <w14:solidFill>
                    <w14:schemeClr w14:val="tx1"/>
                  </w14:solidFill>
                </w14:textFill>
              </w:rPr>
              <w:t>B</w:t>
            </w:r>
            <w:r>
              <w:rPr>
                <w:rFonts w:hint="eastAsia" w:ascii="宋体" w:hAnsi="宋体"/>
                <w:bCs/>
                <w:color w:val="000000" w:themeColor="text1"/>
                <w:sz w:val="18"/>
                <w:szCs w:val="18"/>
                <w14:textFill>
                  <w14:solidFill>
                    <w14:schemeClr w14:val="tx1"/>
                  </w14:solidFill>
                </w14:textFill>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hint="eastAsia" w:ascii="宋体" w:hAnsi="宋体"/>
                <w:bCs/>
                <w:sz w:val="18"/>
                <w:szCs w:val="18"/>
              </w:rPr>
              <w:t>Z7002024000022</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9C336</w:t>
            </w:r>
            <w:r>
              <w:rPr>
                <w:rFonts w:hint="eastAsia" w:ascii="宋体" w:hAnsi="宋体"/>
                <w:bCs/>
                <w:color w:val="000000" w:themeColor="text1"/>
                <w:sz w:val="18"/>
                <w:szCs w:val="18"/>
                <w:lang w:val="en-US" w:eastAsia="zh-CN"/>
                <w14:textFill>
                  <w14:solidFill>
                    <w14:schemeClr w14:val="tx1"/>
                  </w14:solidFill>
                </w14:textFill>
              </w:rPr>
              <w:t>21</w:t>
            </w:r>
            <w:r>
              <w:rPr>
                <w:rFonts w:ascii="宋体" w:hAnsi="宋体"/>
                <w:bCs/>
                <w:color w:val="000000" w:themeColor="text1"/>
                <w:sz w:val="18"/>
                <w:szCs w:val="18"/>
                <w14:textFill>
                  <w14:solidFill>
                    <w14:schemeClr w14:val="tx1"/>
                  </w14:solidFill>
                </w14:textFill>
              </w:rPr>
              <w:t>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9C336</w:t>
            </w:r>
            <w:r>
              <w:rPr>
                <w:rFonts w:hint="eastAsia" w:ascii="宋体" w:hAnsi="宋体"/>
                <w:sz w:val="18"/>
                <w:szCs w:val="18"/>
                <w:lang w:val="en-US" w:eastAsia="zh-CN"/>
              </w:rPr>
              <w:t>21</w:t>
            </w:r>
            <w:r>
              <w:rPr>
                <w:rFonts w:ascii="宋体" w:hAnsi="宋体"/>
                <w:sz w:val="18"/>
                <w:szCs w:val="18"/>
              </w:rPr>
              <w:t>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9C336</w:t>
            </w:r>
            <w:r>
              <w:rPr>
                <w:rFonts w:hint="eastAsia" w:ascii="宋体" w:hAnsi="宋体"/>
                <w:sz w:val="18"/>
                <w:szCs w:val="18"/>
                <w:lang w:val="en-US" w:eastAsia="zh-CN"/>
              </w:rPr>
              <w:t>21</w:t>
            </w:r>
            <w:r>
              <w:rPr>
                <w:rFonts w:ascii="宋体" w:hAnsi="宋体"/>
                <w:sz w:val="18"/>
                <w:szCs w:val="18"/>
              </w:rPr>
              <w:t>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本产品属于【□</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 直销适用</w:t>
            </w:r>
          </w:p>
          <w:p>
            <w:pPr>
              <w:spacing w:line="360" w:lineRule="auto"/>
              <w:jc w:val="left"/>
              <w:rPr>
                <w:rFonts w:ascii="宋体" w:hAnsi="宋体"/>
                <w:sz w:val="18"/>
                <w:szCs w:val="18"/>
              </w:rPr>
            </w:pPr>
            <w:r>
              <w:rPr>
                <w:rFonts w:hint="eastAsia" w:ascii="宋体" w:hAnsi="宋体"/>
                <w:sz w:val="18"/>
                <w:szCs w:val="18"/>
              </w:rPr>
              <w:t>本产品由产品管理人销售。</w:t>
            </w:r>
          </w:p>
          <w:p>
            <w:pPr>
              <w:spacing w:line="360" w:lineRule="auto"/>
              <w:jc w:val="left"/>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jc w:val="left"/>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20</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6个月</w:t>
            </w:r>
            <w:r>
              <w:rPr>
                <w:rFonts w:hint="eastAsia" w:asciiTheme="majorEastAsia" w:hAnsiTheme="majorEastAsia" w:eastAsiaTheme="majorEastAsia"/>
                <w:bCs/>
                <w:sz w:val="18"/>
                <w:szCs w:val="18"/>
              </w:rPr>
              <w:t>】</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【202</w:t>
            </w:r>
            <w:r>
              <w:rPr>
                <w:rFonts w:cs="Times New Roman" w:asciiTheme="minorEastAsia" w:hAnsiTheme="minorEastAsia"/>
                <w:sz w:val="18"/>
                <w:szCs w:val="18"/>
              </w:rPr>
              <w:t>4】年【</w:t>
            </w:r>
            <w:r>
              <w:rPr>
                <w:rFonts w:hint="eastAsia" w:cs="Times New Roman" w:asciiTheme="minorEastAsia" w:hAnsiTheme="minorEastAsia"/>
                <w:sz w:val="18"/>
                <w:szCs w:val="18"/>
                <w:lang w:val="en-US" w:eastAsia="zh-CN"/>
              </w:rPr>
              <w:t>4</w:t>
            </w:r>
            <w:r>
              <w:rPr>
                <w:rFonts w:hint="eastAsia" w:cs="Times New Roman" w:asciiTheme="minorEastAsia" w:hAnsiTheme="minorEastAsia"/>
                <w:sz w:val="18"/>
                <w:szCs w:val="18"/>
              </w:rPr>
              <w:t>】月【</w:t>
            </w:r>
            <w:r>
              <w:rPr>
                <w:rFonts w:hint="eastAsia" w:cs="Times New Roman" w:asciiTheme="minorEastAsia" w:hAnsiTheme="minorEastAsia"/>
                <w:sz w:val="18"/>
                <w:szCs w:val="18"/>
                <w:lang w:val="en-US" w:eastAsia="zh-CN"/>
              </w:rPr>
              <w:t>2</w:t>
            </w:r>
            <w:r>
              <w:rPr>
                <w:rFonts w:hint="eastAsia" w:cs="Times New Roman" w:asciiTheme="minorEastAsia" w:hAnsiTheme="minorEastAsia"/>
                <w:sz w:val="18"/>
                <w:szCs w:val="18"/>
              </w:rPr>
              <w:t>】日【09:00】</w:t>
            </w:r>
            <w:r>
              <w:rPr>
                <w:rFonts w:hint="eastAsia" w:cs="仿宋_GB2312" w:asciiTheme="minorEastAsia" w:hAnsiTheme="minorEastAsia"/>
                <w:sz w:val="18"/>
                <w:szCs w:val="18"/>
              </w:rPr>
              <w:t>至</w:t>
            </w:r>
            <w:r>
              <w:rPr>
                <w:rFonts w:hint="eastAsia" w:cs="Times New Roman" w:asciiTheme="minorEastAsia" w:hAnsiTheme="minorEastAsia"/>
                <w:sz w:val="18"/>
                <w:szCs w:val="18"/>
              </w:rPr>
              <w:t>【202</w:t>
            </w:r>
            <w:r>
              <w:rPr>
                <w:rFonts w:cs="Times New Roman" w:asciiTheme="minorEastAsia" w:hAnsiTheme="minorEastAsia"/>
                <w:sz w:val="18"/>
                <w:szCs w:val="18"/>
              </w:rPr>
              <w:t>4】年【</w:t>
            </w:r>
            <w:r>
              <w:rPr>
                <w:rFonts w:hint="eastAsia" w:cs="Times New Roman" w:asciiTheme="minorEastAsia" w:hAnsiTheme="minorEastAsia"/>
                <w:sz w:val="18"/>
                <w:szCs w:val="18"/>
                <w:lang w:val="en-US" w:eastAsia="zh-CN"/>
              </w:rPr>
              <w:t>4</w:t>
            </w:r>
            <w:r>
              <w:rPr>
                <w:rFonts w:hint="eastAsia" w:cs="Times New Roman" w:asciiTheme="minorEastAsia" w:hAnsiTheme="minorEastAsia"/>
                <w:sz w:val="18"/>
                <w:szCs w:val="18"/>
              </w:rPr>
              <w:t>】月【</w:t>
            </w:r>
            <w:r>
              <w:rPr>
                <w:rFonts w:hint="eastAsia" w:cs="Times New Roman" w:asciiTheme="minorEastAsia" w:hAnsiTheme="minorEastAsia"/>
                <w:sz w:val="18"/>
                <w:szCs w:val="18"/>
                <w:lang w:val="en-US" w:eastAsia="zh-CN"/>
              </w:rPr>
              <w:t>10</w:t>
            </w:r>
            <w:r>
              <w:rPr>
                <w:rFonts w:hint="eastAsia" w:cs="Times New Roman" w:asciiTheme="minorEastAsia" w:hAnsiTheme="minorEastAsia"/>
                <w:sz w:val="18"/>
                <w:szCs w:val="18"/>
              </w:rPr>
              <w:t>】日</w:t>
            </w:r>
            <w:r>
              <w:rPr>
                <w:rFonts w:hint="eastAsia" w:asciiTheme="majorEastAsia" w:hAnsiTheme="majorEastAsia" w:eastAsiaTheme="majorEastAsia"/>
                <w:sz w:val="18"/>
                <w:szCs w:val="18"/>
              </w:rPr>
              <w:t>【17：00】</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【202</w:t>
            </w:r>
            <w:r>
              <w:rPr>
                <w:rFonts w:cs="Times New Roman" w:asciiTheme="minorEastAsia" w:hAnsiTheme="minorEastAsia"/>
                <w:sz w:val="18"/>
                <w:szCs w:val="18"/>
              </w:rPr>
              <w:t>4】年【</w:t>
            </w:r>
            <w:r>
              <w:rPr>
                <w:rFonts w:hint="eastAsia" w:cs="Times New Roman" w:asciiTheme="minorEastAsia" w:hAnsiTheme="minorEastAsia"/>
                <w:sz w:val="18"/>
                <w:szCs w:val="18"/>
                <w:lang w:val="en-US" w:eastAsia="zh-CN"/>
              </w:rPr>
              <w:t>4</w:t>
            </w:r>
            <w:r>
              <w:rPr>
                <w:rFonts w:hint="eastAsia" w:cs="Times New Roman" w:asciiTheme="minorEastAsia" w:hAnsiTheme="minorEastAsia"/>
                <w:sz w:val="18"/>
                <w:szCs w:val="18"/>
              </w:rPr>
              <w:t>】月【</w:t>
            </w:r>
            <w:r>
              <w:rPr>
                <w:rFonts w:hint="eastAsia" w:cs="Times New Roman" w:asciiTheme="minorEastAsia" w:hAnsiTheme="minorEastAsia"/>
                <w:sz w:val="18"/>
                <w:szCs w:val="18"/>
                <w:lang w:val="en-US" w:eastAsia="zh-CN"/>
              </w:rPr>
              <w:t>11</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【2024</w:t>
            </w:r>
            <w:r>
              <w:rPr>
                <w:rFonts w:cs="Times New Roman" w:asciiTheme="minorEastAsia" w:hAnsiTheme="minorEastAsia"/>
                <w:sz w:val="18"/>
                <w:szCs w:val="18"/>
              </w:rPr>
              <w:t>】年【</w:t>
            </w:r>
            <w:r>
              <w:rPr>
                <w:rFonts w:hint="eastAsia" w:cs="Times New Roman" w:asciiTheme="minorEastAsia" w:hAnsiTheme="minorEastAsia"/>
                <w:sz w:val="18"/>
                <w:szCs w:val="18"/>
                <w:lang w:val="en-US" w:eastAsia="zh-CN"/>
              </w:rPr>
              <w:t>10</w:t>
            </w:r>
            <w:r>
              <w:rPr>
                <w:rFonts w:hint="eastAsia" w:cs="Times New Roman" w:asciiTheme="minorEastAsia" w:hAnsiTheme="minorEastAsia"/>
                <w:sz w:val="18"/>
                <w:szCs w:val="18"/>
              </w:rPr>
              <w:t>】月【</w:t>
            </w:r>
            <w:r>
              <w:rPr>
                <w:rFonts w:hint="eastAsia" w:cs="Times New Roman" w:asciiTheme="minorEastAsia" w:hAnsiTheme="minorEastAsia"/>
                <w:sz w:val="18"/>
                <w:szCs w:val="18"/>
                <w:lang w:val="en-US" w:eastAsia="zh-CN"/>
              </w:rPr>
              <w:t>15</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sz w:val="18"/>
                <w:szCs w:val="18"/>
              </w:rPr>
              <w:t>每笔购买起点金额为【1</w:t>
            </w:r>
            <w:r>
              <w:rPr>
                <w:rFonts w:asciiTheme="majorEastAsia" w:hAnsiTheme="majorEastAsia" w:eastAsiaTheme="majorEastAsia"/>
                <w:sz w:val="18"/>
                <w:szCs w:val="18"/>
              </w:rPr>
              <w:t>.00</w:t>
            </w:r>
            <w:r>
              <w:rPr>
                <w:rFonts w:hint="eastAsia" w:asciiTheme="majorEastAsia" w:hAnsiTheme="majorEastAsia" w:eastAsiaTheme="majorEastAsia"/>
                <w:sz w:val="18"/>
                <w:szCs w:val="18"/>
              </w:rPr>
              <w:t>】元；超出起点金额的部分以【</w:t>
            </w:r>
            <w:r>
              <w:rPr>
                <w:rFonts w:asciiTheme="majorEastAsia" w:hAnsiTheme="majorEastAsia" w:eastAsiaTheme="majorEastAsia"/>
                <w:sz w:val="18"/>
                <w:szCs w:val="18"/>
              </w:rPr>
              <w:t>0.01</w:t>
            </w:r>
            <w:r>
              <w:rPr>
                <w:rFonts w:hint="eastAsia" w:asciiTheme="majorEastAsia" w:hAnsiTheme="majorEastAsia" w:eastAsiaTheme="majorEastAsia"/>
                <w:sz w:val="18"/>
                <w:szCs w:val="18"/>
              </w:rPr>
              <w:t>】元的整数倍递增。（适用【</w:t>
            </w:r>
            <w:r>
              <w:rPr>
                <w:rFonts w:asciiTheme="majorEastAsia" w:hAnsiTheme="majorEastAsia" w:eastAsiaTheme="majorEastAsia"/>
                <w:sz w:val="18"/>
                <w:szCs w:val="18"/>
              </w:rPr>
              <w:t>/</w:t>
            </w:r>
            <w:r>
              <w:rPr>
                <w:rFonts w:hint="eastAsia" w:asciiTheme="majorEastAsia" w:hAnsiTheme="majorEastAsia" w:eastAsiaTheme="majorEastAsia"/>
                <w:sz w:val="18"/>
                <w:szCs w:val="18"/>
              </w:rPr>
              <w:t>】类份额）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jc w:val="left"/>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34"/>
              <w:spacing w:line="360" w:lineRule="auto"/>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w:t>
            </w:r>
            <w:r>
              <w:rPr>
                <w:rFonts w:hint="eastAsia" w:hAnsi="宋体"/>
                <w:bCs/>
                <w:sz w:val="18"/>
                <w:szCs w:val="18"/>
              </w:rPr>
              <w:t>】类</w:t>
            </w:r>
            <w:r>
              <w:rPr>
                <w:rFonts w:hAnsi="宋体"/>
                <w:bCs/>
                <w:sz w:val="18"/>
                <w:szCs w:val="18"/>
              </w:rPr>
              <w:t>份额</w:t>
            </w:r>
            <w:r>
              <w:rPr>
                <w:rFonts w:hint="eastAsia" w:hAnsi="宋体"/>
                <w:bCs/>
                <w:sz w:val="18"/>
                <w:szCs w:val="18"/>
              </w:rPr>
              <w:t>）</w:t>
            </w:r>
          </w:p>
          <w:p>
            <w:pPr>
              <w:pStyle w:val="3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3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3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3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3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3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jc w:val="left"/>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jc w:val="left"/>
              <w:rPr>
                <w:rFonts w:hAnsi="宋体"/>
                <w:b/>
                <w:sz w:val="18"/>
                <w:szCs w:val="18"/>
              </w:rPr>
            </w:pPr>
            <w:r>
              <w:rPr>
                <w:rFonts w:hAnsi="宋体"/>
                <w:b/>
                <w:sz w:val="18"/>
                <w:szCs w:val="18"/>
              </w:rPr>
              <w:t>1.业绩比较基准的设置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spacing w:line="360" w:lineRule="auto"/>
              <w:jc w:val="left"/>
              <w:rPr>
                <w:rFonts w:ascii="宋体" w:hAnsi="宋体"/>
                <w:bCs/>
                <w:sz w:val="18"/>
                <w:szCs w:val="18"/>
              </w:rPr>
            </w:pPr>
            <w:r>
              <w:rPr>
                <w:rFonts w:hint="eastAsia" w:ascii="宋体" w:hAnsi="宋体"/>
                <w:bCs/>
                <w:sz w:val="18"/>
                <w:szCs w:val="18"/>
              </w:rPr>
              <w:t>（1）业绩比较基准的说明：【以一年期定期存款利率为无风险利率，基于当前对未来市场的判断，根据拟投资债权类资产的信用利差、久期敞口以及流动性溢价，预判组合的波动幅度】。</w:t>
            </w:r>
          </w:p>
          <w:p>
            <w:pPr>
              <w:spacing w:line="360" w:lineRule="auto"/>
              <w:jc w:val="left"/>
              <w:rPr>
                <w:rFonts w:ascii="宋体" w:hAnsi="宋体"/>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A类份额：年化</w:t>
            </w:r>
            <w:r>
              <w:rPr>
                <w:rFonts w:hint="eastAsia" w:ascii="宋体" w:hAnsi="宋体"/>
                <w:bCs/>
                <w:sz w:val="18"/>
                <w:szCs w:val="18"/>
              </w:rPr>
              <w:t>【</w:t>
            </w:r>
            <w:r>
              <w:rPr>
                <w:rFonts w:ascii="宋体" w:hAnsi="宋体"/>
                <w:bCs/>
                <w:sz w:val="18"/>
                <w:szCs w:val="18"/>
              </w:rPr>
              <w:t>2.</w:t>
            </w:r>
            <w:r>
              <w:rPr>
                <w:rFonts w:hint="eastAsia" w:ascii="宋体" w:hAnsi="宋体"/>
                <w:bCs/>
                <w:sz w:val="18"/>
                <w:szCs w:val="18"/>
                <w:lang w:val="en-US" w:eastAsia="zh-CN"/>
              </w:rPr>
              <w:t>60</w:t>
            </w:r>
            <w:r>
              <w:rPr>
                <w:rFonts w:hint="eastAsia" w:ascii="宋体" w:hAnsi="宋体"/>
                <w:bCs/>
                <w:sz w:val="18"/>
                <w:szCs w:val="18"/>
              </w:rPr>
              <w:t>%</w:t>
            </w:r>
            <w:r>
              <w:rPr>
                <w:rFonts w:ascii="宋体" w:hAnsi="宋体"/>
                <w:bCs/>
                <w:sz w:val="18"/>
                <w:szCs w:val="18"/>
              </w:rPr>
              <w:t>-3.</w:t>
            </w:r>
            <w:r>
              <w:rPr>
                <w:rFonts w:hint="eastAsia" w:ascii="宋体" w:hAnsi="宋体"/>
                <w:bCs/>
                <w:sz w:val="18"/>
                <w:szCs w:val="18"/>
                <w:lang w:val="en-US" w:eastAsia="zh-CN"/>
              </w:rPr>
              <w:t>6</w:t>
            </w:r>
            <w:r>
              <w:rPr>
                <w:rFonts w:ascii="宋体" w:hAnsi="宋体"/>
                <w:bCs/>
                <w:sz w:val="18"/>
                <w:szCs w:val="18"/>
              </w:rPr>
              <w:t>0</w:t>
            </w:r>
            <w:r>
              <w:rPr>
                <w:rFonts w:hint="eastAsia" w:ascii="宋体" w:hAnsi="宋体"/>
                <w:bCs/>
                <w:sz w:val="18"/>
                <w:szCs w:val="18"/>
              </w:rPr>
              <w:t>%</w:t>
            </w:r>
            <w:r>
              <w:rPr>
                <w:rFonts w:ascii="宋体" w:hAnsi="宋体"/>
                <w:bCs/>
                <w:sz w:val="18"/>
                <w:szCs w:val="18"/>
              </w:rPr>
              <w:t>】</w:t>
            </w:r>
            <w:r>
              <w:rPr>
                <w:rFonts w:hint="eastAsia"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类份额：年化</w:t>
            </w:r>
            <w:r>
              <w:rPr>
                <w:rFonts w:hint="eastAsia" w:ascii="宋体" w:hAnsi="宋体"/>
                <w:bCs/>
                <w:sz w:val="18"/>
                <w:szCs w:val="18"/>
              </w:rPr>
              <w:t>【</w:t>
            </w:r>
            <w:r>
              <w:rPr>
                <w:rFonts w:hint="eastAsia" w:ascii="宋体" w:hAnsi="宋体"/>
                <w:bCs/>
                <w:sz w:val="18"/>
                <w:szCs w:val="18"/>
                <w:lang w:val="en-US" w:eastAsia="zh-CN"/>
              </w:rPr>
              <w:t>2.75</w:t>
            </w:r>
            <w:r>
              <w:rPr>
                <w:rFonts w:hint="eastAsia" w:ascii="宋体" w:hAnsi="宋体"/>
                <w:bCs/>
                <w:sz w:val="18"/>
                <w:szCs w:val="18"/>
              </w:rPr>
              <w:t>%</w:t>
            </w:r>
            <w:r>
              <w:rPr>
                <w:rFonts w:ascii="宋体" w:hAnsi="宋体"/>
                <w:bCs/>
                <w:sz w:val="18"/>
                <w:szCs w:val="18"/>
              </w:rPr>
              <w:t>-3.</w:t>
            </w:r>
            <w:r>
              <w:rPr>
                <w:rFonts w:hint="eastAsia" w:ascii="宋体" w:hAnsi="宋体"/>
                <w:bCs/>
                <w:sz w:val="18"/>
                <w:szCs w:val="18"/>
                <w:lang w:val="en-US" w:eastAsia="zh-CN"/>
              </w:rPr>
              <w:t>75</w:t>
            </w:r>
            <w:r>
              <w:rPr>
                <w:rFonts w:hint="eastAsia" w:ascii="宋体" w:hAnsi="宋体"/>
                <w:bCs/>
                <w:sz w:val="18"/>
                <w:szCs w:val="18"/>
              </w:rPr>
              <w:t>%</w:t>
            </w:r>
            <w:r>
              <w:rPr>
                <w:rFonts w:ascii="宋体" w:hAnsi="宋体"/>
                <w:bCs/>
                <w:sz w:val="18"/>
                <w:szCs w:val="18"/>
              </w:rPr>
              <w:t>】</w:t>
            </w:r>
            <w:r>
              <w:rPr>
                <w:rFonts w:hint="eastAsia" w:ascii="宋体" w:hAnsi="宋体"/>
                <w:bCs/>
                <w:sz w:val="18"/>
                <w:szCs w:val="18"/>
              </w:rPr>
              <w:t>。</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w:t>
            </w:r>
            <w:bookmarkStart w:id="156" w:name="_GoBack"/>
            <w:bookmarkEnd w:id="156"/>
            <w:r>
              <w:rPr>
                <w:rFonts w:hint="eastAsia" w:asciiTheme="majorEastAsia" w:hAnsiTheme="majorEastAsia" w:eastAsiaTheme="majorEastAsia"/>
                <w:b/>
                <w:kern w:val="0"/>
                <w:sz w:val="18"/>
                <w:szCs w:val="18"/>
              </w:rPr>
              <w:t>准。</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jc w:val="left"/>
              <w:rPr>
                <w:rFonts w:asciiTheme="majorEastAsia" w:hAnsiTheme="majorEastAsia"/>
                <w:b/>
                <w:sz w:val="18"/>
              </w:rPr>
            </w:pPr>
            <w:r>
              <w:rPr>
                <w:rFonts w:hint="eastAsia" w:asciiTheme="majorEastAsia" w:hAnsiTheme="majorEastAsia"/>
                <w:b/>
                <w:sz w:val="18"/>
              </w:rPr>
              <w:t>（1）</w:t>
            </w:r>
            <w:r>
              <w:rPr>
                <w:rFonts w:hint="eastAsia"/>
                <w:sz w:val="18"/>
                <w:szCs w:val="18"/>
              </w:rPr>
              <w:t>★</w:t>
            </w:r>
            <w:r>
              <w:rPr>
                <w:rFonts w:hint="eastAsia"/>
                <w:b/>
                <w:sz w:val="18"/>
              </w:rPr>
              <w:t>业绩比较基准</w:t>
            </w:r>
            <w:r>
              <w:rPr>
                <w:rFonts w:hint="eastAsia"/>
                <w:b/>
                <w:bCs/>
                <w:sz w:val="18"/>
                <w:szCs w:val="18"/>
              </w:rPr>
              <w:t>不是预期收益率，</w:t>
            </w:r>
            <w:r>
              <w:rPr>
                <w:rFonts w:hint="eastAsia"/>
                <w:b/>
                <w:sz w:val="18"/>
              </w:rPr>
              <w:t>不代表产品</w:t>
            </w:r>
            <w:r>
              <w:rPr>
                <w:rFonts w:hint="eastAsia"/>
                <w:b/>
                <w:bCs/>
                <w:sz w:val="18"/>
                <w:szCs w:val="18"/>
              </w:rPr>
              <w:t>的</w:t>
            </w:r>
            <w:r>
              <w:rPr>
                <w:rFonts w:hint="eastAsia"/>
                <w:b/>
                <w:sz w:val="18"/>
              </w:rPr>
              <w:t>未来表现</w:t>
            </w:r>
            <w:r>
              <w:rPr>
                <w:rFonts w:hint="eastAsia"/>
                <w:b/>
                <w:bCs/>
                <w:sz w:val="18"/>
                <w:szCs w:val="18"/>
              </w:rPr>
              <w:t>和</w:t>
            </w:r>
            <w:r>
              <w:rPr>
                <w:rFonts w:hint="eastAsia"/>
                <w:b/>
                <w:sz w:val="18"/>
              </w:rPr>
              <w:t>实际收益，不</w:t>
            </w:r>
            <w:r>
              <w:rPr>
                <w:rFonts w:hint="eastAsia"/>
                <w:b/>
                <w:bCs/>
                <w:sz w:val="18"/>
                <w:szCs w:val="18"/>
              </w:rPr>
              <w:t>构成对</w:t>
            </w:r>
            <w:r>
              <w:rPr>
                <w:rFonts w:hint="eastAsia"/>
                <w:b/>
                <w:sz w:val="18"/>
              </w:rPr>
              <w:t>产品收益的</w:t>
            </w:r>
            <w:r>
              <w:rPr>
                <w:rFonts w:hint="eastAsia"/>
                <w:b/>
                <w:bCs/>
                <w:sz w:val="18"/>
                <w:szCs w:val="18"/>
              </w:rPr>
              <w:t>承诺</w:t>
            </w:r>
            <w:r>
              <w:rPr>
                <w:rFonts w:hint="eastAsia"/>
                <w:b/>
                <w:sz w:val="18"/>
              </w:rPr>
              <w:t>，投资须谨慎。</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（适用【</w:t>
            </w:r>
            <w:r>
              <w:rPr>
                <w:rFonts w:asciiTheme="majorEastAsia" w:hAnsiTheme="majorEastAsia" w:eastAsiaTheme="majorEastAsia"/>
                <w:sz w:val="18"/>
                <w:szCs w:val="18"/>
              </w:rPr>
              <w:t>/</w:t>
            </w:r>
            <w:r>
              <w:rPr>
                <w:rFonts w:hint="eastAsia" w:hAnsi="宋体"/>
                <w:bCs/>
                <w:sz w:val="18"/>
                <w:szCs w:val="18"/>
              </w:rPr>
              <w:t>】类</w:t>
            </w:r>
            <w:r>
              <w:rPr>
                <w:rFonts w:hAnsi="宋体"/>
                <w:bCs/>
                <w:sz w:val="18"/>
                <w:szCs w:val="18"/>
              </w:rPr>
              <w:t>份额</w:t>
            </w:r>
            <w:r>
              <w:rPr>
                <w:rFonts w:hint="eastAsia" w:hAnsi="宋体"/>
                <w:bCs/>
                <w:sz w:val="18"/>
                <w:szCs w:val="18"/>
              </w:rPr>
              <w:t>）</w:t>
            </w:r>
          </w:p>
          <w:p>
            <w:pPr>
              <w:spacing w:line="360" w:lineRule="auto"/>
              <w:jc w:val="left"/>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jc w:val="left"/>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w:t>
            </w:r>
          </w:p>
          <w:p>
            <w:pPr>
              <w:spacing w:line="360" w:lineRule="auto"/>
              <w:jc w:val="left"/>
              <w:rPr>
                <w:rFonts w:ascii="宋体" w:hAnsi="宋体"/>
                <w:bCs/>
                <w:sz w:val="18"/>
                <w:szCs w:val="18"/>
              </w:rPr>
            </w:pPr>
            <w:r>
              <w:rPr>
                <w:rFonts w:hint="eastAsia" w:asciiTheme="majorEastAsia" w:hAnsiTheme="majorEastAsia" w:eastAsiaTheme="majorEastAsia"/>
                <w:bCs/>
                <w:sz w:val="18"/>
                <w:szCs w:val="18"/>
              </w:rPr>
              <w:t>■</w:t>
            </w:r>
            <w:r>
              <w:rPr>
                <w:rFonts w:hint="eastAsia" w:asciiTheme="majorEastAsia" w:hAnsiTheme="majorEastAsia" w:eastAsiaTheme="majorEastAsia"/>
                <w:b/>
                <w:kern w:val="0"/>
                <w:sz w:val="18"/>
                <w:szCs w:val="18"/>
              </w:rPr>
              <w:t xml:space="preserve"> 产品管理人不设置业绩报酬计提基准。</w:t>
            </w:r>
          </w:p>
          <w:p>
            <w:pPr>
              <w:spacing w:line="360" w:lineRule="auto"/>
              <w:jc w:val="left"/>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autoSpaceDE w:val="0"/>
              <w:autoSpaceDN w:val="0"/>
              <w:adjustRightInd w:val="0"/>
              <w:spacing w:line="360" w:lineRule="auto"/>
              <w:jc w:val="left"/>
              <w:rPr>
                <w:rFonts w:ascii="宋体" w:hAnsi="宋体"/>
                <w:b/>
                <w:sz w:val="18"/>
              </w:rPr>
            </w:pPr>
            <w:r>
              <w:rPr>
                <w:rFonts w:hint="eastAsia" w:ascii="宋体" w:hAnsi="宋体"/>
                <w:b/>
                <w:sz w:val="18"/>
              </w:rPr>
              <w:t>（1）</w:t>
            </w:r>
            <w:r>
              <w:rPr>
                <w:rFonts w:hint="eastAsia"/>
                <w:sz w:val="18"/>
                <w:szCs w:val="18"/>
              </w:rPr>
              <w:t>★</w:t>
            </w:r>
            <w:r>
              <w:rPr>
                <w:rFonts w:hint="eastAsia" w:ascii="宋体" w:hAnsi="宋体"/>
                <w:b/>
                <w:sz w:val="18"/>
              </w:rPr>
              <w:t>业绩报酬计提基准仅作为管理人计算超额业绩报酬的参照标准</w:t>
            </w:r>
            <w:r>
              <w:rPr>
                <w:rFonts w:hint="eastAsia" w:ascii="宋体" w:hAnsi="宋体"/>
                <w:b/>
                <w:bCs/>
                <w:sz w:val="18"/>
                <w:szCs w:val="18"/>
              </w:rPr>
              <w:t>。业绩报酬计提基准不是预期收益率</w:t>
            </w:r>
            <w:r>
              <w:rPr>
                <w:rFonts w:hint="eastAsia" w:ascii="宋体" w:hAnsi="宋体"/>
                <w:b/>
                <w:sz w:val="18"/>
              </w:rPr>
              <w:t>，不代表产品</w:t>
            </w:r>
            <w:r>
              <w:rPr>
                <w:rFonts w:hint="eastAsia" w:ascii="宋体" w:hAnsi="宋体"/>
                <w:b/>
                <w:bCs/>
                <w:sz w:val="18"/>
                <w:szCs w:val="18"/>
              </w:rPr>
              <w:t>的</w:t>
            </w:r>
            <w:r>
              <w:rPr>
                <w:rFonts w:hint="eastAsia" w:ascii="宋体" w:hAnsi="宋体"/>
                <w:b/>
                <w:sz w:val="18"/>
              </w:rPr>
              <w:t>未来表现</w:t>
            </w:r>
            <w:r>
              <w:rPr>
                <w:rFonts w:hint="eastAsia" w:ascii="宋体" w:hAnsi="宋体"/>
                <w:b/>
                <w:bCs/>
                <w:sz w:val="18"/>
                <w:szCs w:val="18"/>
              </w:rPr>
              <w:t>和</w:t>
            </w:r>
            <w:r>
              <w:rPr>
                <w:rFonts w:hint="eastAsia" w:ascii="宋体" w:hAnsi="宋体"/>
                <w:b/>
                <w:sz w:val="18"/>
              </w:rPr>
              <w:t>实际收益，不</w:t>
            </w:r>
            <w:r>
              <w:rPr>
                <w:rFonts w:hint="eastAsia" w:ascii="宋体" w:hAnsi="宋体"/>
                <w:b/>
                <w:bCs/>
                <w:sz w:val="18"/>
                <w:szCs w:val="18"/>
              </w:rPr>
              <w:t>构成对</w:t>
            </w:r>
            <w:r>
              <w:rPr>
                <w:rFonts w:hint="eastAsia" w:ascii="宋体" w:hAnsi="宋体"/>
                <w:b/>
                <w:sz w:val="18"/>
              </w:rPr>
              <w:t>产品收益的</w:t>
            </w:r>
            <w:r>
              <w:rPr>
                <w:rFonts w:hint="eastAsia" w:ascii="宋体" w:hAnsi="宋体"/>
                <w:b/>
                <w:bCs/>
                <w:sz w:val="18"/>
                <w:szCs w:val="18"/>
              </w:rPr>
              <w:t>承诺</w:t>
            </w:r>
            <w:r>
              <w:rPr>
                <w:rFonts w:hint="eastAsia" w:ascii="宋体" w:hAnsi="宋体"/>
                <w:b/>
                <w:sz w:val="18"/>
              </w:rPr>
              <w:t>，投资须谨慎。</w:t>
            </w:r>
          </w:p>
          <w:p>
            <w:pPr>
              <w:spacing w:line="360" w:lineRule="auto"/>
              <w:jc w:val="left"/>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jc w:val="left"/>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A类份额：年化费率【0.</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5%】。</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B</w:t>
            </w:r>
            <w:r>
              <w:rPr>
                <w:rFonts w:hint="eastAsia" w:asciiTheme="majorEastAsia" w:hAnsiTheme="majorEastAsia" w:eastAsiaTheme="majorEastAsia"/>
                <w:bCs/>
                <w:sz w:val="18"/>
                <w:szCs w:val="18"/>
              </w:rPr>
              <w:t>类份额：年化费率【0.00%】。</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w:t>
            </w:r>
            <w:r>
              <w:rPr>
                <w:rFonts w:asciiTheme="majorEastAsia" w:hAnsiTheme="majorEastAsia" w:eastAsiaTheme="majorEastAsia"/>
                <w:sz w:val="18"/>
                <w:szCs w:val="18"/>
              </w:rPr>
              <w:t>1</w:t>
            </w:r>
            <w:r>
              <w:rPr>
                <w:rFonts w:hint="eastAsia" w:asciiTheme="majorEastAsia" w:hAnsiTheme="majorEastAsia" w:eastAsiaTheme="majorEastAsia"/>
                <w:sz w:val="18"/>
                <w:szCs w:val="18"/>
              </w:rPr>
              <w:t>0%</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3</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jc w:val="left"/>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r>
              <w:rPr>
                <w:rFonts w:ascii="宋体" w:hAnsi="宋体"/>
                <w:b/>
                <w:bCs/>
                <w:color w:val="000000" w:themeColor="text1"/>
                <w:sz w:val="18"/>
                <w:szCs w:val="18"/>
                <w14:textFill>
                  <w14:solidFill>
                    <w14:schemeClr w14:val="tx1"/>
                  </w14:solidFill>
                </w14:textFill>
              </w:rPr>
              <w:t>无</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理财产品份额的质押将依照理财产品销售文件及销售机构的业务政策执行。</w:t>
            </w:r>
          </w:p>
        </w:tc>
      </w:tr>
      <w:permEnd w:id="12"/>
    </w:tbl>
    <w:p>
      <w:pPr>
        <w:pStyle w:val="3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4" w:name="_Toc116649651"/>
      <w:bookmarkStart w:id="5" w:name="_Toc79154666"/>
      <w:r>
        <w:rPr>
          <w:rFonts w:ascii="Times New Roman"/>
          <w:sz w:val="30"/>
        </w:rPr>
        <w:t>第</w:t>
      </w:r>
      <w:r>
        <w:rPr>
          <w:rFonts w:hint="eastAsia" w:ascii="Times New Roman"/>
          <w:sz w:val="30"/>
        </w:rPr>
        <w:t>三条</w:t>
      </w:r>
      <w:r>
        <w:rPr>
          <w:rFonts w:ascii="Times New Roman"/>
          <w:sz w:val="30"/>
        </w:rPr>
        <w:t xml:space="preserve">  </w:t>
      </w:r>
      <w:bookmarkStart w:id="6" w:name="_Toc79392573"/>
      <w:r>
        <w:rPr>
          <w:rFonts w:hint="eastAsia" w:ascii="Times New Roman"/>
          <w:sz w:val="30"/>
        </w:rPr>
        <w:t>理财产品的认购</w:t>
      </w:r>
      <w:bookmarkEnd w:id="4"/>
      <w:bookmarkEnd w:id="5"/>
    </w:p>
    <w:p>
      <w:pPr>
        <w:spacing w:line="360" w:lineRule="auto"/>
        <w:ind w:firstLine="361" w:firstLineChars="200"/>
        <w:rPr>
          <w:rFonts w:asciiTheme="minorEastAsia" w:hAnsiTheme="minorEastAsia"/>
          <w:b/>
          <w:bCs/>
          <w:sz w:val="18"/>
          <w:szCs w:val="18"/>
        </w:rPr>
      </w:pPr>
      <w:bookmarkStart w:id="7" w:name="_Hlt88031774"/>
      <w:bookmarkEnd w:id="7"/>
      <w:bookmarkStart w:id="8"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3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3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3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3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25"/>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jc w:val="center"/>
        </w:trPr>
        <w:tc>
          <w:tcPr>
            <w:tcW w:w="1984" w:type="dxa"/>
            <w:vAlign w:val="center"/>
          </w:tcPr>
          <w:p>
            <w:pPr>
              <w:spacing w:line="360" w:lineRule="auto"/>
              <w:ind w:firstLine="361" w:firstLineChars="200"/>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产品成立日</w:t>
            </w:r>
          </w:p>
        </w:tc>
      </w:tr>
    </w:tbl>
    <w:p>
      <w:pPr>
        <w:pStyle w:val="3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3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3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3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3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3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3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3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3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3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3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3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3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3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3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3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3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3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3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6"/>
    <w:bookmarkEnd w:id="8"/>
    <w:p>
      <w:pPr>
        <w:pStyle w:val="2"/>
        <w:spacing w:before="0" w:after="0" w:line="360" w:lineRule="auto"/>
        <w:jc w:val="center"/>
        <w:rPr>
          <w:rFonts w:ascii="Times New Roman"/>
          <w:sz w:val="30"/>
        </w:rPr>
      </w:pPr>
      <w:bookmarkStart w:id="9" w:name="_Toc4771"/>
      <w:bookmarkStart w:id="10" w:name="_Toc116649652"/>
      <w:bookmarkStart w:id="11" w:name="_Toc90742688"/>
      <w:bookmarkStart w:id="12" w:name="_Toc29784"/>
      <w:bookmarkStart w:id="13" w:name="_Toc29948"/>
      <w:bookmarkStart w:id="14" w:name="_Toc90742321"/>
      <w:bookmarkStart w:id="15" w:name="_Toc7151"/>
      <w:bookmarkStart w:id="16" w:name="_Toc16265"/>
      <w:bookmarkStart w:id="17" w:name="_Toc27189"/>
      <w:bookmarkStart w:id="18" w:name="_Toc74065741"/>
      <w:bookmarkStart w:id="19" w:name="_Toc6714"/>
      <w:bookmarkStart w:id="20" w:name="_Toc90742390"/>
      <w:bookmarkStart w:id="21" w:name="_Toc22074"/>
      <w:bookmarkStart w:id="22" w:name="_Toc15203"/>
      <w:bookmarkStart w:id="23" w:name="_Toc27226"/>
      <w:bookmarkStart w:id="24" w:name="_Toc3266"/>
      <w:bookmarkStart w:id="25" w:name="_Toc79154668"/>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9"/>
      <w:bookmarkEnd w:id="10"/>
    </w:p>
    <w:p>
      <w:pPr>
        <w:pStyle w:val="3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26"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3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34"/>
        <w:spacing w:line="360" w:lineRule="auto"/>
        <w:ind w:firstLine="360" w:firstLineChars="200"/>
        <w:rPr>
          <w:rFonts w:asciiTheme="majorEastAsia" w:hAnsiTheme="majorEastAsia" w:eastAsiaTheme="majorEastAsia"/>
          <w:color w:val="auto"/>
          <w:sz w:val="18"/>
          <w:szCs w:val="18"/>
        </w:rPr>
      </w:pPr>
      <w:permStart w:id="13" w:edGrp="everyone"/>
      <w:r>
        <w:rPr>
          <w:rFonts w:hint="eastAsia" w:asciiTheme="majorEastAsia" w:hAnsiTheme="majorEastAsia" w:eastAsiaTheme="majorEastAsia"/>
          <w:color w:val="auto"/>
          <w:sz w:val="18"/>
          <w:szCs w:val="18"/>
        </w:rPr>
        <w:t>在严格控制组合风险的前提下，通过不断优化组合，力争实现超越业绩比较基准的收益。</w:t>
      </w:r>
    </w:p>
    <w:permEnd w:id="13"/>
    <w:p>
      <w:pPr>
        <w:pStyle w:val="3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permStart w:id="14" w:edGrp="everyone"/>
      <w:r>
        <w:rPr>
          <w:rFonts w:hint="eastAsia" w:asciiTheme="majorEastAsia" w:hAnsiTheme="majorEastAsia" w:eastAsiaTheme="majorEastAsia"/>
          <w:bCs/>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2）国债、金融债、地方政府债、央行票据、同业存单、短期融资券、超短期融资券、中期票据、企业债、公司债、非公开定向债务融资工具、项目收益债、项目收益票据、资产支持证券、次级债、可转债、可交换债等银行间和交易所市场债券及债务融资工具，以及其他固定收益类投资工具等。</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（3）债券借贷等。</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（4）投资于上述资产的符合监管要求的公募基金、基金公司或子公司资产管理计划、证券公司资产管理计划、保险资产管理计划及信托计划等。</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（5）其他风险不高于前述资产的资产。</w:t>
      </w:r>
    </w:p>
    <w:permEnd w:id="14"/>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permStart w:id="15" w:edGrp="everyone"/>
      <w:r>
        <w:rPr>
          <w:rFonts w:hint="eastAsia" w:asciiTheme="majorEastAsia" w:hAnsiTheme="majorEastAsia" w:eastAsiaTheme="majorEastAsia"/>
          <w:bCs/>
          <w:sz w:val="18"/>
          <w:szCs w:val="18"/>
        </w:rPr>
        <w:t>（1）本产品投资于</w:t>
      </w:r>
      <w:r>
        <w:rPr>
          <w:rFonts w:hint="eastAsia" w:ascii="宋体" w:hAnsi="宋体"/>
          <w:bCs/>
          <w:sz w:val="18"/>
          <w:szCs w:val="18"/>
        </w:rPr>
        <w:t>债权类</w:t>
      </w:r>
      <w:r>
        <w:rPr>
          <w:rFonts w:hint="eastAsia" w:asciiTheme="majorEastAsia" w:hAnsiTheme="majorEastAsia" w:eastAsiaTheme="majorEastAsia"/>
          <w:bCs/>
          <w:sz w:val="18"/>
          <w:szCs w:val="18"/>
        </w:rPr>
        <w:t xml:space="preserve">资产的比例不低于产品总资产的80%。 </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（2）债券借贷等衍生品占产品总资产比例不高于20%。</w:t>
      </w:r>
    </w:p>
    <w:p>
      <w:pPr>
        <w:autoSpaceDE w:val="0"/>
        <w:autoSpaceDN w:val="0"/>
        <w:adjustRightInd w:val="0"/>
        <w:spacing w:line="360" w:lineRule="auto"/>
        <w:ind w:firstLine="361" w:firstLineChars="200"/>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注：本产品可能投资不存在活跃交易市场，并且需要采用估值技术确定公允价值的资产，且投资上述资产的比例达到理财产品净资产50%以上。</w:t>
      </w:r>
    </w:p>
    <w:permEnd w:id="15"/>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permStart w:id="16" w:edGrp="everyone"/>
      <w:r>
        <w:rPr>
          <w:rFonts w:hint="eastAsia" w:asciiTheme="majorEastAsia" w:hAnsiTheme="majorEastAsia" w:eastAsiaTheme="majorEastAsia"/>
          <w:bCs/>
          <w:sz w:val="18"/>
          <w:szCs w:val="18"/>
        </w:rPr>
        <w:t>【</w:t>
      </w:r>
      <w:r>
        <w:rPr>
          <w:rFonts w:ascii="黑体" w:hAnsi="黑体" w:eastAsia="黑体"/>
          <w:bCs/>
          <w:sz w:val="18"/>
          <w:szCs w:val="18"/>
        </w:rPr>
        <w:t>3】</w:t>
      </w:r>
      <w:r>
        <w:rPr>
          <w:rFonts w:hint="eastAsia" w:ascii="黑体" w:hAnsi="黑体" w:eastAsia="黑体"/>
          <w:bCs/>
          <w:sz w:val="18"/>
          <w:szCs w:val="18"/>
        </w:rPr>
        <w:t>个月</w:t>
      </w:r>
      <w:permEnd w:id="16"/>
      <w:r>
        <w:rPr>
          <w:rFonts w:hint="eastAsia" w:ascii="黑体" w:hAnsi="黑体" w:eastAsia="黑体"/>
          <w:bCs/>
          <w:sz w:val="18"/>
          <w:szCs w:val="18"/>
        </w:rPr>
        <w:t>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3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3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kern w:val="0"/>
          <w:sz w:val="18"/>
          <w:szCs w:val="18"/>
        </w:rPr>
      </w:pPr>
      <w:permStart w:id="17" w:edGrp="everyone"/>
      <w:r>
        <w:rPr>
          <w:rFonts w:hint="eastAsia" w:asciiTheme="majorEastAsia" w:hAnsiTheme="majorEastAsia" w:eastAsiaTheme="majorEastAsia"/>
          <w:bCs/>
          <w:kern w:val="0"/>
          <w:sz w:val="18"/>
          <w:szCs w:val="18"/>
        </w:rPr>
        <w:t>（1）</w:t>
      </w:r>
      <w:r>
        <w:rPr>
          <w:rFonts w:hint="eastAsia" w:asciiTheme="majorEastAsia" w:hAnsiTheme="majorEastAsia" w:eastAsiaTheme="majorEastAsia"/>
          <w:bCs/>
          <w:sz w:val="18"/>
          <w:szCs w:val="18"/>
        </w:rPr>
        <w:t>每只公募理财</w:t>
      </w:r>
      <w:r>
        <w:rPr>
          <w:rFonts w:hint="eastAsia" w:asciiTheme="majorEastAsia" w:hAnsiTheme="majorEastAsia" w:eastAsiaTheme="majorEastAsia"/>
          <w:bCs/>
          <w:kern w:val="0"/>
          <w:sz w:val="18"/>
          <w:szCs w:val="18"/>
        </w:rPr>
        <w:t>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ermEnd w:id="17"/>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34"/>
        <w:spacing w:line="360" w:lineRule="auto"/>
        <w:ind w:firstLine="360" w:firstLineChars="200"/>
        <w:rPr>
          <w:rFonts w:asciiTheme="majorEastAsia" w:hAnsiTheme="majorEastAsia" w:eastAsiaTheme="majorEastAsia"/>
          <w:sz w:val="18"/>
          <w:szCs w:val="18"/>
        </w:rPr>
      </w:pPr>
      <w:permStart w:id="18" w:edGrp="everyone"/>
      <w:r>
        <w:rPr>
          <w:rFonts w:hint="eastAsia" w:asciiTheme="majorEastAsia" w:hAnsiTheme="majorEastAsia" w:eastAsiaTheme="majorEastAsia"/>
          <w:sz w:val="18"/>
          <w:szCs w:val="18"/>
        </w:rPr>
        <w:t>【</w:t>
      </w:r>
      <w:r>
        <w:rPr>
          <w:rFonts w:hint="eastAsia" w:hAnsi="宋体"/>
          <w:bCs/>
          <w:sz w:val="18"/>
          <w:szCs w:val="18"/>
        </w:rPr>
        <w:t>本产品采取债券配置策略，判断债券在经济和货币周期不同阶段的相对投资价值，确定不同期限和不同类型债券的配置价值，实现组合的稳健增值。产品整体以稳定类固定收益资产为主要投资标的、获取票息作为基础收益，同时参与债券资产的交易类机会、博取一定的弹性收益，是以低波动、绝对收益为目标进行投资管理。</w:t>
      </w:r>
      <w:r>
        <w:rPr>
          <w:rFonts w:hint="eastAsia" w:asciiTheme="majorEastAsia" w:hAnsiTheme="majorEastAsia" w:eastAsiaTheme="majorEastAsia"/>
          <w:sz w:val="18"/>
          <w:szCs w:val="18"/>
        </w:rPr>
        <w:t>】</w:t>
      </w:r>
    </w:p>
    <w:permEnd w:id="18"/>
    <w:p>
      <w:pPr>
        <w:pStyle w:val="3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27" w:name="_Toc26986"/>
      <w:bookmarkStart w:id="28" w:name="_Toc139991735"/>
      <w:bookmarkStart w:id="29" w:name="_Toc18526"/>
      <w:bookmarkStart w:id="30" w:name="_Toc79154669"/>
      <w:bookmarkStart w:id="31" w:name="_Toc18797"/>
      <w:bookmarkStart w:id="32" w:name="_Toc116649654"/>
      <w:bookmarkStart w:id="33" w:name="_Toc141703885"/>
      <w:bookmarkStart w:id="34" w:name="_Toc17912"/>
      <w:bookmarkStart w:id="35" w:name="_Toc18329"/>
      <w:bookmarkStart w:id="36" w:name="_Toc1823"/>
      <w:bookmarkStart w:id="37" w:name="_Toc4741"/>
      <w:bookmarkStart w:id="38" w:name="_Toc74065742"/>
      <w:bookmarkStart w:id="39" w:name="_Toc14893"/>
      <w:bookmarkStart w:id="40" w:name="_Toc7848"/>
      <w:bookmarkStart w:id="41" w:name="_Toc21988"/>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34"/>
        <w:spacing w:line="360" w:lineRule="auto"/>
        <w:ind w:firstLine="361" w:firstLineChars="200"/>
        <w:rPr>
          <w:rFonts w:asciiTheme="majorEastAsia" w:hAnsiTheme="majorEastAsia" w:eastAsiaTheme="majorEastAsia"/>
          <w:b/>
          <w:color w:val="auto"/>
          <w:sz w:val="18"/>
          <w:szCs w:val="18"/>
        </w:rPr>
      </w:pPr>
      <w:bookmarkStart w:id="42" w:name="_Hlk490214295"/>
      <w:r>
        <w:rPr>
          <w:rFonts w:hint="eastAsia" w:asciiTheme="majorEastAsia" w:hAnsiTheme="majorEastAsia" w:eastAsiaTheme="majorEastAsia"/>
          <w:b/>
          <w:color w:val="auto"/>
          <w:sz w:val="18"/>
          <w:szCs w:val="18"/>
        </w:rPr>
        <w:t>（一）理财产品的资产的保管和处分</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3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3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42"/>
    <w:p>
      <w:pPr>
        <w:pStyle w:val="2"/>
        <w:spacing w:before="0" w:after="0" w:line="360" w:lineRule="auto"/>
        <w:jc w:val="center"/>
        <w:rPr>
          <w:rFonts w:ascii="Times New Roman"/>
          <w:sz w:val="30"/>
        </w:rPr>
      </w:pPr>
      <w:bookmarkStart w:id="43" w:name="_Toc23261"/>
      <w:bookmarkStart w:id="44" w:name="_Toc116649655"/>
      <w:bookmarkStart w:id="45" w:name="_Toc139991736"/>
      <w:bookmarkStart w:id="46" w:name="_Toc141703886"/>
      <w:bookmarkStart w:id="47" w:name="_Toc1270"/>
      <w:bookmarkStart w:id="48" w:name="_Toc7920"/>
      <w:bookmarkStart w:id="49" w:name="_Toc123102453"/>
      <w:bookmarkStart w:id="50" w:name="_Toc17244"/>
      <w:bookmarkStart w:id="51" w:name="_Toc10463"/>
      <w:bookmarkStart w:id="52" w:name="_Toc79154670"/>
      <w:bookmarkStart w:id="53" w:name="_Toc23822"/>
      <w:bookmarkStart w:id="54" w:name="_Toc48649707"/>
      <w:bookmarkStart w:id="55" w:name="_Toc123112234"/>
      <w:bookmarkStart w:id="56" w:name="_Toc610"/>
      <w:bookmarkStart w:id="57" w:name="_Toc4003"/>
      <w:bookmarkStart w:id="58" w:name="_Toc123051452"/>
      <w:bookmarkStart w:id="59" w:name="_Toc74065743"/>
      <w:bookmarkStart w:id="60" w:name="_Toc1427"/>
      <w:bookmarkStart w:id="61" w:name="_Toc98560352"/>
      <w:bookmarkStart w:id="62" w:name="_Toc20733"/>
      <w:bookmarkStart w:id="63" w:name="_Toc79392606"/>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3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34"/>
        <w:spacing w:line="360" w:lineRule="auto"/>
        <w:ind w:firstLine="361" w:firstLineChars="200"/>
        <w:rPr>
          <w:rFonts w:hAnsi="宋体"/>
          <w:b/>
          <w:bCs/>
          <w:sz w:val="18"/>
          <w:szCs w:val="18"/>
        </w:rPr>
      </w:pPr>
      <w:r>
        <w:rPr>
          <w:rFonts w:hint="eastAsia" w:hAnsi="宋体"/>
          <w:b/>
          <w:bCs/>
          <w:sz w:val="18"/>
          <w:szCs w:val="18"/>
        </w:rPr>
        <w:t>（一）估值目的</w:t>
      </w:r>
    </w:p>
    <w:p>
      <w:pPr>
        <w:pStyle w:val="3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34"/>
        <w:spacing w:line="360" w:lineRule="auto"/>
        <w:ind w:firstLine="361" w:firstLineChars="200"/>
        <w:rPr>
          <w:rFonts w:hAnsi="宋体"/>
          <w:b/>
          <w:bCs/>
          <w:sz w:val="18"/>
          <w:szCs w:val="18"/>
        </w:rPr>
      </w:pPr>
      <w:r>
        <w:rPr>
          <w:rFonts w:hint="eastAsia" w:hAnsi="宋体"/>
          <w:b/>
          <w:bCs/>
          <w:sz w:val="18"/>
          <w:szCs w:val="18"/>
        </w:rPr>
        <w:t>（二）估值频率</w:t>
      </w:r>
    </w:p>
    <w:p>
      <w:pPr>
        <w:pStyle w:val="34"/>
        <w:spacing w:line="360" w:lineRule="auto"/>
        <w:ind w:firstLine="450" w:firstLineChars="250"/>
        <w:rPr>
          <w:sz w:val="18"/>
          <w:szCs w:val="18"/>
        </w:rPr>
      </w:pPr>
      <w:permStart w:id="19" w:edGrp="everyone"/>
      <w:r>
        <w:rPr>
          <w:rFonts w:hint="eastAsia" w:hAnsi="宋体"/>
          <w:sz w:val="18"/>
          <w:szCs w:val="18"/>
        </w:rPr>
        <w:t>本产品存续期间，每【周】进行一次估值。如遇产品到期日、季度末、半年度末、年度末等时间节点管理人将增加估值日。</w:t>
      </w:r>
    </w:p>
    <w:permEnd w:id="19"/>
    <w:p>
      <w:pPr>
        <w:pStyle w:val="34"/>
        <w:spacing w:line="360" w:lineRule="auto"/>
        <w:ind w:firstLine="452" w:firstLineChars="250"/>
        <w:rPr>
          <w:rFonts w:hAnsi="宋体"/>
          <w:b/>
          <w:bCs/>
          <w:sz w:val="18"/>
          <w:szCs w:val="18"/>
        </w:rPr>
      </w:pPr>
      <w:r>
        <w:rPr>
          <w:rFonts w:hint="eastAsia" w:hAnsi="宋体"/>
          <w:b/>
          <w:bCs/>
          <w:sz w:val="18"/>
          <w:szCs w:val="18"/>
        </w:rPr>
        <w:t>（三）估值对象</w:t>
      </w:r>
    </w:p>
    <w:p>
      <w:pPr>
        <w:pStyle w:val="3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34"/>
        <w:spacing w:line="360" w:lineRule="auto"/>
        <w:ind w:firstLine="452" w:firstLineChars="250"/>
        <w:rPr>
          <w:rFonts w:hAnsi="宋体"/>
          <w:b/>
          <w:bCs/>
          <w:sz w:val="18"/>
          <w:szCs w:val="18"/>
        </w:rPr>
      </w:pPr>
      <w:r>
        <w:rPr>
          <w:rFonts w:hint="eastAsia" w:hAnsi="宋体"/>
          <w:b/>
          <w:bCs/>
          <w:sz w:val="18"/>
          <w:szCs w:val="18"/>
        </w:rPr>
        <w:t>（四）估值方法</w:t>
      </w:r>
    </w:p>
    <w:p>
      <w:pPr>
        <w:pStyle w:val="3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3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3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3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3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3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3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3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3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3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3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3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3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3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3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3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3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3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3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3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3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3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3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3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34"/>
        <w:spacing w:line="360" w:lineRule="auto"/>
        <w:ind w:firstLine="360" w:firstLineChars="200"/>
        <w:rPr>
          <w:rFonts w:hAnsi="宋体"/>
          <w:sz w:val="18"/>
          <w:szCs w:val="18"/>
        </w:rPr>
      </w:pPr>
      <w:r>
        <w:rPr>
          <w:rFonts w:hint="eastAsia" w:hAnsi="宋体"/>
          <w:sz w:val="18"/>
          <w:szCs w:val="18"/>
        </w:rPr>
        <w:t>（1）非上市基金估值</w:t>
      </w:r>
    </w:p>
    <w:p>
      <w:pPr>
        <w:pStyle w:val="3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3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34"/>
        <w:spacing w:line="360" w:lineRule="auto"/>
        <w:ind w:firstLine="360" w:firstLineChars="200"/>
        <w:rPr>
          <w:rFonts w:hAnsi="宋体"/>
          <w:sz w:val="18"/>
          <w:szCs w:val="18"/>
        </w:rPr>
      </w:pPr>
      <w:r>
        <w:rPr>
          <w:rFonts w:hint="eastAsia" w:hAnsi="宋体"/>
          <w:sz w:val="18"/>
          <w:szCs w:val="18"/>
        </w:rPr>
        <w:t>（2）上市基金估值</w:t>
      </w:r>
    </w:p>
    <w:p>
      <w:pPr>
        <w:pStyle w:val="3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3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3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3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3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3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3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3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3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3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34"/>
        <w:spacing w:line="360" w:lineRule="auto"/>
        <w:ind w:firstLine="361" w:firstLineChars="200"/>
        <w:rPr>
          <w:rFonts w:hAnsi="宋体"/>
          <w:b/>
          <w:bCs/>
          <w:sz w:val="18"/>
          <w:szCs w:val="18"/>
        </w:rPr>
      </w:pPr>
      <w:r>
        <w:rPr>
          <w:rFonts w:hint="eastAsia" w:hAnsi="宋体"/>
          <w:b/>
          <w:bCs/>
          <w:sz w:val="18"/>
          <w:szCs w:val="18"/>
        </w:rPr>
        <w:t>（五）估值程序</w:t>
      </w:r>
    </w:p>
    <w:p>
      <w:pPr>
        <w:pStyle w:val="3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3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3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34"/>
        <w:spacing w:line="360" w:lineRule="auto"/>
        <w:ind w:firstLine="361" w:firstLineChars="200"/>
        <w:rPr>
          <w:rFonts w:hAnsi="宋体"/>
          <w:b/>
          <w:bCs/>
          <w:sz w:val="18"/>
          <w:szCs w:val="18"/>
        </w:rPr>
      </w:pPr>
      <w:r>
        <w:rPr>
          <w:rFonts w:hint="eastAsia" w:hAnsi="宋体"/>
          <w:b/>
          <w:bCs/>
          <w:sz w:val="18"/>
          <w:szCs w:val="18"/>
        </w:rPr>
        <w:t>（六）估值主体</w:t>
      </w:r>
    </w:p>
    <w:p>
      <w:pPr>
        <w:pStyle w:val="3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3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64" w:name="_Hlt70481650"/>
      <w:bookmarkEnd w:id="64"/>
      <w:bookmarkStart w:id="65" w:name="_Toc123112235"/>
      <w:bookmarkStart w:id="66" w:name="_Toc139991737"/>
      <w:bookmarkStart w:id="67" w:name="_Toc14835"/>
      <w:bookmarkStart w:id="68" w:name="_Toc79154671"/>
      <w:bookmarkStart w:id="69" w:name="_Toc98560353"/>
      <w:bookmarkStart w:id="70" w:name="_Toc6405"/>
      <w:bookmarkStart w:id="71" w:name="_Toc31644"/>
      <w:bookmarkStart w:id="72" w:name="_Toc31653"/>
      <w:bookmarkStart w:id="73" w:name="_Toc74065744"/>
      <w:bookmarkStart w:id="74" w:name="_Toc31235"/>
      <w:bookmarkStart w:id="75" w:name="_Toc123051453"/>
      <w:bookmarkStart w:id="76" w:name="_Toc141703887"/>
      <w:bookmarkStart w:id="77" w:name="_Toc116649656"/>
      <w:bookmarkStart w:id="78" w:name="_Toc26207"/>
      <w:bookmarkStart w:id="79" w:name="_Toc123102454"/>
      <w:bookmarkStart w:id="80" w:name="_Toc29251"/>
      <w:bookmarkStart w:id="81" w:name="_Toc15143"/>
      <w:bookmarkStart w:id="82" w:name="_Toc3601"/>
      <w:bookmarkStart w:id="83" w:name="_Toc12245"/>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Start w:id="84" w:name="_Hlt55355235"/>
      <w:bookmarkEnd w:id="84"/>
      <w:bookmarkStart w:id="85" w:name="_Toc523711668"/>
      <w:bookmarkStart w:id="86" w:name="_Toc15118234"/>
      <w:bookmarkStart w:id="87" w:name="_Toc57530239"/>
      <w:bookmarkStart w:id="88" w:name="_Toc79392580"/>
    </w:p>
    <w:p>
      <w:pPr>
        <w:pStyle w:val="3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3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3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3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3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3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3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3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34"/>
        <w:spacing w:line="360" w:lineRule="auto"/>
        <w:ind w:firstLine="361" w:firstLineChars="200"/>
        <w:rPr>
          <w:rFonts w:hAnsi="宋体"/>
          <w:b/>
          <w:bCs/>
          <w:color w:val="auto"/>
          <w:sz w:val="18"/>
          <w:szCs w:val="18"/>
        </w:rPr>
      </w:pPr>
      <w:permStart w:id="20" w:edGrp="everyone"/>
      <w:r>
        <w:rPr>
          <w:rFonts w:hint="eastAsia" w:hAnsi="宋体"/>
          <w:b/>
          <w:bCs/>
          <w:color w:val="auto"/>
          <w:sz w:val="18"/>
          <w:szCs w:val="18"/>
        </w:rPr>
        <w:t>1.分配方案要点：</w:t>
      </w:r>
    </w:p>
    <w:p>
      <w:pPr>
        <w:pStyle w:val="3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3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3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3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ermEnd w:id="20"/>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34"/>
        <w:spacing w:line="360" w:lineRule="auto"/>
        <w:ind w:firstLine="360" w:firstLineChars="200"/>
        <w:rPr>
          <w:rFonts w:hAnsi="宋体"/>
          <w:color w:val="auto"/>
          <w:sz w:val="18"/>
          <w:szCs w:val="18"/>
        </w:rPr>
      </w:pPr>
      <w:permStart w:id="21" w:edGrp="everyone"/>
      <w:r>
        <w:rPr>
          <w:rFonts w:hint="eastAsia" w:hAnsi="宋体"/>
          <w:color w:val="auto"/>
          <w:sz w:val="18"/>
          <w:szCs w:val="18"/>
        </w:rPr>
        <w:t>1.理财利益的分配日</w:t>
      </w:r>
    </w:p>
    <w:p>
      <w:pPr>
        <w:pStyle w:val="3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3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3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ermEnd w:id="21"/>
    <w:p>
      <w:pPr>
        <w:widowControl/>
        <w:spacing w:line="360" w:lineRule="auto"/>
        <w:jc w:val="left"/>
        <w:rPr>
          <w:rFonts w:ascii="宋体" w:hAnsi="宋体"/>
          <w:kern w:val="0"/>
          <w:sz w:val="18"/>
          <w:szCs w:val="18"/>
        </w:rPr>
      </w:pPr>
      <w:r>
        <w:rPr>
          <w:rFonts w:hAnsi="宋体"/>
          <w:sz w:val="18"/>
          <w:szCs w:val="18"/>
        </w:rPr>
        <w:br w:type="page"/>
      </w:r>
    </w:p>
    <w:bookmarkEnd w:id="85"/>
    <w:bookmarkEnd w:id="86"/>
    <w:bookmarkEnd w:id="87"/>
    <w:bookmarkEnd w:id="88"/>
    <w:p>
      <w:pPr>
        <w:pStyle w:val="2"/>
        <w:spacing w:before="0" w:after="0" w:line="360" w:lineRule="auto"/>
        <w:jc w:val="center"/>
        <w:rPr>
          <w:rFonts w:ascii="Times New Roman"/>
          <w:sz w:val="30"/>
        </w:rPr>
      </w:pPr>
      <w:bookmarkStart w:id="89" w:name="_Hlt88825574"/>
      <w:bookmarkEnd w:id="89"/>
      <w:bookmarkStart w:id="90" w:name="_Hlt88897298"/>
      <w:bookmarkEnd w:id="90"/>
      <w:bookmarkStart w:id="91" w:name="_Toc74065745"/>
      <w:bookmarkStart w:id="92" w:name="_Toc25783"/>
      <w:bookmarkStart w:id="93" w:name="_Toc11030"/>
      <w:bookmarkStart w:id="94" w:name="_Toc79392583"/>
      <w:bookmarkStart w:id="95" w:name="_Toc141703888"/>
      <w:bookmarkStart w:id="96" w:name="_Toc3771"/>
      <w:bookmarkStart w:id="97" w:name="_Toc6447"/>
      <w:bookmarkStart w:id="98" w:name="_Toc123051454"/>
      <w:bookmarkStart w:id="99" w:name="_Toc139991738"/>
      <w:bookmarkStart w:id="100" w:name="_Toc98560354"/>
      <w:bookmarkStart w:id="101" w:name="_Toc4559"/>
      <w:bookmarkStart w:id="102" w:name="_Toc79154672"/>
      <w:bookmarkStart w:id="103" w:name="_Toc18567"/>
      <w:bookmarkStart w:id="104" w:name="_Toc116649657"/>
      <w:bookmarkStart w:id="105" w:name="_Toc123102455"/>
      <w:bookmarkStart w:id="106" w:name="_Toc10650"/>
      <w:bookmarkStart w:id="107" w:name="_Toc7058"/>
      <w:bookmarkStart w:id="108" w:name="_Toc123112236"/>
      <w:bookmarkStart w:id="109" w:name="_Toc3321"/>
      <w:bookmarkStart w:id="110" w:name="_Toc9706"/>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3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）理财产品的交易费用（包括但不限于证券交易费用、经纪费用等）；</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3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permStart w:id="22" w:edGrp="everyone"/>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ermEnd w:id="22"/>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3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3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3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11" w:name="_Toc1745"/>
      <w:bookmarkStart w:id="112" w:name="_Toc3963"/>
      <w:r>
        <w:br w:type="page"/>
      </w:r>
      <w:bookmarkStart w:id="113" w:name="_Toc141703889"/>
      <w:bookmarkStart w:id="114" w:name="_Toc123102456"/>
      <w:bookmarkStart w:id="115" w:name="_Toc123112237"/>
      <w:bookmarkStart w:id="116" w:name="_Toc18206"/>
      <w:bookmarkStart w:id="117" w:name="_Toc31821"/>
      <w:bookmarkStart w:id="118" w:name="_Toc3572"/>
      <w:bookmarkStart w:id="119" w:name="_Toc21735"/>
      <w:bookmarkStart w:id="120" w:name="_Toc10398"/>
      <w:bookmarkStart w:id="121" w:name="_Toc123051455"/>
      <w:bookmarkStart w:id="122" w:name="_Toc116649658"/>
      <w:bookmarkStart w:id="123" w:name="_Toc725"/>
      <w:bookmarkStart w:id="124" w:name="_Toc98560355"/>
      <w:bookmarkStart w:id="125" w:name="_Toc74065746"/>
      <w:bookmarkStart w:id="126" w:name="_Toc3080"/>
      <w:bookmarkStart w:id="127" w:name="_Toc16164"/>
      <w:bookmarkStart w:id="128" w:name="_Toc139991739"/>
      <w:bookmarkStart w:id="129" w:name="_Toc79154673"/>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spacing w:line="360" w:lineRule="auto"/>
        <w:ind w:firstLine="361" w:firstLineChars="200"/>
        <w:rPr>
          <w:rFonts w:asciiTheme="majorEastAsia" w:hAnsiTheme="majorEastAsia" w:eastAsiaTheme="majorEastAsia"/>
          <w:b/>
          <w:bCs/>
          <w:sz w:val="18"/>
          <w:szCs w:val="18"/>
        </w:rPr>
      </w:pPr>
      <w:bookmarkStart w:id="130" w:name="_Toc57530252"/>
      <w:bookmarkStart w:id="131" w:name="_Toc15118245"/>
      <w:bookmarkStart w:id="132" w:name="_Toc79392593"/>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因市场成交量不足、资产限制赎回、暂停交易、缺乏意愿交易对手、交易对手违约等原因，导致产品项下对应的投资标的无法及时变现；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30"/>
    <w:bookmarkEnd w:id="131"/>
    <w:bookmarkEnd w:id="132"/>
    <w:p>
      <w:pPr>
        <w:pStyle w:val="2"/>
        <w:spacing w:before="0" w:after="0" w:line="360" w:lineRule="auto"/>
        <w:jc w:val="center"/>
        <w:rPr>
          <w:rFonts w:ascii="Times New Roman"/>
          <w:sz w:val="30"/>
        </w:rPr>
      </w:pPr>
      <w:r>
        <w:rPr>
          <w:rFonts w:ascii="Times New Roman"/>
          <w:b w:val="0"/>
          <w:bCs w:val="0"/>
          <w:kern w:val="2"/>
        </w:rPr>
        <w:br w:type="page"/>
      </w:r>
      <w:bookmarkStart w:id="133" w:name="_Toc32584"/>
      <w:bookmarkStart w:id="134" w:name="_Toc79154674"/>
      <w:bookmarkStart w:id="135" w:name="_Toc739"/>
      <w:bookmarkStart w:id="136" w:name="_Toc17920"/>
      <w:bookmarkStart w:id="137" w:name="_Toc32092"/>
      <w:bookmarkStart w:id="138" w:name="_Toc21237"/>
      <w:bookmarkStart w:id="139" w:name="_Toc123112238"/>
      <w:bookmarkStart w:id="140" w:name="_Toc29408"/>
      <w:bookmarkStart w:id="141" w:name="_Toc141703890"/>
      <w:bookmarkStart w:id="142" w:name="_Toc98560356"/>
      <w:bookmarkStart w:id="143" w:name="_Toc5170"/>
      <w:bookmarkStart w:id="144" w:name="_Toc17198"/>
      <w:bookmarkStart w:id="145" w:name="_Toc79392622"/>
      <w:bookmarkStart w:id="146" w:name="_Toc116649659"/>
      <w:bookmarkStart w:id="147" w:name="_Toc3329"/>
      <w:bookmarkStart w:id="148" w:name="_Toc48649708"/>
      <w:bookmarkStart w:id="149" w:name="_Toc8791"/>
      <w:bookmarkStart w:id="150" w:name="_Toc139991740"/>
      <w:bookmarkStart w:id="151" w:name="_Toc123051456"/>
      <w:bookmarkStart w:id="152" w:name="_Toc123102457"/>
      <w:bookmarkStart w:id="153" w:name="_Toc74065747"/>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permStart w:id="23" w:edGrp="everyone"/>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ermEnd w:id="23"/>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154" w:name="_Toc79154675"/>
      <w:bookmarkStart w:id="155" w:name="_Toc116649660"/>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154"/>
      <w:bookmarkEnd w:id="155"/>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permStart w:id="24" w:edGrp="everyone"/>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ermEnd w:id="24"/>
    </w:p>
    <w:p>
      <w:pPr>
        <w:pStyle w:val="38"/>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终止</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提前终止风险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widowControl/>
        <w:jc w:val="left"/>
        <w:rPr>
          <w:rFonts w:ascii="宋体" w:hAnsi="宋体"/>
          <w:color w:val="000000"/>
          <w:kern w:val="0"/>
          <w:sz w:val="18"/>
          <w:szCs w:val="18"/>
        </w:rPr>
      </w:pPr>
      <w:r>
        <w:rPr>
          <w:rFonts w:hAnsi="宋体"/>
          <w:sz w:val="18"/>
          <w:szCs w:val="18"/>
        </w:rPr>
        <w:br w:type="page"/>
      </w:r>
    </w:p>
    <w:tbl>
      <w:tblPr>
        <w:tblStyle w:val="25"/>
        <w:tblW w:w="8222"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7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6" w:hRule="exact"/>
        </w:trPr>
        <w:tc>
          <w:tcPr>
            <w:tcW w:w="8222" w:type="dxa"/>
            <w:gridSpan w:val="2"/>
          </w:tcPr>
          <w:p>
            <w:pPr>
              <w:spacing w:line="280" w:lineRule="atLeast"/>
              <w:ind w:firstLine="422"/>
              <w:jc w:val="center"/>
              <w:rPr>
                <w:rFonts w:ascii="宋体" w:hAnsi="宋体" w:cs="Arial"/>
                <w:b/>
                <w:szCs w:val="21"/>
              </w:rPr>
            </w:pPr>
            <w:r>
              <w:rPr>
                <w:rFonts w:hint="eastAsia" w:ascii="宋体" w:hAnsi="宋体" w:cs="Arial"/>
                <w:b/>
                <w:szCs w:val="21"/>
              </w:rPr>
              <w:t>投资者确认栏</w:t>
            </w:r>
          </w:p>
          <w:p>
            <w:pPr>
              <w:spacing w:line="360" w:lineRule="auto"/>
              <w:ind w:firstLine="361"/>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2" w:hRule="exact"/>
        </w:trPr>
        <w:tc>
          <w:tcPr>
            <w:tcW w:w="851" w:type="dxa"/>
          </w:tcPr>
          <w:p>
            <w:pPr>
              <w:spacing w:line="360" w:lineRule="auto"/>
              <w:jc w:val="left"/>
              <w:rPr>
                <w:b/>
                <w:sz w:val="18"/>
                <w:szCs w:val="18"/>
              </w:rPr>
            </w:pPr>
            <w:r>
              <w:rPr>
                <w:rFonts w:hint="eastAsia"/>
                <w:b/>
                <w:sz w:val="18"/>
                <w:szCs w:val="18"/>
              </w:rPr>
              <w:t>个人投资者适用</w:t>
            </w:r>
          </w:p>
        </w:tc>
        <w:tc>
          <w:tcPr>
            <w:tcW w:w="7371" w:type="dxa"/>
          </w:tcPr>
          <w:p>
            <w:pPr>
              <w:spacing w:line="360" w:lineRule="auto"/>
              <w:ind w:firstLine="360"/>
              <w:jc w:val="left"/>
              <w:rPr>
                <w:sz w:val="18"/>
                <w:szCs w:val="18"/>
              </w:rPr>
            </w:pPr>
            <w:r>
              <w:rPr>
                <w:rFonts w:hint="eastAsia"/>
                <w:sz w:val="18"/>
                <w:szCs w:val="18"/>
              </w:rPr>
              <w:t>投资者（签字）：</w:t>
            </w:r>
          </w:p>
          <w:p>
            <w:pPr>
              <w:spacing w:line="360" w:lineRule="auto"/>
              <w:ind w:firstLine="361"/>
              <w:jc w:val="left"/>
              <w:rPr>
                <w:b/>
                <w:sz w:val="18"/>
                <w:szCs w:val="18"/>
              </w:rPr>
            </w:pPr>
          </w:p>
          <w:p>
            <w:pPr>
              <w:spacing w:line="360" w:lineRule="auto"/>
              <w:ind w:firstLine="360"/>
              <w:jc w:val="left"/>
              <w:rPr>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851" w:type="dxa"/>
          </w:tcPr>
          <w:p>
            <w:pPr>
              <w:spacing w:line="360" w:lineRule="auto"/>
              <w:jc w:val="left"/>
              <w:rPr>
                <w:b/>
                <w:sz w:val="18"/>
                <w:szCs w:val="18"/>
              </w:rPr>
            </w:pPr>
            <w:r>
              <w:rPr>
                <w:rFonts w:hint="eastAsia"/>
                <w:b/>
                <w:sz w:val="18"/>
                <w:szCs w:val="18"/>
              </w:rPr>
              <w:t>机构投资者适用</w:t>
            </w:r>
          </w:p>
        </w:tc>
        <w:tc>
          <w:tcPr>
            <w:tcW w:w="7371" w:type="dxa"/>
          </w:tcPr>
          <w:p>
            <w:pPr>
              <w:spacing w:line="360" w:lineRule="auto"/>
              <w:ind w:firstLine="360"/>
              <w:jc w:val="left"/>
              <w:rPr>
                <w:rFonts w:cs="Arial"/>
                <w:sz w:val="18"/>
                <w:szCs w:val="18"/>
              </w:rPr>
            </w:pPr>
            <w:r>
              <w:rPr>
                <w:rFonts w:hint="eastAsia"/>
                <w:sz w:val="18"/>
                <w:szCs w:val="18"/>
              </w:rPr>
              <w:t>投资者</w:t>
            </w:r>
            <w:r>
              <w:rPr>
                <w:rFonts w:hint="eastAsia" w:cs="Arial"/>
                <w:sz w:val="18"/>
                <w:szCs w:val="18"/>
              </w:rPr>
              <w:t>（盖章）：</w:t>
            </w:r>
          </w:p>
          <w:p>
            <w:pPr>
              <w:spacing w:line="360" w:lineRule="auto"/>
              <w:ind w:firstLine="360"/>
              <w:jc w:val="left"/>
              <w:rPr>
                <w:rFonts w:cs="Arial"/>
                <w:sz w:val="18"/>
                <w:szCs w:val="18"/>
              </w:rPr>
            </w:pPr>
          </w:p>
          <w:p>
            <w:pPr>
              <w:spacing w:line="360" w:lineRule="auto"/>
              <w:ind w:firstLine="360"/>
              <w:jc w:val="left"/>
              <w:rPr>
                <w:rFonts w:cs="Arial"/>
                <w:sz w:val="18"/>
                <w:szCs w:val="18"/>
              </w:rPr>
            </w:pPr>
            <w:r>
              <w:rPr>
                <w:rFonts w:hint="eastAsia" w:cs="Arial"/>
                <w:sz w:val="18"/>
                <w:szCs w:val="18"/>
              </w:rPr>
              <w:t>投资者法定代表人或授权代理人（签字或盖章）：</w:t>
            </w:r>
          </w:p>
          <w:p>
            <w:pPr>
              <w:spacing w:line="360" w:lineRule="auto"/>
              <w:ind w:firstLine="360"/>
              <w:jc w:val="left"/>
              <w:rPr>
                <w:sz w:val="18"/>
                <w:szCs w:val="18"/>
              </w:rPr>
            </w:pPr>
            <w:r>
              <w:rPr>
                <w:rFonts w:hint="eastAsia"/>
                <w:sz w:val="18"/>
                <w:szCs w:val="18"/>
              </w:rPr>
              <w:t>日期：</w:t>
            </w:r>
          </w:p>
        </w:tc>
      </w:tr>
    </w:tbl>
    <w:p>
      <w:pPr>
        <w:spacing w:line="360" w:lineRule="auto"/>
        <w:jc w:val="left"/>
        <w:rPr>
          <w:bCs/>
        </w:rPr>
      </w:pPr>
      <w:r>
        <w:rPr>
          <w:rFonts w:hint="eastAsia" w:ascii="宋体" w:hAnsi="宋体"/>
          <w:b/>
          <w:sz w:val="18"/>
          <w:szCs w:val="18"/>
        </w:rPr>
        <w:t>（本《产品说明书》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pStyle w:val="34"/>
        <w:spacing w:line="360" w:lineRule="auto"/>
        <w:rPr>
          <w:rFonts w:hAnsi="宋体"/>
          <w:sz w:val="18"/>
          <w:szCs w:val="18"/>
        </w:rPr>
      </w:pPr>
    </w:p>
    <w:sectPr>
      <w:headerReference r:id="rId3" w:type="default"/>
      <w:footerReference r:id="rId4" w:type="default"/>
      <w:pgSz w:w="11906" w:h="16838"/>
      <w:pgMar w:top="1276" w:right="1800" w:bottom="1418" w:left="1800" w:header="567" w:footer="964"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15"/>
      <w:jc w:val="right"/>
      <w:rPr>
        <w:rFonts w:ascii="Times New Roman" w:hAnsi="Times New Roman"/>
        <w:b/>
      </w:rPr>
    </w:pPr>
    <w:r>
      <w:rPr>
        <w:rFonts w:hint="eastAsia" w:ascii="Times New Roman" w:hAnsi="Times New Roman"/>
        <w:b/>
      </w:rPr>
      <w:t>注：本文件由兴银理财有限责任公司统一编制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72"/>
      <w:lvlText w:val=""/>
      <w:lvlJc w:val="left"/>
      <w:pPr>
        <w:tabs>
          <w:tab w:val="left" w:pos="360"/>
        </w:tabs>
        <w:ind w:left="360" w:hanging="360"/>
      </w:pPr>
      <w:rPr>
        <w:rFonts w:hint="default"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bordersDoNotSurroundHeader w:val="1"/>
  <w:bordersDoNotSurroundFooter w:val="1"/>
  <w:documentProtection w:edit="readOnly" w:enforcement="1" w:cryptProviderType="rsaAES" w:cryptAlgorithmClass="hash" w:cryptAlgorithmType="typeAny" w:cryptAlgorithmSid="14" w:cryptSpinCount="100000" w:hash="ekj1XTDl7v8nbskwfCpcrAGsIrulYz/0+FnZwM+jllHFEkwu+YjW9GcRYRuTt/qylFsqZkXcToQJJZdSJI8lYA==" w:salt="P6XXnKTB8hiPkN0zDbdr2g=="/>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wNTljODZlNmMxN2IxODkyNGQ0MzYwYjkyOGU4YWIifQ=="/>
  </w:docVars>
  <w:rsids>
    <w:rsidRoot w:val="006E7124"/>
    <w:rsid w:val="0000208C"/>
    <w:rsid w:val="00002480"/>
    <w:rsid w:val="0001202B"/>
    <w:rsid w:val="000124BB"/>
    <w:rsid w:val="00014A51"/>
    <w:rsid w:val="00014CFA"/>
    <w:rsid w:val="000160F8"/>
    <w:rsid w:val="00020E26"/>
    <w:rsid w:val="00022093"/>
    <w:rsid w:val="000240C1"/>
    <w:rsid w:val="0002421F"/>
    <w:rsid w:val="0002475B"/>
    <w:rsid w:val="00024B59"/>
    <w:rsid w:val="00024D52"/>
    <w:rsid w:val="000257FD"/>
    <w:rsid w:val="00026801"/>
    <w:rsid w:val="0002771C"/>
    <w:rsid w:val="000307FF"/>
    <w:rsid w:val="00030826"/>
    <w:rsid w:val="000310FD"/>
    <w:rsid w:val="00033D3E"/>
    <w:rsid w:val="000360AD"/>
    <w:rsid w:val="0004119D"/>
    <w:rsid w:val="0004124F"/>
    <w:rsid w:val="00042C76"/>
    <w:rsid w:val="00042CE7"/>
    <w:rsid w:val="00044823"/>
    <w:rsid w:val="00045941"/>
    <w:rsid w:val="00050766"/>
    <w:rsid w:val="0005088E"/>
    <w:rsid w:val="00051D28"/>
    <w:rsid w:val="00051DE2"/>
    <w:rsid w:val="00055773"/>
    <w:rsid w:val="000565A5"/>
    <w:rsid w:val="0005743B"/>
    <w:rsid w:val="00057BC6"/>
    <w:rsid w:val="0006031B"/>
    <w:rsid w:val="00061C70"/>
    <w:rsid w:val="00062695"/>
    <w:rsid w:val="000629DD"/>
    <w:rsid w:val="00063B03"/>
    <w:rsid w:val="000705EE"/>
    <w:rsid w:val="00070857"/>
    <w:rsid w:val="00073A90"/>
    <w:rsid w:val="000747D8"/>
    <w:rsid w:val="00076014"/>
    <w:rsid w:val="0007760F"/>
    <w:rsid w:val="00077A54"/>
    <w:rsid w:val="00077C13"/>
    <w:rsid w:val="00080277"/>
    <w:rsid w:val="0008037A"/>
    <w:rsid w:val="00080508"/>
    <w:rsid w:val="00081DC7"/>
    <w:rsid w:val="000826C9"/>
    <w:rsid w:val="00085DD5"/>
    <w:rsid w:val="0009086F"/>
    <w:rsid w:val="00092A5F"/>
    <w:rsid w:val="00093F35"/>
    <w:rsid w:val="00094CA6"/>
    <w:rsid w:val="00095235"/>
    <w:rsid w:val="00097047"/>
    <w:rsid w:val="000A0882"/>
    <w:rsid w:val="000A0CC9"/>
    <w:rsid w:val="000A0DC8"/>
    <w:rsid w:val="000A1E0C"/>
    <w:rsid w:val="000A3063"/>
    <w:rsid w:val="000A45C6"/>
    <w:rsid w:val="000A51DD"/>
    <w:rsid w:val="000A5A4A"/>
    <w:rsid w:val="000A5AAB"/>
    <w:rsid w:val="000B378B"/>
    <w:rsid w:val="000B6819"/>
    <w:rsid w:val="000B7F67"/>
    <w:rsid w:val="000C31AC"/>
    <w:rsid w:val="000C3B81"/>
    <w:rsid w:val="000C69CB"/>
    <w:rsid w:val="000C6BF4"/>
    <w:rsid w:val="000C7C96"/>
    <w:rsid w:val="000D01BB"/>
    <w:rsid w:val="000D0C3A"/>
    <w:rsid w:val="000D10B1"/>
    <w:rsid w:val="000D1473"/>
    <w:rsid w:val="000D19CF"/>
    <w:rsid w:val="000D2623"/>
    <w:rsid w:val="000D3E2A"/>
    <w:rsid w:val="000D4DAE"/>
    <w:rsid w:val="000D5369"/>
    <w:rsid w:val="000D548F"/>
    <w:rsid w:val="000D591B"/>
    <w:rsid w:val="000E008C"/>
    <w:rsid w:val="000E181B"/>
    <w:rsid w:val="000E18C8"/>
    <w:rsid w:val="000E4365"/>
    <w:rsid w:val="000E5A74"/>
    <w:rsid w:val="000E798C"/>
    <w:rsid w:val="000E7BB9"/>
    <w:rsid w:val="000F09FA"/>
    <w:rsid w:val="000F4322"/>
    <w:rsid w:val="000F556F"/>
    <w:rsid w:val="000F7FB5"/>
    <w:rsid w:val="00100295"/>
    <w:rsid w:val="00100789"/>
    <w:rsid w:val="00100D6E"/>
    <w:rsid w:val="00103221"/>
    <w:rsid w:val="0010351A"/>
    <w:rsid w:val="001048D9"/>
    <w:rsid w:val="00104FAF"/>
    <w:rsid w:val="0011092D"/>
    <w:rsid w:val="00111430"/>
    <w:rsid w:val="00112922"/>
    <w:rsid w:val="00112BE0"/>
    <w:rsid w:val="001139C8"/>
    <w:rsid w:val="001152F4"/>
    <w:rsid w:val="001157E6"/>
    <w:rsid w:val="00115A4C"/>
    <w:rsid w:val="00121A98"/>
    <w:rsid w:val="00122AA4"/>
    <w:rsid w:val="00122E28"/>
    <w:rsid w:val="001232D0"/>
    <w:rsid w:val="00124098"/>
    <w:rsid w:val="0012639A"/>
    <w:rsid w:val="00127FAE"/>
    <w:rsid w:val="00134EC8"/>
    <w:rsid w:val="00140E17"/>
    <w:rsid w:val="00140FD0"/>
    <w:rsid w:val="00142E86"/>
    <w:rsid w:val="00144336"/>
    <w:rsid w:val="00144A06"/>
    <w:rsid w:val="00144E84"/>
    <w:rsid w:val="00146F91"/>
    <w:rsid w:val="001507DF"/>
    <w:rsid w:val="00153415"/>
    <w:rsid w:val="001547CA"/>
    <w:rsid w:val="00154F9C"/>
    <w:rsid w:val="001562FA"/>
    <w:rsid w:val="0016331D"/>
    <w:rsid w:val="00163655"/>
    <w:rsid w:val="00163854"/>
    <w:rsid w:val="00165A9A"/>
    <w:rsid w:val="00167B0D"/>
    <w:rsid w:val="00171033"/>
    <w:rsid w:val="001715BB"/>
    <w:rsid w:val="00172BBF"/>
    <w:rsid w:val="0017394A"/>
    <w:rsid w:val="0017488D"/>
    <w:rsid w:val="00175F68"/>
    <w:rsid w:val="00176589"/>
    <w:rsid w:val="00176C88"/>
    <w:rsid w:val="00180376"/>
    <w:rsid w:val="001822B0"/>
    <w:rsid w:val="0018230F"/>
    <w:rsid w:val="00182E75"/>
    <w:rsid w:val="001844D6"/>
    <w:rsid w:val="0018459A"/>
    <w:rsid w:val="00186521"/>
    <w:rsid w:val="00187F37"/>
    <w:rsid w:val="0019010B"/>
    <w:rsid w:val="00190633"/>
    <w:rsid w:val="0019071D"/>
    <w:rsid w:val="00190B9A"/>
    <w:rsid w:val="0019134D"/>
    <w:rsid w:val="0019285E"/>
    <w:rsid w:val="00192C78"/>
    <w:rsid w:val="00194E1F"/>
    <w:rsid w:val="0019519C"/>
    <w:rsid w:val="0019545E"/>
    <w:rsid w:val="001957A5"/>
    <w:rsid w:val="00196E62"/>
    <w:rsid w:val="001A0033"/>
    <w:rsid w:val="001A141C"/>
    <w:rsid w:val="001A352E"/>
    <w:rsid w:val="001A434D"/>
    <w:rsid w:val="001A6633"/>
    <w:rsid w:val="001B218F"/>
    <w:rsid w:val="001B21AE"/>
    <w:rsid w:val="001C31CB"/>
    <w:rsid w:val="001C41C7"/>
    <w:rsid w:val="001C5E54"/>
    <w:rsid w:val="001C7184"/>
    <w:rsid w:val="001C730C"/>
    <w:rsid w:val="001C770D"/>
    <w:rsid w:val="001C7B1B"/>
    <w:rsid w:val="001D03C8"/>
    <w:rsid w:val="001D06D0"/>
    <w:rsid w:val="001D1C72"/>
    <w:rsid w:val="001D1D5B"/>
    <w:rsid w:val="001D2824"/>
    <w:rsid w:val="001D3E8B"/>
    <w:rsid w:val="001D4AC9"/>
    <w:rsid w:val="001D4BC1"/>
    <w:rsid w:val="001D570A"/>
    <w:rsid w:val="001D688E"/>
    <w:rsid w:val="001E14FD"/>
    <w:rsid w:val="001E291D"/>
    <w:rsid w:val="001E461E"/>
    <w:rsid w:val="001E487F"/>
    <w:rsid w:val="001E54CE"/>
    <w:rsid w:val="001E61BD"/>
    <w:rsid w:val="001E6C14"/>
    <w:rsid w:val="001E70FE"/>
    <w:rsid w:val="001E77D6"/>
    <w:rsid w:val="001F00E4"/>
    <w:rsid w:val="001F4671"/>
    <w:rsid w:val="001F6BB0"/>
    <w:rsid w:val="001F7B81"/>
    <w:rsid w:val="001F7E0A"/>
    <w:rsid w:val="00201415"/>
    <w:rsid w:val="0020141D"/>
    <w:rsid w:val="00204063"/>
    <w:rsid w:val="0020563F"/>
    <w:rsid w:val="0020668E"/>
    <w:rsid w:val="00211510"/>
    <w:rsid w:val="002126B6"/>
    <w:rsid w:val="00214771"/>
    <w:rsid w:val="0021477B"/>
    <w:rsid w:val="002160B9"/>
    <w:rsid w:val="0021611E"/>
    <w:rsid w:val="00216882"/>
    <w:rsid w:val="002168CF"/>
    <w:rsid w:val="00217789"/>
    <w:rsid w:val="00220D74"/>
    <w:rsid w:val="002213EA"/>
    <w:rsid w:val="00223351"/>
    <w:rsid w:val="00223B5B"/>
    <w:rsid w:val="00224505"/>
    <w:rsid w:val="002265AA"/>
    <w:rsid w:val="00226925"/>
    <w:rsid w:val="00226E60"/>
    <w:rsid w:val="00227359"/>
    <w:rsid w:val="00231FC0"/>
    <w:rsid w:val="00233392"/>
    <w:rsid w:val="002366D2"/>
    <w:rsid w:val="00242CDB"/>
    <w:rsid w:val="0024456C"/>
    <w:rsid w:val="0024625D"/>
    <w:rsid w:val="00247F2A"/>
    <w:rsid w:val="002509C7"/>
    <w:rsid w:val="00251975"/>
    <w:rsid w:val="00252788"/>
    <w:rsid w:val="002533A3"/>
    <w:rsid w:val="00253B8C"/>
    <w:rsid w:val="00254D9A"/>
    <w:rsid w:val="00255373"/>
    <w:rsid w:val="002553DF"/>
    <w:rsid w:val="0025557C"/>
    <w:rsid w:val="00255756"/>
    <w:rsid w:val="0025790B"/>
    <w:rsid w:val="00262A44"/>
    <w:rsid w:val="00264630"/>
    <w:rsid w:val="002653AC"/>
    <w:rsid w:val="00265722"/>
    <w:rsid w:val="00266037"/>
    <w:rsid w:val="00266978"/>
    <w:rsid w:val="00266DAB"/>
    <w:rsid w:val="00272C40"/>
    <w:rsid w:val="00273F65"/>
    <w:rsid w:val="00274BFD"/>
    <w:rsid w:val="00275526"/>
    <w:rsid w:val="00275757"/>
    <w:rsid w:val="00281B9A"/>
    <w:rsid w:val="002826EB"/>
    <w:rsid w:val="00284D4C"/>
    <w:rsid w:val="00290893"/>
    <w:rsid w:val="0029197D"/>
    <w:rsid w:val="00293329"/>
    <w:rsid w:val="002A1894"/>
    <w:rsid w:val="002A2964"/>
    <w:rsid w:val="002A3DA0"/>
    <w:rsid w:val="002A6688"/>
    <w:rsid w:val="002B0A68"/>
    <w:rsid w:val="002B2349"/>
    <w:rsid w:val="002B389F"/>
    <w:rsid w:val="002B4AAF"/>
    <w:rsid w:val="002B4E5D"/>
    <w:rsid w:val="002B5421"/>
    <w:rsid w:val="002B75A8"/>
    <w:rsid w:val="002C036C"/>
    <w:rsid w:val="002C063A"/>
    <w:rsid w:val="002C0CF5"/>
    <w:rsid w:val="002C3DA6"/>
    <w:rsid w:val="002C3DD6"/>
    <w:rsid w:val="002C446D"/>
    <w:rsid w:val="002C6117"/>
    <w:rsid w:val="002C6DB5"/>
    <w:rsid w:val="002D0829"/>
    <w:rsid w:val="002D3AB7"/>
    <w:rsid w:val="002D3AEF"/>
    <w:rsid w:val="002D6AFD"/>
    <w:rsid w:val="002D7737"/>
    <w:rsid w:val="002E134B"/>
    <w:rsid w:val="002E25FC"/>
    <w:rsid w:val="002E393C"/>
    <w:rsid w:val="002E5F4C"/>
    <w:rsid w:val="002E6721"/>
    <w:rsid w:val="002E7C23"/>
    <w:rsid w:val="002F29C4"/>
    <w:rsid w:val="002F389F"/>
    <w:rsid w:val="002F45BC"/>
    <w:rsid w:val="002F4C49"/>
    <w:rsid w:val="00301106"/>
    <w:rsid w:val="003029FF"/>
    <w:rsid w:val="0030325C"/>
    <w:rsid w:val="00304D9D"/>
    <w:rsid w:val="00306DA6"/>
    <w:rsid w:val="0031156D"/>
    <w:rsid w:val="003122D5"/>
    <w:rsid w:val="00313E17"/>
    <w:rsid w:val="00314DBE"/>
    <w:rsid w:val="00320153"/>
    <w:rsid w:val="003224C7"/>
    <w:rsid w:val="003229E9"/>
    <w:rsid w:val="00331380"/>
    <w:rsid w:val="00331423"/>
    <w:rsid w:val="00331AA1"/>
    <w:rsid w:val="00332367"/>
    <w:rsid w:val="0033357B"/>
    <w:rsid w:val="00335A6D"/>
    <w:rsid w:val="003363E0"/>
    <w:rsid w:val="0033710A"/>
    <w:rsid w:val="00337172"/>
    <w:rsid w:val="00337AF2"/>
    <w:rsid w:val="00337EC3"/>
    <w:rsid w:val="003405D3"/>
    <w:rsid w:val="00341DFC"/>
    <w:rsid w:val="003444E9"/>
    <w:rsid w:val="00350B80"/>
    <w:rsid w:val="0035109F"/>
    <w:rsid w:val="00351B3C"/>
    <w:rsid w:val="0035299D"/>
    <w:rsid w:val="00356734"/>
    <w:rsid w:val="00356F2E"/>
    <w:rsid w:val="003601A7"/>
    <w:rsid w:val="00361109"/>
    <w:rsid w:val="00363191"/>
    <w:rsid w:val="00363504"/>
    <w:rsid w:val="0036433E"/>
    <w:rsid w:val="003669E3"/>
    <w:rsid w:val="00370696"/>
    <w:rsid w:val="00371546"/>
    <w:rsid w:val="003727DA"/>
    <w:rsid w:val="00373305"/>
    <w:rsid w:val="003745A5"/>
    <w:rsid w:val="00375BC6"/>
    <w:rsid w:val="00380DB4"/>
    <w:rsid w:val="00381A67"/>
    <w:rsid w:val="003823A6"/>
    <w:rsid w:val="003838B9"/>
    <w:rsid w:val="00383D2C"/>
    <w:rsid w:val="0038516F"/>
    <w:rsid w:val="00387C44"/>
    <w:rsid w:val="00387E86"/>
    <w:rsid w:val="00391BBC"/>
    <w:rsid w:val="00392F32"/>
    <w:rsid w:val="00396C37"/>
    <w:rsid w:val="00396E72"/>
    <w:rsid w:val="003A42AD"/>
    <w:rsid w:val="003A430B"/>
    <w:rsid w:val="003B00EC"/>
    <w:rsid w:val="003B1841"/>
    <w:rsid w:val="003B32A0"/>
    <w:rsid w:val="003B343A"/>
    <w:rsid w:val="003B600B"/>
    <w:rsid w:val="003B72A3"/>
    <w:rsid w:val="003C2C6C"/>
    <w:rsid w:val="003C2FD0"/>
    <w:rsid w:val="003C3843"/>
    <w:rsid w:val="003C4A62"/>
    <w:rsid w:val="003C4CEB"/>
    <w:rsid w:val="003C51FE"/>
    <w:rsid w:val="003C6DEC"/>
    <w:rsid w:val="003C7EAF"/>
    <w:rsid w:val="003D26D0"/>
    <w:rsid w:val="003D3411"/>
    <w:rsid w:val="003D5ED1"/>
    <w:rsid w:val="003D63E6"/>
    <w:rsid w:val="003E2F07"/>
    <w:rsid w:val="003E31AA"/>
    <w:rsid w:val="003E3D00"/>
    <w:rsid w:val="003F2D22"/>
    <w:rsid w:val="003F4B74"/>
    <w:rsid w:val="00400144"/>
    <w:rsid w:val="00400D54"/>
    <w:rsid w:val="0040151D"/>
    <w:rsid w:val="0040285C"/>
    <w:rsid w:val="004043E5"/>
    <w:rsid w:val="00404A76"/>
    <w:rsid w:val="00404C4F"/>
    <w:rsid w:val="00406C36"/>
    <w:rsid w:val="0040736E"/>
    <w:rsid w:val="00407912"/>
    <w:rsid w:val="00410860"/>
    <w:rsid w:val="004111DE"/>
    <w:rsid w:val="00411594"/>
    <w:rsid w:val="004134C2"/>
    <w:rsid w:val="00416AC9"/>
    <w:rsid w:val="00416CB0"/>
    <w:rsid w:val="00420268"/>
    <w:rsid w:val="004227D0"/>
    <w:rsid w:val="0042292D"/>
    <w:rsid w:val="00422B14"/>
    <w:rsid w:val="00423422"/>
    <w:rsid w:val="00424562"/>
    <w:rsid w:val="0042456A"/>
    <w:rsid w:val="00424895"/>
    <w:rsid w:val="004259CB"/>
    <w:rsid w:val="00426CB5"/>
    <w:rsid w:val="0042700C"/>
    <w:rsid w:val="00430DF1"/>
    <w:rsid w:val="00434DA3"/>
    <w:rsid w:val="004365C7"/>
    <w:rsid w:val="004369A7"/>
    <w:rsid w:val="0043725F"/>
    <w:rsid w:val="00440E4C"/>
    <w:rsid w:val="00441309"/>
    <w:rsid w:val="00441A1F"/>
    <w:rsid w:val="00441C87"/>
    <w:rsid w:val="0044275F"/>
    <w:rsid w:val="00444B08"/>
    <w:rsid w:val="00444C05"/>
    <w:rsid w:val="00444E95"/>
    <w:rsid w:val="004451F2"/>
    <w:rsid w:val="00447A83"/>
    <w:rsid w:val="00450AE7"/>
    <w:rsid w:val="00452527"/>
    <w:rsid w:val="00453F94"/>
    <w:rsid w:val="0045405E"/>
    <w:rsid w:val="0045524D"/>
    <w:rsid w:val="00455720"/>
    <w:rsid w:val="00460E19"/>
    <w:rsid w:val="00461E0D"/>
    <w:rsid w:val="00462328"/>
    <w:rsid w:val="00462D9E"/>
    <w:rsid w:val="00466864"/>
    <w:rsid w:val="00466F57"/>
    <w:rsid w:val="00467C9D"/>
    <w:rsid w:val="00470261"/>
    <w:rsid w:val="004711A9"/>
    <w:rsid w:val="00471ABA"/>
    <w:rsid w:val="0047289E"/>
    <w:rsid w:val="00477510"/>
    <w:rsid w:val="00480985"/>
    <w:rsid w:val="00480CC1"/>
    <w:rsid w:val="00480FF7"/>
    <w:rsid w:val="004811BA"/>
    <w:rsid w:val="0048253E"/>
    <w:rsid w:val="00482F37"/>
    <w:rsid w:val="00483507"/>
    <w:rsid w:val="00485D45"/>
    <w:rsid w:val="00486A6C"/>
    <w:rsid w:val="00487444"/>
    <w:rsid w:val="004902E2"/>
    <w:rsid w:val="00490E3D"/>
    <w:rsid w:val="004917FC"/>
    <w:rsid w:val="004922CC"/>
    <w:rsid w:val="004940D3"/>
    <w:rsid w:val="004960D3"/>
    <w:rsid w:val="00497FEC"/>
    <w:rsid w:val="004A0C4A"/>
    <w:rsid w:val="004A0D93"/>
    <w:rsid w:val="004A12AC"/>
    <w:rsid w:val="004A2354"/>
    <w:rsid w:val="004B1194"/>
    <w:rsid w:val="004B1599"/>
    <w:rsid w:val="004B3136"/>
    <w:rsid w:val="004B5526"/>
    <w:rsid w:val="004C1BF8"/>
    <w:rsid w:val="004C2000"/>
    <w:rsid w:val="004C4C0A"/>
    <w:rsid w:val="004C4C12"/>
    <w:rsid w:val="004C51D4"/>
    <w:rsid w:val="004C62FA"/>
    <w:rsid w:val="004C6A3A"/>
    <w:rsid w:val="004C75D9"/>
    <w:rsid w:val="004D0C41"/>
    <w:rsid w:val="004D1CFA"/>
    <w:rsid w:val="004D2141"/>
    <w:rsid w:val="004D3932"/>
    <w:rsid w:val="004D5055"/>
    <w:rsid w:val="004D5AAF"/>
    <w:rsid w:val="004D5BE2"/>
    <w:rsid w:val="004D5E18"/>
    <w:rsid w:val="004D6163"/>
    <w:rsid w:val="004D6C75"/>
    <w:rsid w:val="004E17EB"/>
    <w:rsid w:val="004E20E1"/>
    <w:rsid w:val="004E3BD3"/>
    <w:rsid w:val="004E605C"/>
    <w:rsid w:val="004E78A6"/>
    <w:rsid w:val="004F0C90"/>
    <w:rsid w:val="004F10F4"/>
    <w:rsid w:val="004F14E2"/>
    <w:rsid w:val="004F15A3"/>
    <w:rsid w:val="004F2F63"/>
    <w:rsid w:val="004F3020"/>
    <w:rsid w:val="004F3355"/>
    <w:rsid w:val="004F45E5"/>
    <w:rsid w:val="004F483B"/>
    <w:rsid w:val="004F58A4"/>
    <w:rsid w:val="00500B33"/>
    <w:rsid w:val="0050192C"/>
    <w:rsid w:val="00502068"/>
    <w:rsid w:val="005023E9"/>
    <w:rsid w:val="005030D1"/>
    <w:rsid w:val="00503239"/>
    <w:rsid w:val="005048A9"/>
    <w:rsid w:val="00504CD2"/>
    <w:rsid w:val="005058C6"/>
    <w:rsid w:val="00506FB3"/>
    <w:rsid w:val="00512B61"/>
    <w:rsid w:val="00512E3B"/>
    <w:rsid w:val="00513143"/>
    <w:rsid w:val="005131E7"/>
    <w:rsid w:val="00517C1B"/>
    <w:rsid w:val="00521905"/>
    <w:rsid w:val="00521A8A"/>
    <w:rsid w:val="0052537A"/>
    <w:rsid w:val="005261C6"/>
    <w:rsid w:val="00526A8B"/>
    <w:rsid w:val="005306F5"/>
    <w:rsid w:val="0053145D"/>
    <w:rsid w:val="0053265E"/>
    <w:rsid w:val="00534837"/>
    <w:rsid w:val="00534ED6"/>
    <w:rsid w:val="005356DD"/>
    <w:rsid w:val="0054383E"/>
    <w:rsid w:val="00544067"/>
    <w:rsid w:val="0054458D"/>
    <w:rsid w:val="00544689"/>
    <w:rsid w:val="005448AE"/>
    <w:rsid w:val="00544EBF"/>
    <w:rsid w:val="0054752F"/>
    <w:rsid w:val="005477FF"/>
    <w:rsid w:val="005514EA"/>
    <w:rsid w:val="00551E13"/>
    <w:rsid w:val="0055265D"/>
    <w:rsid w:val="0055566F"/>
    <w:rsid w:val="00556B03"/>
    <w:rsid w:val="00557F13"/>
    <w:rsid w:val="0056057A"/>
    <w:rsid w:val="005634A0"/>
    <w:rsid w:val="00564A34"/>
    <w:rsid w:val="00564BAA"/>
    <w:rsid w:val="005669ED"/>
    <w:rsid w:val="00566E49"/>
    <w:rsid w:val="00571676"/>
    <w:rsid w:val="0057386A"/>
    <w:rsid w:val="005745C2"/>
    <w:rsid w:val="00575575"/>
    <w:rsid w:val="005756EF"/>
    <w:rsid w:val="00580472"/>
    <w:rsid w:val="00583DB2"/>
    <w:rsid w:val="0058644F"/>
    <w:rsid w:val="00586B5E"/>
    <w:rsid w:val="0058793F"/>
    <w:rsid w:val="00587E86"/>
    <w:rsid w:val="005905CC"/>
    <w:rsid w:val="0059345F"/>
    <w:rsid w:val="005942B5"/>
    <w:rsid w:val="005964FC"/>
    <w:rsid w:val="00596640"/>
    <w:rsid w:val="005A1A2E"/>
    <w:rsid w:val="005A2814"/>
    <w:rsid w:val="005A3E7B"/>
    <w:rsid w:val="005A52CE"/>
    <w:rsid w:val="005A5694"/>
    <w:rsid w:val="005A60A3"/>
    <w:rsid w:val="005B07FC"/>
    <w:rsid w:val="005B1513"/>
    <w:rsid w:val="005B1F01"/>
    <w:rsid w:val="005B3D95"/>
    <w:rsid w:val="005B45B8"/>
    <w:rsid w:val="005B6567"/>
    <w:rsid w:val="005B6D9B"/>
    <w:rsid w:val="005C0D5A"/>
    <w:rsid w:val="005C1011"/>
    <w:rsid w:val="005C1A4B"/>
    <w:rsid w:val="005C2C22"/>
    <w:rsid w:val="005C3351"/>
    <w:rsid w:val="005C46BB"/>
    <w:rsid w:val="005C6C9D"/>
    <w:rsid w:val="005D0EC6"/>
    <w:rsid w:val="005D2A2A"/>
    <w:rsid w:val="005D30EC"/>
    <w:rsid w:val="005D3EBA"/>
    <w:rsid w:val="005D3F7B"/>
    <w:rsid w:val="005D3F83"/>
    <w:rsid w:val="005D5021"/>
    <w:rsid w:val="005D6B6D"/>
    <w:rsid w:val="005E0304"/>
    <w:rsid w:val="005E1F5B"/>
    <w:rsid w:val="005E2522"/>
    <w:rsid w:val="005E34A7"/>
    <w:rsid w:val="005E3ECC"/>
    <w:rsid w:val="005E5B83"/>
    <w:rsid w:val="005E6FB7"/>
    <w:rsid w:val="005F0064"/>
    <w:rsid w:val="005F2F17"/>
    <w:rsid w:val="005F30D3"/>
    <w:rsid w:val="005F379A"/>
    <w:rsid w:val="005F4287"/>
    <w:rsid w:val="005F469C"/>
    <w:rsid w:val="005F5D9F"/>
    <w:rsid w:val="005F7FD5"/>
    <w:rsid w:val="00600FE7"/>
    <w:rsid w:val="006019D1"/>
    <w:rsid w:val="00605524"/>
    <w:rsid w:val="00605B31"/>
    <w:rsid w:val="00605C5D"/>
    <w:rsid w:val="006065FB"/>
    <w:rsid w:val="00607DDC"/>
    <w:rsid w:val="00612793"/>
    <w:rsid w:val="00612869"/>
    <w:rsid w:val="006146BA"/>
    <w:rsid w:val="00620063"/>
    <w:rsid w:val="00620D75"/>
    <w:rsid w:val="00621F2C"/>
    <w:rsid w:val="00624760"/>
    <w:rsid w:val="00624F2C"/>
    <w:rsid w:val="00625B80"/>
    <w:rsid w:val="00626BC0"/>
    <w:rsid w:val="0063051C"/>
    <w:rsid w:val="006307AD"/>
    <w:rsid w:val="00631736"/>
    <w:rsid w:val="006328AE"/>
    <w:rsid w:val="0064020E"/>
    <w:rsid w:val="0064087A"/>
    <w:rsid w:val="006451BF"/>
    <w:rsid w:val="006453CC"/>
    <w:rsid w:val="006468C6"/>
    <w:rsid w:val="00646E3F"/>
    <w:rsid w:val="00646E40"/>
    <w:rsid w:val="00647424"/>
    <w:rsid w:val="006476D3"/>
    <w:rsid w:val="00652FE7"/>
    <w:rsid w:val="0065431E"/>
    <w:rsid w:val="0065499A"/>
    <w:rsid w:val="00655124"/>
    <w:rsid w:val="00657909"/>
    <w:rsid w:val="006612EA"/>
    <w:rsid w:val="006617D1"/>
    <w:rsid w:val="00661C8C"/>
    <w:rsid w:val="006623D6"/>
    <w:rsid w:val="0066478A"/>
    <w:rsid w:val="0066625E"/>
    <w:rsid w:val="006676FD"/>
    <w:rsid w:val="0067005D"/>
    <w:rsid w:val="00672FF4"/>
    <w:rsid w:val="00675B54"/>
    <w:rsid w:val="006809FB"/>
    <w:rsid w:val="00682623"/>
    <w:rsid w:val="00684401"/>
    <w:rsid w:val="00684ECC"/>
    <w:rsid w:val="006856C3"/>
    <w:rsid w:val="006863E0"/>
    <w:rsid w:val="006877C1"/>
    <w:rsid w:val="00687A26"/>
    <w:rsid w:val="006904D3"/>
    <w:rsid w:val="0069132D"/>
    <w:rsid w:val="006929EA"/>
    <w:rsid w:val="00692BC9"/>
    <w:rsid w:val="0069501F"/>
    <w:rsid w:val="00695141"/>
    <w:rsid w:val="006961A8"/>
    <w:rsid w:val="00697C87"/>
    <w:rsid w:val="00697D22"/>
    <w:rsid w:val="006A1579"/>
    <w:rsid w:val="006A2FDF"/>
    <w:rsid w:val="006A4A8A"/>
    <w:rsid w:val="006A4B96"/>
    <w:rsid w:val="006A5309"/>
    <w:rsid w:val="006A5968"/>
    <w:rsid w:val="006A68DA"/>
    <w:rsid w:val="006A6C9E"/>
    <w:rsid w:val="006A7E97"/>
    <w:rsid w:val="006B3727"/>
    <w:rsid w:val="006B4BAA"/>
    <w:rsid w:val="006B5EEE"/>
    <w:rsid w:val="006B7BA8"/>
    <w:rsid w:val="006B7E76"/>
    <w:rsid w:val="006C19CF"/>
    <w:rsid w:val="006C3458"/>
    <w:rsid w:val="006C3815"/>
    <w:rsid w:val="006C4170"/>
    <w:rsid w:val="006C4848"/>
    <w:rsid w:val="006C4A05"/>
    <w:rsid w:val="006C5ACD"/>
    <w:rsid w:val="006C6D81"/>
    <w:rsid w:val="006C7218"/>
    <w:rsid w:val="006C75F7"/>
    <w:rsid w:val="006C7E9B"/>
    <w:rsid w:val="006D0BDE"/>
    <w:rsid w:val="006D160E"/>
    <w:rsid w:val="006D3D10"/>
    <w:rsid w:val="006D4093"/>
    <w:rsid w:val="006D4430"/>
    <w:rsid w:val="006D586E"/>
    <w:rsid w:val="006D6C20"/>
    <w:rsid w:val="006D7C06"/>
    <w:rsid w:val="006D7D05"/>
    <w:rsid w:val="006E1A9B"/>
    <w:rsid w:val="006E2E41"/>
    <w:rsid w:val="006E5D67"/>
    <w:rsid w:val="006E6ED0"/>
    <w:rsid w:val="006E7124"/>
    <w:rsid w:val="006E7FC7"/>
    <w:rsid w:val="006F2488"/>
    <w:rsid w:val="006F356A"/>
    <w:rsid w:val="006F5923"/>
    <w:rsid w:val="006F6174"/>
    <w:rsid w:val="006F7D4D"/>
    <w:rsid w:val="0070045F"/>
    <w:rsid w:val="007048B2"/>
    <w:rsid w:val="00706406"/>
    <w:rsid w:val="00706DCA"/>
    <w:rsid w:val="00707A7B"/>
    <w:rsid w:val="007123F2"/>
    <w:rsid w:val="00712CFF"/>
    <w:rsid w:val="0071321B"/>
    <w:rsid w:val="007143E3"/>
    <w:rsid w:val="0071446F"/>
    <w:rsid w:val="00714473"/>
    <w:rsid w:val="007166B2"/>
    <w:rsid w:val="00717330"/>
    <w:rsid w:val="007207A0"/>
    <w:rsid w:val="00720D3D"/>
    <w:rsid w:val="00720E8F"/>
    <w:rsid w:val="007210F9"/>
    <w:rsid w:val="0072322A"/>
    <w:rsid w:val="00724416"/>
    <w:rsid w:val="0072773A"/>
    <w:rsid w:val="00727C00"/>
    <w:rsid w:val="007305B6"/>
    <w:rsid w:val="007319DA"/>
    <w:rsid w:val="00741F90"/>
    <w:rsid w:val="007425D7"/>
    <w:rsid w:val="00742D00"/>
    <w:rsid w:val="007431C0"/>
    <w:rsid w:val="00743AB2"/>
    <w:rsid w:val="00746AF7"/>
    <w:rsid w:val="00746FAD"/>
    <w:rsid w:val="0075157C"/>
    <w:rsid w:val="00752FA6"/>
    <w:rsid w:val="007530BD"/>
    <w:rsid w:val="00754168"/>
    <w:rsid w:val="00755570"/>
    <w:rsid w:val="00755F45"/>
    <w:rsid w:val="00757357"/>
    <w:rsid w:val="00760BF7"/>
    <w:rsid w:val="00762022"/>
    <w:rsid w:val="007630BD"/>
    <w:rsid w:val="00763193"/>
    <w:rsid w:val="0076459F"/>
    <w:rsid w:val="00764E0B"/>
    <w:rsid w:val="00764FD2"/>
    <w:rsid w:val="007650F1"/>
    <w:rsid w:val="00765862"/>
    <w:rsid w:val="0077274B"/>
    <w:rsid w:val="00774135"/>
    <w:rsid w:val="00775372"/>
    <w:rsid w:val="00775691"/>
    <w:rsid w:val="00775E75"/>
    <w:rsid w:val="00780770"/>
    <w:rsid w:val="00784BFC"/>
    <w:rsid w:val="007871C4"/>
    <w:rsid w:val="0078739B"/>
    <w:rsid w:val="00794CF9"/>
    <w:rsid w:val="0079594A"/>
    <w:rsid w:val="007A104C"/>
    <w:rsid w:val="007A2250"/>
    <w:rsid w:val="007A2E91"/>
    <w:rsid w:val="007A3563"/>
    <w:rsid w:val="007A56C3"/>
    <w:rsid w:val="007A610A"/>
    <w:rsid w:val="007A6A71"/>
    <w:rsid w:val="007B095E"/>
    <w:rsid w:val="007B256F"/>
    <w:rsid w:val="007B2905"/>
    <w:rsid w:val="007B335E"/>
    <w:rsid w:val="007B3CAC"/>
    <w:rsid w:val="007B435B"/>
    <w:rsid w:val="007B7E70"/>
    <w:rsid w:val="007C0495"/>
    <w:rsid w:val="007C5819"/>
    <w:rsid w:val="007C67CB"/>
    <w:rsid w:val="007D115D"/>
    <w:rsid w:val="007D37FB"/>
    <w:rsid w:val="007D3AB0"/>
    <w:rsid w:val="007D3C57"/>
    <w:rsid w:val="007D5878"/>
    <w:rsid w:val="007D6324"/>
    <w:rsid w:val="007D68C9"/>
    <w:rsid w:val="007D6F94"/>
    <w:rsid w:val="007D7B84"/>
    <w:rsid w:val="007E1F76"/>
    <w:rsid w:val="007E2370"/>
    <w:rsid w:val="007E3453"/>
    <w:rsid w:val="007E3857"/>
    <w:rsid w:val="007E4180"/>
    <w:rsid w:val="007E4637"/>
    <w:rsid w:val="007E4A3F"/>
    <w:rsid w:val="007E6CAE"/>
    <w:rsid w:val="007E6E94"/>
    <w:rsid w:val="007E775F"/>
    <w:rsid w:val="007F0860"/>
    <w:rsid w:val="007F1299"/>
    <w:rsid w:val="007F19E2"/>
    <w:rsid w:val="007F2369"/>
    <w:rsid w:val="007F2A00"/>
    <w:rsid w:val="007F2DEA"/>
    <w:rsid w:val="007F353C"/>
    <w:rsid w:val="007F42B0"/>
    <w:rsid w:val="007F557D"/>
    <w:rsid w:val="007F5D9C"/>
    <w:rsid w:val="008002FC"/>
    <w:rsid w:val="008016A7"/>
    <w:rsid w:val="00801ED9"/>
    <w:rsid w:val="00802399"/>
    <w:rsid w:val="008027C8"/>
    <w:rsid w:val="00803922"/>
    <w:rsid w:val="00804D31"/>
    <w:rsid w:val="0080586D"/>
    <w:rsid w:val="00805A3D"/>
    <w:rsid w:val="00806DDF"/>
    <w:rsid w:val="00807174"/>
    <w:rsid w:val="00807C0F"/>
    <w:rsid w:val="00807F91"/>
    <w:rsid w:val="0081012C"/>
    <w:rsid w:val="0081039A"/>
    <w:rsid w:val="008103FD"/>
    <w:rsid w:val="00810BBC"/>
    <w:rsid w:val="0081517F"/>
    <w:rsid w:val="0081549F"/>
    <w:rsid w:val="00815D6A"/>
    <w:rsid w:val="008176FD"/>
    <w:rsid w:val="00820221"/>
    <w:rsid w:val="00820966"/>
    <w:rsid w:val="008216F7"/>
    <w:rsid w:val="00822153"/>
    <w:rsid w:val="00822FBD"/>
    <w:rsid w:val="00823AB7"/>
    <w:rsid w:val="00827169"/>
    <w:rsid w:val="00827DAF"/>
    <w:rsid w:val="00830FAF"/>
    <w:rsid w:val="00831F70"/>
    <w:rsid w:val="00833134"/>
    <w:rsid w:val="00833713"/>
    <w:rsid w:val="00833D9B"/>
    <w:rsid w:val="008340FE"/>
    <w:rsid w:val="008341F6"/>
    <w:rsid w:val="00835A40"/>
    <w:rsid w:val="00835AA0"/>
    <w:rsid w:val="00835FBF"/>
    <w:rsid w:val="00836DA8"/>
    <w:rsid w:val="00836ECE"/>
    <w:rsid w:val="00840A55"/>
    <w:rsid w:val="008414B9"/>
    <w:rsid w:val="0084380A"/>
    <w:rsid w:val="00843D2E"/>
    <w:rsid w:val="008445F0"/>
    <w:rsid w:val="00844E66"/>
    <w:rsid w:val="00847CD5"/>
    <w:rsid w:val="00850B2A"/>
    <w:rsid w:val="00850F7C"/>
    <w:rsid w:val="0085322F"/>
    <w:rsid w:val="0085408C"/>
    <w:rsid w:val="0085557B"/>
    <w:rsid w:val="00856A09"/>
    <w:rsid w:val="00856B4C"/>
    <w:rsid w:val="00856BBC"/>
    <w:rsid w:val="00857149"/>
    <w:rsid w:val="008573AC"/>
    <w:rsid w:val="00860A39"/>
    <w:rsid w:val="00861B3E"/>
    <w:rsid w:val="00862A70"/>
    <w:rsid w:val="008655A1"/>
    <w:rsid w:val="008666DD"/>
    <w:rsid w:val="00866CCD"/>
    <w:rsid w:val="00870018"/>
    <w:rsid w:val="00871411"/>
    <w:rsid w:val="00871A7B"/>
    <w:rsid w:val="00872192"/>
    <w:rsid w:val="008726D9"/>
    <w:rsid w:val="008740D8"/>
    <w:rsid w:val="0087506B"/>
    <w:rsid w:val="008767F0"/>
    <w:rsid w:val="0087693A"/>
    <w:rsid w:val="00876C63"/>
    <w:rsid w:val="00876D94"/>
    <w:rsid w:val="0088624B"/>
    <w:rsid w:val="0089004D"/>
    <w:rsid w:val="0089069E"/>
    <w:rsid w:val="008912D3"/>
    <w:rsid w:val="008914CB"/>
    <w:rsid w:val="008937B1"/>
    <w:rsid w:val="00894A43"/>
    <w:rsid w:val="00895477"/>
    <w:rsid w:val="008A0BA9"/>
    <w:rsid w:val="008A15AE"/>
    <w:rsid w:val="008A1DBB"/>
    <w:rsid w:val="008A2A18"/>
    <w:rsid w:val="008A6A39"/>
    <w:rsid w:val="008B185F"/>
    <w:rsid w:val="008B3113"/>
    <w:rsid w:val="008B45F2"/>
    <w:rsid w:val="008B4E65"/>
    <w:rsid w:val="008B5744"/>
    <w:rsid w:val="008B7818"/>
    <w:rsid w:val="008C04C6"/>
    <w:rsid w:val="008C1D87"/>
    <w:rsid w:val="008C2047"/>
    <w:rsid w:val="008C2490"/>
    <w:rsid w:val="008C2FED"/>
    <w:rsid w:val="008C4AC0"/>
    <w:rsid w:val="008C5304"/>
    <w:rsid w:val="008C6459"/>
    <w:rsid w:val="008C7CC2"/>
    <w:rsid w:val="008D01F8"/>
    <w:rsid w:val="008D0325"/>
    <w:rsid w:val="008D0AD4"/>
    <w:rsid w:val="008D2BA4"/>
    <w:rsid w:val="008D4CB3"/>
    <w:rsid w:val="008D5A24"/>
    <w:rsid w:val="008D5CDB"/>
    <w:rsid w:val="008D643C"/>
    <w:rsid w:val="008D6554"/>
    <w:rsid w:val="008D756F"/>
    <w:rsid w:val="008D7E71"/>
    <w:rsid w:val="008E6072"/>
    <w:rsid w:val="008E6640"/>
    <w:rsid w:val="008F2669"/>
    <w:rsid w:val="008F2710"/>
    <w:rsid w:val="008F432E"/>
    <w:rsid w:val="008F784B"/>
    <w:rsid w:val="008F7A01"/>
    <w:rsid w:val="009003A6"/>
    <w:rsid w:val="00900AF7"/>
    <w:rsid w:val="00901909"/>
    <w:rsid w:val="00901ACE"/>
    <w:rsid w:val="00901B37"/>
    <w:rsid w:val="009043D1"/>
    <w:rsid w:val="00904AA1"/>
    <w:rsid w:val="0090500B"/>
    <w:rsid w:val="0090746E"/>
    <w:rsid w:val="0090771A"/>
    <w:rsid w:val="00907D44"/>
    <w:rsid w:val="009106C1"/>
    <w:rsid w:val="00910BA4"/>
    <w:rsid w:val="00911E11"/>
    <w:rsid w:val="00912C9D"/>
    <w:rsid w:val="00915499"/>
    <w:rsid w:val="00915546"/>
    <w:rsid w:val="00916595"/>
    <w:rsid w:val="009169DE"/>
    <w:rsid w:val="00922E94"/>
    <w:rsid w:val="00924CB1"/>
    <w:rsid w:val="00925905"/>
    <w:rsid w:val="00925C04"/>
    <w:rsid w:val="00926039"/>
    <w:rsid w:val="009275C5"/>
    <w:rsid w:val="00927772"/>
    <w:rsid w:val="00931E88"/>
    <w:rsid w:val="009330D9"/>
    <w:rsid w:val="00933939"/>
    <w:rsid w:val="00934162"/>
    <w:rsid w:val="009342D4"/>
    <w:rsid w:val="00936818"/>
    <w:rsid w:val="009369EF"/>
    <w:rsid w:val="00936A52"/>
    <w:rsid w:val="00940B15"/>
    <w:rsid w:val="0094391C"/>
    <w:rsid w:val="00946996"/>
    <w:rsid w:val="0095322B"/>
    <w:rsid w:val="0095360A"/>
    <w:rsid w:val="009604D5"/>
    <w:rsid w:val="009626CA"/>
    <w:rsid w:val="00962D06"/>
    <w:rsid w:val="00963402"/>
    <w:rsid w:val="00964835"/>
    <w:rsid w:val="00966917"/>
    <w:rsid w:val="00967387"/>
    <w:rsid w:val="00970789"/>
    <w:rsid w:val="009709AB"/>
    <w:rsid w:val="00971FD5"/>
    <w:rsid w:val="0097223A"/>
    <w:rsid w:val="009729E3"/>
    <w:rsid w:val="009732DD"/>
    <w:rsid w:val="00974167"/>
    <w:rsid w:val="00974BED"/>
    <w:rsid w:val="00976143"/>
    <w:rsid w:val="00980073"/>
    <w:rsid w:val="00982041"/>
    <w:rsid w:val="00983099"/>
    <w:rsid w:val="009832E7"/>
    <w:rsid w:val="009836DB"/>
    <w:rsid w:val="00984A57"/>
    <w:rsid w:val="00984EF3"/>
    <w:rsid w:val="009868B1"/>
    <w:rsid w:val="00990135"/>
    <w:rsid w:val="009911A1"/>
    <w:rsid w:val="00992322"/>
    <w:rsid w:val="00993261"/>
    <w:rsid w:val="00993578"/>
    <w:rsid w:val="00997E03"/>
    <w:rsid w:val="009A0770"/>
    <w:rsid w:val="009A0BA3"/>
    <w:rsid w:val="009A1A8B"/>
    <w:rsid w:val="009A2A56"/>
    <w:rsid w:val="009A418D"/>
    <w:rsid w:val="009A520C"/>
    <w:rsid w:val="009A58CA"/>
    <w:rsid w:val="009A6EB5"/>
    <w:rsid w:val="009A75FE"/>
    <w:rsid w:val="009B137E"/>
    <w:rsid w:val="009B2144"/>
    <w:rsid w:val="009B6315"/>
    <w:rsid w:val="009B6C73"/>
    <w:rsid w:val="009C4645"/>
    <w:rsid w:val="009C59F9"/>
    <w:rsid w:val="009C63B1"/>
    <w:rsid w:val="009C6C6F"/>
    <w:rsid w:val="009D0173"/>
    <w:rsid w:val="009D0895"/>
    <w:rsid w:val="009D3644"/>
    <w:rsid w:val="009D3EAE"/>
    <w:rsid w:val="009D4BEF"/>
    <w:rsid w:val="009D4D73"/>
    <w:rsid w:val="009D5DD3"/>
    <w:rsid w:val="009D6DC4"/>
    <w:rsid w:val="009D7295"/>
    <w:rsid w:val="009D761B"/>
    <w:rsid w:val="009D7AAE"/>
    <w:rsid w:val="009E0D4A"/>
    <w:rsid w:val="009E246D"/>
    <w:rsid w:val="009E2A07"/>
    <w:rsid w:val="009E3AA4"/>
    <w:rsid w:val="009E3C63"/>
    <w:rsid w:val="009E6590"/>
    <w:rsid w:val="009F01CF"/>
    <w:rsid w:val="009F06C5"/>
    <w:rsid w:val="009F0C46"/>
    <w:rsid w:val="009F2607"/>
    <w:rsid w:val="009F599E"/>
    <w:rsid w:val="009F5B9C"/>
    <w:rsid w:val="009F7D3B"/>
    <w:rsid w:val="00A00126"/>
    <w:rsid w:val="00A003C1"/>
    <w:rsid w:val="00A00655"/>
    <w:rsid w:val="00A00C58"/>
    <w:rsid w:val="00A010F0"/>
    <w:rsid w:val="00A02290"/>
    <w:rsid w:val="00A04535"/>
    <w:rsid w:val="00A070EE"/>
    <w:rsid w:val="00A07363"/>
    <w:rsid w:val="00A0739C"/>
    <w:rsid w:val="00A13043"/>
    <w:rsid w:val="00A13616"/>
    <w:rsid w:val="00A1363C"/>
    <w:rsid w:val="00A13BD0"/>
    <w:rsid w:val="00A14DE4"/>
    <w:rsid w:val="00A151FA"/>
    <w:rsid w:val="00A179D3"/>
    <w:rsid w:val="00A23587"/>
    <w:rsid w:val="00A23EE3"/>
    <w:rsid w:val="00A25A3F"/>
    <w:rsid w:val="00A25C59"/>
    <w:rsid w:val="00A3012B"/>
    <w:rsid w:val="00A30F3D"/>
    <w:rsid w:val="00A31F82"/>
    <w:rsid w:val="00A350E9"/>
    <w:rsid w:val="00A3538E"/>
    <w:rsid w:val="00A3720D"/>
    <w:rsid w:val="00A37505"/>
    <w:rsid w:val="00A40594"/>
    <w:rsid w:val="00A41A0B"/>
    <w:rsid w:val="00A44C46"/>
    <w:rsid w:val="00A455E5"/>
    <w:rsid w:val="00A455F7"/>
    <w:rsid w:val="00A456F5"/>
    <w:rsid w:val="00A45853"/>
    <w:rsid w:val="00A46E22"/>
    <w:rsid w:val="00A513D2"/>
    <w:rsid w:val="00A51406"/>
    <w:rsid w:val="00A530A2"/>
    <w:rsid w:val="00A54120"/>
    <w:rsid w:val="00A54A51"/>
    <w:rsid w:val="00A56887"/>
    <w:rsid w:val="00A60B29"/>
    <w:rsid w:val="00A60B80"/>
    <w:rsid w:val="00A61197"/>
    <w:rsid w:val="00A63267"/>
    <w:rsid w:val="00A64046"/>
    <w:rsid w:val="00A64535"/>
    <w:rsid w:val="00A71411"/>
    <w:rsid w:val="00A71C30"/>
    <w:rsid w:val="00A71EF1"/>
    <w:rsid w:val="00A72235"/>
    <w:rsid w:val="00A72A25"/>
    <w:rsid w:val="00A736A6"/>
    <w:rsid w:val="00A740D7"/>
    <w:rsid w:val="00A75555"/>
    <w:rsid w:val="00A759CD"/>
    <w:rsid w:val="00A776D2"/>
    <w:rsid w:val="00A82C81"/>
    <w:rsid w:val="00A836BF"/>
    <w:rsid w:val="00A83C4D"/>
    <w:rsid w:val="00A83D4C"/>
    <w:rsid w:val="00A84317"/>
    <w:rsid w:val="00A85490"/>
    <w:rsid w:val="00A85845"/>
    <w:rsid w:val="00A86794"/>
    <w:rsid w:val="00A9216C"/>
    <w:rsid w:val="00A93438"/>
    <w:rsid w:val="00A9361C"/>
    <w:rsid w:val="00A94EEF"/>
    <w:rsid w:val="00A9587C"/>
    <w:rsid w:val="00A9619D"/>
    <w:rsid w:val="00A967E5"/>
    <w:rsid w:val="00A9697A"/>
    <w:rsid w:val="00A96CB3"/>
    <w:rsid w:val="00A97AA9"/>
    <w:rsid w:val="00AA054E"/>
    <w:rsid w:val="00AA17E3"/>
    <w:rsid w:val="00AA1C72"/>
    <w:rsid w:val="00AA2A5E"/>
    <w:rsid w:val="00AA2BF1"/>
    <w:rsid w:val="00AA3558"/>
    <w:rsid w:val="00AA5D0C"/>
    <w:rsid w:val="00AA6712"/>
    <w:rsid w:val="00AA6B2C"/>
    <w:rsid w:val="00AB15E6"/>
    <w:rsid w:val="00AB1EE0"/>
    <w:rsid w:val="00AB2014"/>
    <w:rsid w:val="00AB234B"/>
    <w:rsid w:val="00AB23FC"/>
    <w:rsid w:val="00AB2493"/>
    <w:rsid w:val="00AB3C03"/>
    <w:rsid w:val="00AB50AF"/>
    <w:rsid w:val="00AB52EA"/>
    <w:rsid w:val="00AB73CF"/>
    <w:rsid w:val="00AB7BAC"/>
    <w:rsid w:val="00AC0EF8"/>
    <w:rsid w:val="00AC263A"/>
    <w:rsid w:val="00AC2A27"/>
    <w:rsid w:val="00AC2E64"/>
    <w:rsid w:val="00AC3DBE"/>
    <w:rsid w:val="00AC4959"/>
    <w:rsid w:val="00AC67EB"/>
    <w:rsid w:val="00AC7995"/>
    <w:rsid w:val="00AD039B"/>
    <w:rsid w:val="00AD0565"/>
    <w:rsid w:val="00AD0A0A"/>
    <w:rsid w:val="00AD32D9"/>
    <w:rsid w:val="00AD3352"/>
    <w:rsid w:val="00AD47E3"/>
    <w:rsid w:val="00AD4A59"/>
    <w:rsid w:val="00AD5746"/>
    <w:rsid w:val="00AD60A8"/>
    <w:rsid w:val="00AD64B8"/>
    <w:rsid w:val="00AE089F"/>
    <w:rsid w:val="00AE36AF"/>
    <w:rsid w:val="00AE3F46"/>
    <w:rsid w:val="00AE4061"/>
    <w:rsid w:val="00AE68F6"/>
    <w:rsid w:val="00AF17F6"/>
    <w:rsid w:val="00AF4901"/>
    <w:rsid w:val="00AF4B88"/>
    <w:rsid w:val="00AF670F"/>
    <w:rsid w:val="00AF75AC"/>
    <w:rsid w:val="00AF766A"/>
    <w:rsid w:val="00B012B6"/>
    <w:rsid w:val="00B014BB"/>
    <w:rsid w:val="00B035D2"/>
    <w:rsid w:val="00B045EC"/>
    <w:rsid w:val="00B058FF"/>
    <w:rsid w:val="00B074D0"/>
    <w:rsid w:val="00B10CFD"/>
    <w:rsid w:val="00B10D6F"/>
    <w:rsid w:val="00B11E34"/>
    <w:rsid w:val="00B14A84"/>
    <w:rsid w:val="00B158C3"/>
    <w:rsid w:val="00B22517"/>
    <w:rsid w:val="00B2293D"/>
    <w:rsid w:val="00B2353C"/>
    <w:rsid w:val="00B272BE"/>
    <w:rsid w:val="00B27A14"/>
    <w:rsid w:val="00B32C84"/>
    <w:rsid w:val="00B33E5E"/>
    <w:rsid w:val="00B34D85"/>
    <w:rsid w:val="00B3567F"/>
    <w:rsid w:val="00B3710C"/>
    <w:rsid w:val="00B37FE3"/>
    <w:rsid w:val="00B413CC"/>
    <w:rsid w:val="00B41521"/>
    <w:rsid w:val="00B415FE"/>
    <w:rsid w:val="00B42205"/>
    <w:rsid w:val="00B43502"/>
    <w:rsid w:val="00B445B9"/>
    <w:rsid w:val="00B46A08"/>
    <w:rsid w:val="00B46C4E"/>
    <w:rsid w:val="00B47DAA"/>
    <w:rsid w:val="00B504BE"/>
    <w:rsid w:val="00B506B0"/>
    <w:rsid w:val="00B51FD6"/>
    <w:rsid w:val="00B52A04"/>
    <w:rsid w:val="00B53238"/>
    <w:rsid w:val="00B5343C"/>
    <w:rsid w:val="00B53B5A"/>
    <w:rsid w:val="00B53EA7"/>
    <w:rsid w:val="00B561E7"/>
    <w:rsid w:val="00B568BF"/>
    <w:rsid w:val="00B64278"/>
    <w:rsid w:val="00B664E9"/>
    <w:rsid w:val="00B67A2A"/>
    <w:rsid w:val="00B70610"/>
    <w:rsid w:val="00B72DDC"/>
    <w:rsid w:val="00B7347F"/>
    <w:rsid w:val="00B74AB7"/>
    <w:rsid w:val="00B75565"/>
    <w:rsid w:val="00B76017"/>
    <w:rsid w:val="00B7689E"/>
    <w:rsid w:val="00B76D6F"/>
    <w:rsid w:val="00B81053"/>
    <w:rsid w:val="00B82164"/>
    <w:rsid w:val="00B870C8"/>
    <w:rsid w:val="00B87B00"/>
    <w:rsid w:val="00B90513"/>
    <w:rsid w:val="00B90A5B"/>
    <w:rsid w:val="00B916FF"/>
    <w:rsid w:val="00B92345"/>
    <w:rsid w:val="00B92C4F"/>
    <w:rsid w:val="00B9530E"/>
    <w:rsid w:val="00B95B12"/>
    <w:rsid w:val="00B96026"/>
    <w:rsid w:val="00BA02A3"/>
    <w:rsid w:val="00BA14BA"/>
    <w:rsid w:val="00BA17A9"/>
    <w:rsid w:val="00BA1F6D"/>
    <w:rsid w:val="00BA30F2"/>
    <w:rsid w:val="00BA4EAC"/>
    <w:rsid w:val="00BA617C"/>
    <w:rsid w:val="00BA68B2"/>
    <w:rsid w:val="00BA7C51"/>
    <w:rsid w:val="00BA7E1E"/>
    <w:rsid w:val="00BA7E21"/>
    <w:rsid w:val="00BB18C4"/>
    <w:rsid w:val="00BB505E"/>
    <w:rsid w:val="00BB7324"/>
    <w:rsid w:val="00BB78A6"/>
    <w:rsid w:val="00BC0543"/>
    <w:rsid w:val="00BC11E8"/>
    <w:rsid w:val="00BC15FB"/>
    <w:rsid w:val="00BC16FF"/>
    <w:rsid w:val="00BC22CF"/>
    <w:rsid w:val="00BC3D6F"/>
    <w:rsid w:val="00BC4C6A"/>
    <w:rsid w:val="00BC57F5"/>
    <w:rsid w:val="00BC782B"/>
    <w:rsid w:val="00BD498B"/>
    <w:rsid w:val="00BD604B"/>
    <w:rsid w:val="00BD65CD"/>
    <w:rsid w:val="00BD6A7C"/>
    <w:rsid w:val="00BD768A"/>
    <w:rsid w:val="00BD7AFF"/>
    <w:rsid w:val="00BD7CA7"/>
    <w:rsid w:val="00BE13B9"/>
    <w:rsid w:val="00BE2BF4"/>
    <w:rsid w:val="00BE4FCF"/>
    <w:rsid w:val="00BE5DA9"/>
    <w:rsid w:val="00BE69FF"/>
    <w:rsid w:val="00BF0872"/>
    <w:rsid w:val="00BF1745"/>
    <w:rsid w:val="00BF19FA"/>
    <w:rsid w:val="00BF4C3E"/>
    <w:rsid w:val="00BF54B5"/>
    <w:rsid w:val="00BF757A"/>
    <w:rsid w:val="00C017FF"/>
    <w:rsid w:val="00C01FBD"/>
    <w:rsid w:val="00C02090"/>
    <w:rsid w:val="00C03970"/>
    <w:rsid w:val="00C04AA0"/>
    <w:rsid w:val="00C060B9"/>
    <w:rsid w:val="00C06806"/>
    <w:rsid w:val="00C0746C"/>
    <w:rsid w:val="00C07ED9"/>
    <w:rsid w:val="00C11341"/>
    <w:rsid w:val="00C17352"/>
    <w:rsid w:val="00C17507"/>
    <w:rsid w:val="00C17BFA"/>
    <w:rsid w:val="00C22767"/>
    <w:rsid w:val="00C22C2F"/>
    <w:rsid w:val="00C25992"/>
    <w:rsid w:val="00C2610D"/>
    <w:rsid w:val="00C267E3"/>
    <w:rsid w:val="00C27B64"/>
    <w:rsid w:val="00C30167"/>
    <w:rsid w:val="00C308DC"/>
    <w:rsid w:val="00C31807"/>
    <w:rsid w:val="00C31AC5"/>
    <w:rsid w:val="00C31CE3"/>
    <w:rsid w:val="00C3206E"/>
    <w:rsid w:val="00C37F27"/>
    <w:rsid w:val="00C40CC6"/>
    <w:rsid w:val="00C41E59"/>
    <w:rsid w:val="00C449B4"/>
    <w:rsid w:val="00C4510D"/>
    <w:rsid w:val="00C471D2"/>
    <w:rsid w:val="00C47231"/>
    <w:rsid w:val="00C4754D"/>
    <w:rsid w:val="00C52276"/>
    <w:rsid w:val="00C5311E"/>
    <w:rsid w:val="00C5343D"/>
    <w:rsid w:val="00C54A52"/>
    <w:rsid w:val="00C55EAD"/>
    <w:rsid w:val="00C60A5E"/>
    <w:rsid w:val="00C61028"/>
    <w:rsid w:val="00C62B36"/>
    <w:rsid w:val="00C63219"/>
    <w:rsid w:val="00C6376A"/>
    <w:rsid w:val="00C64182"/>
    <w:rsid w:val="00C70604"/>
    <w:rsid w:val="00C7392F"/>
    <w:rsid w:val="00C74622"/>
    <w:rsid w:val="00C74920"/>
    <w:rsid w:val="00C7610F"/>
    <w:rsid w:val="00C773F9"/>
    <w:rsid w:val="00C775A1"/>
    <w:rsid w:val="00C77B0A"/>
    <w:rsid w:val="00C8091E"/>
    <w:rsid w:val="00C80EE0"/>
    <w:rsid w:val="00C8162B"/>
    <w:rsid w:val="00C816BA"/>
    <w:rsid w:val="00C81CA2"/>
    <w:rsid w:val="00C8291D"/>
    <w:rsid w:val="00C833B1"/>
    <w:rsid w:val="00C91C9D"/>
    <w:rsid w:val="00C93A2E"/>
    <w:rsid w:val="00C96BF3"/>
    <w:rsid w:val="00C97AFD"/>
    <w:rsid w:val="00CA13D6"/>
    <w:rsid w:val="00CA17E1"/>
    <w:rsid w:val="00CA2484"/>
    <w:rsid w:val="00CA2910"/>
    <w:rsid w:val="00CA296D"/>
    <w:rsid w:val="00CA32BF"/>
    <w:rsid w:val="00CA32DC"/>
    <w:rsid w:val="00CA5D88"/>
    <w:rsid w:val="00CA5EA6"/>
    <w:rsid w:val="00CA6433"/>
    <w:rsid w:val="00CA647F"/>
    <w:rsid w:val="00CA69D7"/>
    <w:rsid w:val="00CA70D9"/>
    <w:rsid w:val="00CA79F7"/>
    <w:rsid w:val="00CB00DA"/>
    <w:rsid w:val="00CB5291"/>
    <w:rsid w:val="00CB644D"/>
    <w:rsid w:val="00CB7517"/>
    <w:rsid w:val="00CC016D"/>
    <w:rsid w:val="00CC01F2"/>
    <w:rsid w:val="00CC07FA"/>
    <w:rsid w:val="00CC0B97"/>
    <w:rsid w:val="00CC2B30"/>
    <w:rsid w:val="00CC3532"/>
    <w:rsid w:val="00CC5AC0"/>
    <w:rsid w:val="00CC6554"/>
    <w:rsid w:val="00CD00BC"/>
    <w:rsid w:val="00CD1954"/>
    <w:rsid w:val="00CD1F12"/>
    <w:rsid w:val="00CD34FF"/>
    <w:rsid w:val="00CD37B5"/>
    <w:rsid w:val="00CD3B65"/>
    <w:rsid w:val="00CD3CB1"/>
    <w:rsid w:val="00CD43FA"/>
    <w:rsid w:val="00CD608D"/>
    <w:rsid w:val="00CD7616"/>
    <w:rsid w:val="00CD795A"/>
    <w:rsid w:val="00CE11DD"/>
    <w:rsid w:val="00CE3283"/>
    <w:rsid w:val="00CE4D95"/>
    <w:rsid w:val="00CE629D"/>
    <w:rsid w:val="00CF07E6"/>
    <w:rsid w:val="00CF226E"/>
    <w:rsid w:val="00CF232C"/>
    <w:rsid w:val="00CF2562"/>
    <w:rsid w:val="00CF33B6"/>
    <w:rsid w:val="00CF406F"/>
    <w:rsid w:val="00CF5521"/>
    <w:rsid w:val="00CF656C"/>
    <w:rsid w:val="00CF7D29"/>
    <w:rsid w:val="00D00853"/>
    <w:rsid w:val="00D01FB8"/>
    <w:rsid w:val="00D021C2"/>
    <w:rsid w:val="00D02A81"/>
    <w:rsid w:val="00D04C65"/>
    <w:rsid w:val="00D04C90"/>
    <w:rsid w:val="00D062BE"/>
    <w:rsid w:val="00D06457"/>
    <w:rsid w:val="00D06776"/>
    <w:rsid w:val="00D07E73"/>
    <w:rsid w:val="00D115E6"/>
    <w:rsid w:val="00D13FEF"/>
    <w:rsid w:val="00D151E7"/>
    <w:rsid w:val="00D1730F"/>
    <w:rsid w:val="00D17B1C"/>
    <w:rsid w:val="00D22406"/>
    <w:rsid w:val="00D2384D"/>
    <w:rsid w:val="00D25869"/>
    <w:rsid w:val="00D25C0A"/>
    <w:rsid w:val="00D25D86"/>
    <w:rsid w:val="00D263F1"/>
    <w:rsid w:val="00D26487"/>
    <w:rsid w:val="00D265C8"/>
    <w:rsid w:val="00D323C4"/>
    <w:rsid w:val="00D33F2B"/>
    <w:rsid w:val="00D34189"/>
    <w:rsid w:val="00D34CE8"/>
    <w:rsid w:val="00D3593A"/>
    <w:rsid w:val="00D375D6"/>
    <w:rsid w:val="00D4001C"/>
    <w:rsid w:val="00D438F0"/>
    <w:rsid w:val="00D44372"/>
    <w:rsid w:val="00D443D4"/>
    <w:rsid w:val="00D45834"/>
    <w:rsid w:val="00D4603C"/>
    <w:rsid w:val="00D5206B"/>
    <w:rsid w:val="00D52ADB"/>
    <w:rsid w:val="00D53161"/>
    <w:rsid w:val="00D5508F"/>
    <w:rsid w:val="00D55786"/>
    <w:rsid w:val="00D55EC2"/>
    <w:rsid w:val="00D55F02"/>
    <w:rsid w:val="00D60812"/>
    <w:rsid w:val="00D60A30"/>
    <w:rsid w:val="00D623DD"/>
    <w:rsid w:val="00D62D39"/>
    <w:rsid w:val="00D632DB"/>
    <w:rsid w:val="00D63708"/>
    <w:rsid w:val="00D643B5"/>
    <w:rsid w:val="00D6481B"/>
    <w:rsid w:val="00D66900"/>
    <w:rsid w:val="00D67371"/>
    <w:rsid w:val="00D70935"/>
    <w:rsid w:val="00D724FE"/>
    <w:rsid w:val="00D759E5"/>
    <w:rsid w:val="00D77706"/>
    <w:rsid w:val="00D77A2F"/>
    <w:rsid w:val="00D80219"/>
    <w:rsid w:val="00D8128F"/>
    <w:rsid w:val="00D82717"/>
    <w:rsid w:val="00D82D31"/>
    <w:rsid w:val="00D82E17"/>
    <w:rsid w:val="00D84645"/>
    <w:rsid w:val="00D859AC"/>
    <w:rsid w:val="00D86198"/>
    <w:rsid w:val="00D874EA"/>
    <w:rsid w:val="00D87704"/>
    <w:rsid w:val="00D878BD"/>
    <w:rsid w:val="00D90EDE"/>
    <w:rsid w:val="00D9165A"/>
    <w:rsid w:val="00D91EAA"/>
    <w:rsid w:val="00D92AC0"/>
    <w:rsid w:val="00D94DD8"/>
    <w:rsid w:val="00D96028"/>
    <w:rsid w:val="00DA1892"/>
    <w:rsid w:val="00DA22EF"/>
    <w:rsid w:val="00DA34B6"/>
    <w:rsid w:val="00DA36CA"/>
    <w:rsid w:val="00DA48A7"/>
    <w:rsid w:val="00DA5907"/>
    <w:rsid w:val="00DA6E7B"/>
    <w:rsid w:val="00DB0AED"/>
    <w:rsid w:val="00DB10AB"/>
    <w:rsid w:val="00DB1F0A"/>
    <w:rsid w:val="00DB3001"/>
    <w:rsid w:val="00DB3CCC"/>
    <w:rsid w:val="00DB53CB"/>
    <w:rsid w:val="00DB67F3"/>
    <w:rsid w:val="00DC11F9"/>
    <w:rsid w:val="00DC2867"/>
    <w:rsid w:val="00DC343A"/>
    <w:rsid w:val="00DD130F"/>
    <w:rsid w:val="00DD229C"/>
    <w:rsid w:val="00DD4131"/>
    <w:rsid w:val="00DD4387"/>
    <w:rsid w:val="00DD5B36"/>
    <w:rsid w:val="00DE295D"/>
    <w:rsid w:val="00DE2B95"/>
    <w:rsid w:val="00DE45E9"/>
    <w:rsid w:val="00DE51F9"/>
    <w:rsid w:val="00DE56BC"/>
    <w:rsid w:val="00DE7746"/>
    <w:rsid w:val="00DE7F8F"/>
    <w:rsid w:val="00DF03B9"/>
    <w:rsid w:val="00DF0C4B"/>
    <w:rsid w:val="00DF0F34"/>
    <w:rsid w:val="00DF1657"/>
    <w:rsid w:val="00DF36FD"/>
    <w:rsid w:val="00DF38F5"/>
    <w:rsid w:val="00DF6462"/>
    <w:rsid w:val="00DF6D4A"/>
    <w:rsid w:val="00E01C2C"/>
    <w:rsid w:val="00E020B4"/>
    <w:rsid w:val="00E023F7"/>
    <w:rsid w:val="00E02EB4"/>
    <w:rsid w:val="00E035A1"/>
    <w:rsid w:val="00E03911"/>
    <w:rsid w:val="00E039EF"/>
    <w:rsid w:val="00E049CB"/>
    <w:rsid w:val="00E04D19"/>
    <w:rsid w:val="00E05B4C"/>
    <w:rsid w:val="00E10691"/>
    <w:rsid w:val="00E1143F"/>
    <w:rsid w:val="00E1160F"/>
    <w:rsid w:val="00E116BC"/>
    <w:rsid w:val="00E11A5D"/>
    <w:rsid w:val="00E12377"/>
    <w:rsid w:val="00E12D42"/>
    <w:rsid w:val="00E12E5C"/>
    <w:rsid w:val="00E13986"/>
    <w:rsid w:val="00E14FF2"/>
    <w:rsid w:val="00E2059A"/>
    <w:rsid w:val="00E234C8"/>
    <w:rsid w:val="00E23FD9"/>
    <w:rsid w:val="00E241D9"/>
    <w:rsid w:val="00E24E21"/>
    <w:rsid w:val="00E26111"/>
    <w:rsid w:val="00E27F54"/>
    <w:rsid w:val="00E30277"/>
    <w:rsid w:val="00E308BB"/>
    <w:rsid w:val="00E313CE"/>
    <w:rsid w:val="00E3244D"/>
    <w:rsid w:val="00E32751"/>
    <w:rsid w:val="00E33895"/>
    <w:rsid w:val="00E3398B"/>
    <w:rsid w:val="00E367DC"/>
    <w:rsid w:val="00E36D70"/>
    <w:rsid w:val="00E37693"/>
    <w:rsid w:val="00E377C9"/>
    <w:rsid w:val="00E37B82"/>
    <w:rsid w:val="00E37D59"/>
    <w:rsid w:val="00E42E68"/>
    <w:rsid w:val="00E449C3"/>
    <w:rsid w:val="00E453B2"/>
    <w:rsid w:val="00E46571"/>
    <w:rsid w:val="00E501E2"/>
    <w:rsid w:val="00E5484C"/>
    <w:rsid w:val="00E550CC"/>
    <w:rsid w:val="00E55672"/>
    <w:rsid w:val="00E56FEA"/>
    <w:rsid w:val="00E60196"/>
    <w:rsid w:val="00E61F8D"/>
    <w:rsid w:val="00E63C2D"/>
    <w:rsid w:val="00E67590"/>
    <w:rsid w:val="00E67F1D"/>
    <w:rsid w:val="00E709FC"/>
    <w:rsid w:val="00E71ADD"/>
    <w:rsid w:val="00E73876"/>
    <w:rsid w:val="00E74575"/>
    <w:rsid w:val="00E74AD8"/>
    <w:rsid w:val="00E76CEE"/>
    <w:rsid w:val="00E77286"/>
    <w:rsid w:val="00E77455"/>
    <w:rsid w:val="00E77A51"/>
    <w:rsid w:val="00E804D3"/>
    <w:rsid w:val="00E80AC4"/>
    <w:rsid w:val="00E816A6"/>
    <w:rsid w:val="00E81DB4"/>
    <w:rsid w:val="00E82C77"/>
    <w:rsid w:val="00E84A30"/>
    <w:rsid w:val="00E857F8"/>
    <w:rsid w:val="00E86ECC"/>
    <w:rsid w:val="00E87CB3"/>
    <w:rsid w:val="00E91141"/>
    <w:rsid w:val="00E925A6"/>
    <w:rsid w:val="00E945AC"/>
    <w:rsid w:val="00E94859"/>
    <w:rsid w:val="00E94C30"/>
    <w:rsid w:val="00E95C4B"/>
    <w:rsid w:val="00E965EE"/>
    <w:rsid w:val="00E9683E"/>
    <w:rsid w:val="00E96ECC"/>
    <w:rsid w:val="00E9744A"/>
    <w:rsid w:val="00E97657"/>
    <w:rsid w:val="00EA2A51"/>
    <w:rsid w:val="00EA3F51"/>
    <w:rsid w:val="00EA536C"/>
    <w:rsid w:val="00EB0052"/>
    <w:rsid w:val="00EB0FBB"/>
    <w:rsid w:val="00EB215C"/>
    <w:rsid w:val="00EB3768"/>
    <w:rsid w:val="00EB3A44"/>
    <w:rsid w:val="00EB5817"/>
    <w:rsid w:val="00EB5D26"/>
    <w:rsid w:val="00EB7522"/>
    <w:rsid w:val="00EB7D69"/>
    <w:rsid w:val="00EC2870"/>
    <w:rsid w:val="00EC2AC1"/>
    <w:rsid w:val="00EC4184"/>
    <w:rsid w:val="00EC70FA"/>
    <w:rsid w:val="00EC7BA7"/>
    <w:rsid w:val="00ED0CB1"/>
    <w:rsid w:val="00ED230B"/>
    <w:rsid w:val="00ED3570"/>
    <w:rsid w:val="00ED368F"/>
    <w:rsid w:val="00ED3B71"/>
    <w:rsid w:val="00ED4A3F"/>
    <w:rsid w:val="00ED4FDE"/>
    <w:rsid w:val="00ED6D87"/>
    <w:rsid w:val="00EE1DB5"/>
    <w:rsid w:val="00EE3357"/>
    <w:rsid w:val="00EF0C29"/>
    <w:rsid w:val="00EF30E2"/>
    <w:rsid w:val="00EF3119"/>
    <w:rsid w:val="00EF3282"/>
    <w:rsid w:val="00EF6C64"/>
    <w:rsid w:val="00F016BB"/>
    <w:rsid w:val="00F039CF"/>
    <w:rsid w:val="00F05328"/>
    <w:rsid w:val="00F05335"/>
    <w:rsid w:val="00F0536E"/>
    <w:rsid w:val="00F05D39"/>
    <w:rsid w:val="00F06333"/>
    <w:rsid w:val="00F06593"/>
    <w:rsid w:val="00F0725A"/>
    <w:rsid w:val="00F10E47"/>
    <w:rsid w:val="00F12F6E"/>
    <w:rsid w:val="00F13CBC"/>
    <w:rsid w:val="00F14855"/>
    <w:rsid w:val="00F21417"/>
    <w:rsid w:val="00F21E4B"/>
    <w:rsid w:val="00F22A72"/>
    <w:rsid w:val="00F231CE"/>
    <w:rsid w:val="00F247C8"/>
    <w:rsid w:val="00F25BF4"/>
    <w:rsid w:val="00F2635E"/>
    <w:rsid w:val="00F278B9"/>
    <w:rsid w:val="00F30AFD"/>
    <w:rsid w:val="00F318C5"/>
    <w:rsid w:val="00F3199A"/>
    <w:rsid w:val="00F319A5"/>
    <w:rsid w:val="00F32C8C"/>
    <w:rsid w:val="00F33B1D"/>
    <w:rsid w:val="00F343E0"/>
    <w:rsid w:val="00F360B3"/>
    <w:rsid w:val="00F40A28"/>
    <w:rsid w:val="00F41232"/>
    <w:rsid w:val="00F41319"/>
    <w:rsid w:val="00F421E6"/>
    <w:rsid w:val="00F4303A"/>
    <w:rsid w:val="00F46E29"/>
    <w:rsid w:val="00F475D0"/>
    <w:rsid w:val="00F5118A"/>
    <w:rsid w:val="00F555B0"/>
    <w:rsid w:val="00F56C19"/>
    <w:rsid w:val="00F6162A"/>
    <w:rsid w:val="00F66759"/>
    <w:rsid w:val="00F677CF"/>
    <w:rsid w:val="00F67967"/>
    <w:rsid w:val="00F67CF6"/>
    <w:rsid w:val="00F72651"/>
    <w:rsid w:val="00F8175E"/>
    <w:rsid w:val="00F81B05"/>
    <w:rsid w:val="00F81F15"/>
    <w:rsid w:val="00F82049"/>
    <w:rsid w:val="00F82C9F"/>
    <w:rsid w:val="00F8388A"/>
    <w:rsid w:val="00F84E80"/>
    <w:rsid w:val="00F85CC2"/>
    <w:rsid w:val="00F87537"/>
    <w:rsid w:val="00F947DC"/>
    <w:rsid w:val="00F97424"/>
    <w:rsid w:val="00F9781A"/>
    <w:rsid w:val="00FA057C"/>
    <w:rsid w:val="00FA086F"/>
    <w:rsid w:val="00FA0D16"/>
    <w:rsid w:val="00FA185B"/>
    <w:rsid w:val="00FA60BF"/>
    <w:rsid w:val="00FA6883"/>
    <w:rsid w:val="00FA7405"/>
    <w:rsid w:val="00FB0D12"/>
    <w:rsid w:val="00FB1CB4"/>
    <w:rsid w:val="00FB3D40"/>
    <w:rsid w:val="00FB44EB"/>
    <w:rsid w:val="00FB675F"/>
    <w:rsid w:val="00FC1300"/>
    <w:rsid w:val="00FC1C93"/>
    <w:rsid w:val="00FC42A3"/>
    <w:rsid w:val="00FC55F9"/>
    <w:rsid w:val="00FC60D4"/>
    <w:rsid w:val="00FC77AE"/>
    <w:rsid w:val="00FC7D9F"/>
    <w:rsid w:val="00FD10B0"/>
    <w:rsid w:val="00FD2BAD"/>
    <w:rsid w:val="00FD2F51"/>
    <w:rsid w:val="00FD330C"/>
    <w:rsid w:val="00FD3660"/>
    <w:rsid w:val="00FD484C"/>
    <w:rsid w:val="00FD49D6"/>
    <w:rsid w:val="00FD55FB"/>
    <w:rsid w:val="00FD569D"/>
    <w:rsid w:val="00FD678B"/>
    <w:rsid w:val="00FD6903"/>
    <w:rsid w:val="00FE225D"/>
    <w:rsid w:val="00FE5C3E"/>
    <w:rsid w:val="00FF0A2F"/>
    <w:rsid w:val="00FF1B04"/>
    <w:rsid w:val="00FF22F8"/>
    <w:rsid w:val="00FF3255"/>
    <w:rsid w:val="00FF738C"/>
    <w:rsid w:val="020A6A96"/>
    <w:rsid w:val="0356786B"/>
    <w:rsid w:val="046E31C1"/>
    <w:rsid w:val="056C4F65"/>
    <w:rsid w:val="06F4696E"/>
    <w:rsid w:val="07245E56"/>
    <w:rsid w:val="09953EB9"/>
    <w:rsid w:val="0C023D8C"/>
    <w:rsid w:val="0E94232E"/>
    <w:rsid w:val="0F1306D5"/>
    <w:rsid w:val="11295396"/>
    <w:rsid w:val="163E2FB7"/>
    <w:rsid w:val="1A48157B"/>
    <w:rsid w:val="1ABE2ED9"/>
    <w:rsid w:val="1BD70953"/>
    <w:rsid w:val="1BF87698"/>
    <w:rsid w:val="1C78144D"/>
    <w:rsid w:val="1E585AB7"/>
    <w:rsid w:val="1EB160C2"/>
    <w:rsid w:val="1FF145B9"/>
    <w:rsid w:val="2193546F"/>
    <w:rsid w:val="23083986"/>
    <w:rsid w:val="23AF29A3"/>
    <w:rsid w:val="26123FD6"/>
    <w:rsid w:val="26F50BA9"/>
    <w:rsid w:val="27B40C0C"/>
    <w:rsid w:val="29026D00"/>
    <w:rsid w:val="2A642791"/>
    <w:rsid w:val="2EA644DF"/>
    <w:rsid w:val="2ECE6508"/>
    <w:rsid w:val="2FB532A0"/>
    <w:rsid w:val="319C4BEA"/>
    <w:rsid w:val="33DA2E89"/>
    <w:rsid w:val="34C829B2"/>
    <w:rsid w:val="35381804"/>
    <w:rsid w:val="386A3F56"/>
    <w:rsid w:val="3A810EF7"/>
    <w:rsid w:val="3C3802E9"/>
    <w:rsid w:val="3E0C1771"/>
    <w:rsid w:val="3E586AB8"/>
    <w:rsid w:val="3E5C1B1D"/>
    <w:rsid w:val="3EAE14E9"/>
    <w:rsid w:val="3FD261A6"/>
    <w:rsid w:val="42EB2F9C"/>
    <w:rsid w:val="45226963"/>
    <w:rsid w:val="469F5C49"/>
    <w:rsid w:val="489178CB"/>
    <w:rsid w:val="4AA32071"/>
    <w:rsid w:val="4D39606F"/>
    <w:rsid w:val="4F8E3D4D"/>
    <w:rsid w:val="4FA308F4"/>
    <w:rsid w:val="53B3493A"/>
    <w:rsid w:val="5537323C"/>
    <w:rsid w:val="55855837"/>
    <w:rsid w:val="56503211"/>
    <w:rsid w:val="57BD5DAE"/>
    <w:rsid w:val="59512AC0"/>
    <w:rsid w:val="598B567E"/>
    <w:rsid w:val="5BA577EB"/>
    <w:rsid w:val="5C624734"/>
    <w:rsid w:val="5FE91ABC"/>
    <w:rsid w:val="60D42826"/>
    <w:rsid w:val="628E734C"/>
    <w:rsid w:val="6580603B"/>
    <w:rsid w:val="68AE53CE"/>
    <w:rsid w:val="68B96EA7"/>
    <w:rsid w:val="68C7223A"/>
    <w:rsid w:val="68EF6886"/>
    <w:rsid w:val="694A7300"/>
    <w:rsid w:val="699457CF"/>
    <w:rsid w:val="6C01148B"/>
    <w:rsid w:val="6E5B6D6D"/>
    <w:rsid w:val="6FDD1093"/>
    <w:rsid w:val="709C0126"/>
    <w:rsid w:val="724A5751"/>
    <w:rsid w:val="76022652"/>
    <w:rsid w:val="768501BE"/>
    <w:rsid w:val="76C8601E"/>
    <w:rsid w:val="7D80556D"/>
    <w:rsid w:val="7ED86E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9"/>
    <w:qFormat/>
    <w:uiPriority w:val="0"/>
    <w:pPr>
      <w:keepNext/>
      <w:keepLines/>
      <w:spacing w:before="260" w:after="260" w:line="413" w:lineRule="auto"/>
      <w:outlineLvl w:val="1"/>
    </w:pPr>
    <w:rPr>
      <w:rFonts w:ascii="Arial" w:hAnsi="Arial" w:eastAsia="黑体" w:cs="Times New Roman"/>
      <w:b/>
      <w:sz w:val="32"/>
      <w:szCs w:val="20"/>
    </w:rPr>
  </w:style>
  <w:style w:type="paragraph" w:styleId="4">
    <w:name w:val="heading 3"/>
    <w:basedOn w:val="1"/>
    <w:next w:val="1"/>
    <w:link w:val="50"/>
    <w:qFormat/>
    <w:uiPriority w:val="0"/>
    <w:pPr>
      <w:keepNext/>
      <w:keepLines/>
      <w:spacing w:before="260" w:after="260" w:line="413" w:lineRule="auto"/>
      <w:outlineLvl w:val="2"/>
    </w:pPr>
    <w:rPr>
      <w:rFonts w:ascii="Times New Roman" w:hAnsi="Times New Roman" w:cs="Times New Roman"/>
      <w:b/>
      <w:sz w:val="32"/>
      <w:szCs w:val="20"/>
    </w:rPr>
  </w:style>
  <w:style w:type="paragraph" w:styleId="5">
    <w:name w:val="heading 4"/>
    <w:basedOn w:val="1"/>
    <w:next w:val="1"/>
    <w:link w:val="5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Times New Roman" w:hAnsi="Times New Roman" w:cs="Times New Roman"/>
      <w:szCs w:val="20"/>
    </w:rPr>
  </w:style>
  <w:style w:type="paragraph" w:styleId="7">
    <w:name w:val="Document Map"/>
    <w:basedOn w:val="1"/>
    <w:link w:val="62"/>
    <w:qFormat/>
    <w:uiPriority w:val="0"/>
    <w:pPr>
      <w:shd w:val="clear" w:color="auto" w:fill="000080"/>
    </w:pPr>
    <w:rPr>
      <w:rFonts w:ascii="Times New Roman" w:hAnsi="Times New Roman" w:cs="Times New Roman"/>
      <w:szCs w:val="20"/>
    </w:rPr>
  </w:style>
  <w:style w:type="paragraph" w:styleId="8">
    <w:name w:val="annotation text"/>
    <w:basedOn w:val="1"/>
    <w:link w:val="36"/>
    <w:qFormat/>
    <w:uiPriority w:val="99"/>
    <w:pPr>
      <w:widowControl/>
      <w:jc w:val="left"/>
    </w:pPr>
    <w:rPr>
      <w:rFonts w:ascii="宋体" w:hAnsi="宋体"/>
      <w:kern w:val="0"/>
      <w:sz w:val="24"/>
      <w:szCs w:val="24"/>
    </w:rPr>
  </w:style>
  <w:style w:type="paragraph" w:styleId="9">
    <w:name w:val="Body Text"/>
    <w:basedOn w:val="1"/>
    <w:link w:val="55"/>
    <w:qFormat/>
    <w:uiPriority w:val="0"/>
    <w:pPr>
      <w:autoSpaceDE w:val="0"/>
      <w:autoSpaceDN w:val="0"/>
      <w:adjustRightInd w:val="0"/>
      <w:spacing w:line="360" w:lineRule="auto"/>
      <w:jc w:val="left"/>
    </w:pPr>
    <w:rPr>
      <w:rFonts w:ascii="宋体"/>
      <w:kern w:val="0"/>
      <w:sz w:val="20"/>
      <w:szCs w:val="20"/>
    </w:rPr>
  </w:style>
  <w:style w:type="paragraph" w:styleId="10">
    <w:name w:val="toc 3"/>
    <w:basedOn w:val="1"/>
    <w:next w:val="1"/>
    <w:qFormat/>
    <w:uiPriority w:val="39"/>
    <w:pPr>
      <w:widowControl/>
      <w:spacing w:after="100" w:line="276" w:lineRule="auto"/>
      <w:ind w:left="440"/>
      <w:jc w:val="left"/>
    </w:pPr>
    <w:rPr>
      <w:kern w:val="0"/>
      <w:sz w:val="22"/>
    </w:rPr>
  </w:style>
  <w:style w:type="paragraph" w:styleId="11">
    <w:name w:val="Plain Text"/>
    <w:basedOn w:val="1"/>
    <w:link w:val="63"/>
    <w:qFormat/>
    <w:uiPriority w:val="0"/>
    <w:pPr>
      <w:adjustRightInd w:val="0"/>
      <w:spacing w:line="312" w:lineRule="atLeast"/>
      <w:textAlignment w:val="baseline"/>
    </w:pPr>
    <w:rPr>
      <w:rFonts w:ascii="宋体" w:hAnsi="Courier New" w:cs="Times New Roman"/>
      <w:kern w:val="0"/>
      <w:szCs w:val="20"/>
    </w:rPr>
  </w:style>
  <w:style w:type="paragraph" w:styleId="12">
    <w:name w:val="Body Text Indent 2"/>
    <w:basedOn w:val="1"/>
    <w:link w:val="70"/>
    <w:qFormat/>
    <w:uiPriority w:val="0"/>
    <w:pPr>
      <w:spacing w:line="360" w:lineRule="auto"/>
      <w:ind w:firstLine="425"/>
    </w:pPr>
    <w:rPr>
      <w:rFonts w:ascii="仿宋_GB2312" w:hAnsi="Times New Roman" w:eastAsia="仿宋_GB2312" w:cs="Times New Roman"/>
      <w:sz w:val="28"/>
      <w:szCs w:val="20"/>
    </w:rPr>
  </w:style>
  <w:style w:type="paragraph" w:styleId="13">
    <w:name w:val="Balloon Text"/>
    <w:basedOn w:val="1"/>
    <w:link w:val="37"/>
    <w:qFormat/>
    <w:uiPriority w:val="99"/>
    <w:rPr>
      <w:sz w:val="18"/>
      <w:szCs w:val="18"/>
    </w:rPr>
  </w:style>
  <w:style w:type="paragraph" w:styleId="14">
    <w:name w:val="footer"/>
    <w:basedOn w:val="1"/>
    <w:link w:val="33"/>
    <w:qFormat/>
    <w:uiPriority w:val="99"/>
    <w:pPr>
      <w:tabs>
        <w:tab w:val="center" w:pos="4153"/>
        <w:tab w:val="right" w:pos="8306"/>
      </w:tabs>
      <w:snapToGrid w:val="0"/>
      <w:jc w:val="left"/>
    </w:pPr>
    <w:rPr>
      <w:sz w:val="18"/>
      <w:szCs w:val="18"/>
    </w:rPr>
  </w:style>
  <w:style w:type="paragraph" w:styleId="15">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widowControl/>
      <w:spacing w:after="100" w:line="276" w:lineRule="auto"/>
      <w:jc w:val="left"/>
    </w:pPr>
    <w:rPr>
      <w:kern w:val="0"/>
      <w:sz w:val="22"/>
    </w:rPr>
  </w:style>
  <w:style w:type="paragraph" w:styleId="17">
    <w:name w:val="footnote text"/>
    <w:basedOn w:val="1"/>
    <w:link w:val="71"/>
    <w:qFormat/>
    <w:uiPriority w:val="0"/>
    <w:pPr>
      <w:snapToGrid w:val="0"/>
      <w:jc w:val="left"/>
    </w:pPr>
    <w:rPr>
      <w:rFonts w:ascii="Times New Roman" w:hAnsi="Times New Roman" w:cs="Times New Roman"/>
      <w:sz w:val="18"/>
      <w:szCs w:val="20"/>
    </w:rPr>
  </w:style>
  <w:style w:type="paragraph" w:styleId="18">
    <w:name w:val="Body Text Indent 3"/>
    <w:basedOn w:val="1"/>
    <w:link w:val="69"/>
    <w:qFormat/>
    <w:uiPriority w:val="0"/>
    <w:pPr>
      <w:autoSpaceDE w:val="0"/>
      <w:autoSpaceDN w:val="0"/>
      <w:adjustRightInd w:val="0"/>
      <w:spacing w:line="360" w:lineRule="auto"/>
      <w:ind w:left="420" w:firstLine="435"/>
    </w:pPr>
    <w:rPr>
      <w:rFonts w:ascii="Times New Roman" w:hAnsi="Times New Roman" w:cs="Times New Roman"/>
      <w:color w:val="0000FF"/>
      <w:szCs w:val="20"/>
    </w:rPr>
  </w:style>
  <w:style w:type="paragraph" w:styleId="19">
    <w:name w:val="toc 2"/>
    <w:basedOn w:val="1"/>
    <w:next w:val="1"/>
    <w:qFormat/>
    <w:uiPriority w:val="39"/>
    <w:pPr>
      <w:widowControl/>
      <w:spacing w:after="100" w:line="276" w:lineRule="auto"/>
      <w:ind w:left="220"/>
      <w:jc w:val="left"/>
    </w:pPr>
    <w:rPr>
      <w:kern w:val="0"/>
      <w:sz w:val="22"/>
    </w:rPr>
  </w:style>
  <w:style w:type="paragraph" w:styleId="20">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2">
    <w:name w:val="Title"/>
    <w:basedOn w:val="1"/>
    <w:next w:val="1"/>
    <w:link w:val="54"/>
    <w:qFormat/>
    <w:uiPriority w:val="0"/>
    <w:pPr>
      <w:spacing w:before="240" w:after="60"/>
      <w:jc w:val="center"/>
      <w:outlineLvl w:val="0"/>
    </w:pPr>
    <w:rPr>
      <w:rFonts w:ascii="Cambria" w:hAnsi="Cambria"/>
      <w:b/>
      <w:sz w:val="32"/>
      <w:szCs w:val="20"/>
    </w:rPr>
  </w:style>
  <w:style w:type="paragraph" w:styleId="23">
    <w:name w:val="annotation subject"/>
    <w:basedOn w:val="8"/>
    <w:next w:val="8"/>
    <w:link w:val="42"/>
    <w:qFormat/>
    <w:uiPriority w:val="0"/>
    <w:pPr>
      <w:widowControl w:val="0"/>
    </w:pPr>
    <w:rPr>
      <w:rFonts w:ascii="Calibri" w:hAnsi="Calibri"/>
      <w:b/>
      <w:bCs/>
      <w:kern w:val="2"/>
      <w:sz w:val="21"/>
      <w:szCs w:val="22"/>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22"/>
    <w:rPr>
      <w:b/>
      <w:bCs/>
    </w:rPr>
  </w:style>
  <w:style w:type="character" w:styleId="28">
    <w:name w:val="page number"/>
    <w:basedOn w:val="26"/>
    <w:qFormat/>
    <w:uiPriority w:val="0"/>
  </w:style>
  <w:style w:type="character" w:styleId="29">
    <w:name w:val="Hyperlink"/>
    <w:basedOn w:val="26"/>
    <w:unhideWhenUsed/>
    <w:qFormat/>
    <w:uiPriority w:val="99"/>
    <w:rPr>
      <w:color w:val="0000FF" w:themeColor="hyperlink"/>
      <w:u w:val="single"/>
      <w14:textFill>
        <w14:solidFill>
          <w14:schemeClr w14:val="hlink"/>
        </w14:solidFill>
      </w14:textFill>
    </w:rPr>
  </w:style>
  <w:style w:type="character" w:styleId="30">
    <w:name w:val="annotation reference"/>
    <w:qFormat/>
    <w:uiPriority w:val="0"/>
    <w:rPr>
      <w:sz w:val="21"/>
      <w:szCs w:val="21"/>
    </w:rPr>
  </w:style>
  <w:style w:type="character" w:styleId="31">
    <w:name w:val="footnote reference"/>
    <w:qFormat/>
    <w:uiPriority w:val="0"/>
    <w:rPr>
      <w:vertAlign w:val="superscript"/>
    </w:rPr>
  </w:style>
  <w:style w:type="character" w:customStyle="1" w:styleId="32">
    <w:name w:val="页眉 Char"/>
    <w:basedOn w:val="26"/>
    <w:link w:val="15"/>
    <w:qFormat/>
    <w:uiPriority w:val="99"/>
    <w:rPr>
      <w:sz w:val="18"/>
      <w:szCs w:val="18"/>
    </w:rPr>
  </w:style>
  <w:style w:type="character" w:customStyle="1" w:styleId="33">
    <w:name w:val="页脚 Char"/>
    <w:basedOn w:val="26"/>
    <w:link w:val="14"/>
    <w:qFormat/>
    <w:uiPriority w:val="99"/>
    <w:rPr>
      <w:sz w:val="18"/>
      <w:szCs w:val="18"/>
    </w:rPr>
  </w:style>
  <w:style w:type="paragraph" w:customStyle="1" w:styleId="3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5">
    <w:name w:val="a"/>
    <w:basedOn w:val="1"/>
    <w:qFormat/>
    <w:uiPriority w:val="99"/>
    <w:pPr>
      <w:widowControl/>
      <w:spacing w:before="100" w:beforeAutospacing="1" w:after="100" w:afterAutospacing="1"/>
      <w:jc w:val="left"/>
    </w:pPr>
    <w:rPr>
      <w:rFonts w:ascii="宋体" w:hAnsi="宋体"/>
      <w:kern w:val="0"/>
      <w:sz w:val="24"/>
      <w:szCs w:val="24"/>
    </w:rPr>
  </w:style>
  <w:style w:type="character" w:customStyle="1" w:styleId="36">
    <w:name w:val="批注文字 Char"/>
    <w:basedOn w:val="26"/>
    <w:link w:val="8"/>
    <w:qFormat/>
    <w:uiPriority w:val="99"/>
    <w:rPr>
      <w:rFonts w:ascii="宋体" w:hAnsi="宋体" w:eastAsia="宋体" w:cs="宋体"/>
      <w:kern w:val="0"/>
      <w:sz w:val="24"/>
      <w:szCs w:val="24"/>
    </w:rPr>
  </w:style>
  <w:style w:type="character" w:customStyle="1" w:styleId="37">
    <w:name w:val="批注框文本 Char"/>
    <w:basedOn w:val="26"/>
    <w:link w:val="13"/>
    <w:qFormat/>
    <w:uiPriority w:val="99"/>
    <w:rPr>
      <w:sz w:val="18"/>
      <w:szCs w:val="18"/>
    </w:rPr>
  </w:style>
  <w:style w:type="paragraph" w:styleId="38">
    <w:name w:val="List Paragraph"/>
    <w:basedOn w:val="1"/>
    <w:qFormat/>
    <w:uiPriority w:val="0"/>
    <w:pPr>
      <w:ind w:firstLine="420" w:firstLineChars="200"/>
    </w:pPr>
  </w:style>
  <w:style w:type="character" w:customStyle="1" w:styleId="39">
    <w:name w:val="标题 1 Char"/>
    <w:basedOn w:val="26"/>
    <w:link w:val="2"/>
    <w:qFormat/>
    <w:uiPriority w:val="9"/>
    <w:rPr>
      <w:b/>
      <w:bCs/>
      <w:kern w:val="44"/>
      <w:sz w:val="44"/>
      <w:szCs w:val="44"/>
    </w:rPr>
  </w:style>
  <w:style w:type="paragraph" w:customStyle="1" w:styleId="40">
    <w:name w:val="TOC 标题1"/>
    <w:basedOn w:val="2"/>
    <w:next w:val="1"/>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41">
    <w:name w:val="修订1"/>
    <w:qFormat/>
    <w:uiPriority w:val="99"/>
    <w:rPr>
      <w:rFonts w:ascii="Calibri" w:hAnsi="Calibri" w:eastAsia="宋体" w:cs="宋体"/>
      <w:kern w:val="2"/>
      <w:sz w:val="21"/>
      <w:szCs w:val="22"/>
      <w:lang w:val="en-US" w:eastAsia="zh-CN" w:bidi="ar-SA"/>
    </w:rPr>
  </w:style>
  <w:style w:type="character" w:customStyle="1" w:styleId="42">
    <w:name w:val="批注主题 Char"/>
    <w:basedOn w:val="36"/>
    <w:link w:val="23"/>
    <w:qFormat/>
    <w:uiPriority w:val="99"/>
    <w:rPr>
      <w:rFonts w:ascii="宋体" w:hAnsi="宋体" w:eastAsia="宋体" w:cs="宋体"/>
      <w:b/>
      <w:bCs/>
      <w:kern w:val="0"/>
      <w:sz w:val="24"/>
      <w:szCs w:val="24"/>
    </w:rPr>
  </w:style>
  <w:style w:type="character" w:customStyle="1" w:styleId="43">
    <w:name w:val="HTML 预设格式 Char"/>
    <w:basedOn w:val="26"/>
    <w:link w:val="20"/>
    <w:qFormat/>
    <w:uiPriority w:val="99"/>
    <w:rPr>
      <w:rFonts w:ascii="宋体" w:hAnsi="宋体" w:eastAsia="宋体" w:cs="宋体"/>
      <w:kern w:val="0"/>
      <w:sz w:val="24"/>
      <w:szCs w:val="24"/>
    </w:rPr>
  </w:style>
  <w:style w:type="paragraph" w:customStyle="1" w:styleId="44">
    <w:name w:val="p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5">
    <w:name w:val="修订2"/>
    <w:hidden/>
    <w:semiHidden/>
    <w:qFormat/>
    <w:uiPriority w:val="99"/>
    <w:rPr>
      <w:rFonts w:ascii="Calibri" w:hAnsi="Calibri" w:eastAsia="宋体" w:cs="宋体"/>
      <w:kern w:val="2"/>
      <w:sz w:val="21"/>
      <w:szCs w:val="22"/>
      <w:lang w:val="en-US" w:eastAsia="zh-CN" w:bidi="ar-SA"/>
    </w:rPr>
  </w:style>
  <w:style w:type="character" w:customStyle="1" w:styleId="46">
    <w:name w:val="批注文字 Char1"/>
    <w:basedOn w:val="26"/>
    <w:qFormat/>
    <w:uiPriority w:val="0"/>
    <w:rPr>
      <w:kern w:val="2"/>
      <w:sz w:val="21"/>
    </w:rPr>
  </w:style>
  <w:style w:type="paragraph" w:customStyle="1" w:styleId="47">
    <w:name w:val="修订3"/>
    <w:hidden/>
    <w:semiHidden/>
    <w:qFormat/>
    <w:uiPriority w:val="99"/>
    <w:rPr>
      <w:rFonts w:ascii="Calibri" w:hAnsi="Calibri" w:eastAsia="宋体" w:cs="宋体"/>
      <w:kern w:val="2"/>
      <w:sz w:val="21"/>
      <w:szCs w:val="22"/>
      <w:lang w:val="en-US" w:eastAsia="zh-CN" w:bidi="ar-SA"/>
    </w:rPr>
  </w:style>
  <w:style w:type="paragraph" w:customStyle="1" w:styleId="48">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9">
    <w:name w:val="标题 2 Char"/>
    <w:basedOn w:val="26"/>
    <w:link w:val="3"/>
    <w:qFormat/>
    <w:uiPriority w:val="0"/>
    <w:rPr>
      <w:rFonts w:ascii="Arial" w:hAnsi="Arial" w:eastAsia="黑体" w:cs="Times New Roman"/>
      <w:b/>
      <w:kern w:val="2"/>
      <w:sz w:val="32"/>
    </w:rPr>
  </w:style>
  <w:style w:type="character" w:customStyle="1" w:styleId="50">
    <w:name w:val="标题 3 Char"/>
    <w:basedOn w:val="26"/>
    <w:link w:val="4"/>
    <w:qFormat/>
    <w:uiPriority w:val="0"/>
    <w:rPr>
      <w:rFonts w:ascii="Times New Roman" w:hAnsi="Times New Roman" w:cs="Times New Roman"/>
      <w:b/>
      <w:kern w:val="2"/>
      <w:sz w:val="32"/>
    </w:rPr>
  </w:style>
  <w:style w:type="character" w:customStyle="1" w:styleId="51">
    <w:name w:val="标题 4 Char"/>
    <w:basedOn w:val="26"/>
    <w:link w:val="5"/>
    <w:semiHidden/>
    <w:qFormat/>
    <w:uiPriority w:val="9"/>
    <w:rPr>
      <w:rFonts w:asciiTheme="majorHAnsi" w:hAnsiTheme="majorHAnsi" w:eastAsiaTheme="majorEastAsia" w:cstheme="majorBidi"/>
      <w:b/>
      <w:bCs/>
      <w:kern w:val="2"/>
      <w:sz w:val="28"/>
      <w:szCs w:val="28"/>
    </w:rPr>
  </w:style>
  <w:style w:type="character" w:customStyle="1" w:styleId="52">
    <w:name w:val="unnamed11"/>
    <w:qFormat/>
    <w:uiPriority w:val="0"/>
    <w:rPr>
      <w:rFonts w:hint="eastAsia" w:ascii="宋体" w:hAnsi="宋体" w:eastAsia="宋体"/>
      <w:sz w:val="18"/>
    </w:rPr>
  </w:style>
  <w:style w:type="character" w:customStyle="1" w:styleId="53">
    <w:name w:val="read"/>
    <w:basedOn w:val="26"/>
    <w:qFormat/>
    <w:uiPriority w:val="0"/>
  </w:style>
  <w:style w:type="character" w:customStyle="1" w:styleId="54">
    <w:name w:val="标题 Char"/>
    <w:link w:val="22"/>
    <w:qFormat/>
    <w:uiPriority w:val="0"/>
    <w:rPr>
      <w:rFonts w:ascii="Cambria" w:hAnsi="Cambria"/>
      <w:b/>
      <w:kern w:val="2"/>
      <w:sz w:val="32"/>
    </w:rPr>
  </w:style>
  <w:style w:type="character" w:customStyle="1" w:styleId="55">
    <w:name w:val="正文文本 Char"/>
    <w:link w:val="9"/>
    <w:qFormat/>
    <w:uiPriority w:val="0"/>
    <w:rPr>
      <w:rFonts w:ascii="宋体"/>
    </w:rPr>
  </w:style>
  <w:style w:type="paragraph" w:customStyle="1" w:styleId="56">
    <w:name w:val="Char"/>
    <w:basedOn w:val="1"/>
    <w:qFormat/>
    <w:uiPriority w:val="0"/>
    <w:rPr>
      <w:rFonts w:ascii="Times New Roman" w:hAnsi="Times New Roman" w:cs="Times New Roman"/>
      <w:szCs w:val="20"/>
    </w:rPr>
  </w:style>
  <w:style w:type="paragraph" w:customStyle="1" w:styleId="57">
    <w:name w:val="Char Char Char Char"/>
    <w:basedOn w:val="1"/>
    <w:qFormat/>
    <w:uiPriority w:val="0"/>
    <w:pPr>
      <w:tabs>
        <w:tab w:val="left" w:pos="360"/>
      </w:tabs>
    </w:pPr>
    <w:rPr>
      <w:rFonts w:ascii="Times New Roman" w:hAnsi="Times New Roman" w:cs="Times New Roman"/>
      <w:szCs w:val="20"/>
    </w:rPr>
  </w:style>
  <w:style w:type="paragraph" w:customStyle="1" w:styleId="58">
    <w:name w:val="Char Char1"/>
    <w:basedOn w:val="1"/>
    <w:qFormat/>
    <w:uiPriority w:val="0"/>
    <w:rPr>
      <w:rFonts w:ascii="Times New Roman" w:hAnsi="Times New Roman" w:cs="Times New Roman"/>
      <w:szCs w:val="20"/>
    </w:rPr>
  </w:style>
  <w:style w:type="paragraph" w:customStyle="1" w:styleId="59">
    <w:name w:val="unnamed1"/>
    <w:basedOn w:val="1"/>
    <w:qFormat/>
    <w:uiPriority w:val="0"/>
    <w:pPr>
      <w:spacing w:before="60" w:after="60"/>
      <w:ind w:left="15" w:right="15"/>
    </w:pPr>
    <w:rPr>
      <w:rFonts w:hint="eastAsia" w:ascii="宋体" w:hAnsi="宋体" w:cs="Times New Roman"/>
      <w:color w:val="000000"/>
      <w:sz w:val="18"/>
      <w:szCs w:val="18"/>
    </w:rPr>
  </w:style>
  <w:style w:type="paragraph" w:customStyle="1" w:styleId="60">
    <w:name w:val="正文正文"/>
    <w:basedOn w:val="1"/>
    <w:qFormat/>
    <w:uiPriority w:val="0"/>
    <w:pPr>
      <w:spacing w:afterLines="25" w:line="360" w:lineRule="auto"/>
      <w:ind w:firstLine="200" w:firstLineChars="200"/>
    </w:pPr>
    <w:rPr>
      <w:rFonts w:ascii="Times New Roman" w:hAnsi="Times New Roman" w:cs="Times New Roman"/>
      <w:sz w:val="24"/>
      <w:szCs w:val="20"/>
    </w:rPr>
  </w:style>
  <w:style w:type="paragraph" w:customStyle="1" w:styleId="61">
    <w:name w:val="Char2"/>
    <w:basedOn w:val="1"/>
    <w:qFormat/>
    <w:uiPriority w:val="0"/>
    <w:rPr>
      <w:rFonts w:ascii="Times New Roman" w:hAnsi="Times New Roman" w:cs="Times New Roman"/>
      <w:szCs w:val="20"/>
    </w:rPr>
  </w:style>
  <w:style w:type="character" w:customStyle="1" w:styleId="62">
    <w:name w:val="文档结构图 Char"/>
    <w:basedOn w:val="26"/>
    <w:link w:val="7"/>
    <w:qFormat/>
    <w:uiPriority w:val="0"/>
    <w:rPr>
      <w:rFonts w:ascii="Times New Roman" w:hAnsi="Times New Roman" w:cs="Times New Roman"/>
      <w:kern w:val="2"/>
      <w:sz w:val="21"/>
      <w:shd w:val="clear" w:color="auto" w:fill="000080"/>
    </w:rPr>
  </w:style>
  <w:style w:type="character" w:customStyle="1" w:styleId="63">
    <w:name w:val="纯文本 Char"/>
    <w:basedOn w:val="26"/>
    <w:link w:val="11"/>
    <w:qFormat/>
    <w:uiPriority w:val="0"/>
    <w:rPr>
      <w:rFonts w:ascii="宋体" w:hAnsi="Courier New" w:cs="Times New Roman"/>
      <w:sz w:val="21"/>
    </w:rPr>
  </w:style>
  <w:style w:type="paragraph" w:customStyle="1" w:styleId="64">
    <w:name w:val="Char Char"/>
    <w:basedOn w:val="1"/>
    <w:qFormat/>
    <w:uiPriority w:val="0"/>
    <w:rPr>
      <w:rFonts w:ascii="Times New Roman" w:hAnsi="Times New Roman" w:cs="Times New Roman"/>
      <w:szCs w:val="20"/>
    </w:rPr>
  </w:style>
  <w:style w:type="character" w:customStyle="1" w:styleId="65">
    <w:name w:val="正文文本 Char1"/>
    <w:basedOn w:val="26"/>
    <w:semiHidden/>
    <w:qFormat/>
    <w:uiPriority w:val="99"/>
    <w:rPr>
      <w:kern w:val="2"/>
      <w:sz w:val="21"/>
      <w:szCs w:val="22"/>
    </w:rPr>
  </w:style>
  <w:style w:type="character" w:customStyle="1" w:styleId="66">
    <w:name w:val="标题 Char1"/>
    <w:basedOn w:val="26"/>
    <w:qFormat/>
    <w:uiPriority w:val="10"/>
    <w:rPr>
      <w:rFonts w:asciiTheme="majorHAnsi" w:hAnsiTheme="majorHAnsi" w:cstheme="majorBidi"/>
      <w:b/>
      <w:bCs/>
      <w:kern w:val="2"/>
      <w:sz w:val="32"/>
      <w:szCs w:val="32"/>
    </w:rPr>
  </w:style>
  <w:style w:type="paragraph" w:customStyle="1" w:styleId="67">
    <w:name w:val="Char Char Char"/>
    <w:basedOn w:val="1"/>
    <w:qFormat/>
    <w:uiPriority w:val="0"/>
    <w:rPr>
      <w:rFonts w:ascii="Times New Roman" w:hAnsi="Times New Roman" w:cs="Times New Roman"/>
      <w:szCs w:val="20"/>
    </w:rPr>
  </w:style>
  <w:style w:type="paragraph" w:customStyle="1" w:styleId="68">
    <w:name w:val="msonormal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69">
    <w:name w:val="正文文本缩进 3 Char"/>
    <w:basedOn w:val="26"/>
    <w:link w:val="18"/>
    <w:qFormat/>
    <w:uiPriority w:val="0"/>
    <w:rPr>
      <w:rFonts w:ascii="Times New Roman" w:hAnsi="Times New Roman" w:cs="Times New Roman"/>
      <w:color w:val="0000FF"/>
      <w:kern w:val="2"/>
      <w:sz w:val="21"/>
    </w:rPr>
  </w:style>
  <w:style w:type="character" w:customStyle="1" w:styleId="70">
    <w:name w:val="正文文本缩进 2 Char"/>
    <w:basedOn w:val="26"/>
    <w:link w:val="12"/>
    <w:qFormat/>
    <w:uiPriority w:val="0"/>
    <w:rPr>
      <w:rFonts w:ascii="仿宋_GB2312" w:hAnsi="Times New Roman" w:eastAsia="仿宋_GB2312" w:cs="Times New Roman"/>
      <w:kern w:val="2"/>
      <w:sz w:val="28"/>
    </w:rPr>
  </w:style>
  <w:style w:type="character" w:customStyle="1" w:styleId="71">
    <w:name w:val="脚注文本 Char"/>
    <w:basedOn w:val="26"/>
    <w:link w:val="17"/>
    <w:qFormat/>
    <w:uiPriority w:val="0"/>
    <w:rPr>
      <w:rFonts w:ascii="Times New Roman" w:hAnsi="Times New Roman" w:cs="Times New Roman"/>
      <w:kern w:val="2"/>
      <w:sz w:val="18"/>
    </w:rPr>
  </w:style>
  <w:style w:type="paragraph" w:customStyle="1" w:styleId="72">
    <w:name w:val="List_bullet"/>
    <w:basedOn w:val="1"/>
    <w:qFormat/>
    <w:uiPriority w:val="0"/>
    <w:pPr>
      <w:widowControl/>
      <w:numPr>
        <w:ilvl w:val="0"/>
        <w:numId w:val="1"/>
      </w:numPr>
      <w:jc w:val="left"/>
    </w:pPr>
    <w:rPr>
      <w:rFonts w:ascii="Times New Roman" w:hAnsi="Times New Roman" w:cs="Times New Roman"/>
      <w:kern w:val="0"/>
      <w:sz w:val="24"/>
      <w:szCs w:val="20"/>
    </w:rPr>
  </w:style>
  <w:style w:type="paragraph" w:customStyle="1" w:styleId="73">
    <w:name w:val="InfoBlue"/>
    <w:basedOn w:val="1"/>
    <w:next w:val="9"/>
    <w:qFormat/>
    <w:uiPriority w:val="0"/>
    <w:pPr>
      <w:tabs>
        <w:tab w:val="left" w:pos="420"/>
      </w:tabs>
      <w:spacing w:after="120" w:line="240" w:lineRule="atLeast"/>
      <w:ind w:left="420" w:hanging="420"/>
      <w:jc w:val="left"/>
    </w:pPr>
    <w:rPr>
      <w:rFonts w:ascii="宋体" w:hAnsi="宋体" w:cs="Times New Roman"/>
      <w:szCs w:val="20"/>
    </w:rPr>
  </w:style>
  <w:style w:type="paragraph" w:customStyle="1" w:styleId="74">
    <w:name w:val="正文所"/>
    <w:basedOn w:val="1"/>
    <w:qFormat/>
    <w:uiPriority w:val="0"/>
    <w:pPr>
      <w:spacing w:line="360" w:lineRule="auto"/>
      <w:ind w:firstLine="420" w:firstLineChars="200"/>
    </w:pPr>
    <w:rPr>
      <w:rFonts w:ascii="宋体" w:hAnsi="Times New Roman" w:cs="Times New Roman"/>
      <w:szCs w:val="20"/>
    </w:rPr>
  </w:style>
  <w:style w:type="paragraph" w:customStyle="1" w:styleId="75">
    <w:name w:val="Char Char6"/>
    <w:basedOn w:val="1"/>
    <w:qFormat/>
    <w:uiPriority w:val="0"/>
    <w:rPr>
      <w:rFonts w:ascii="Times New Roman" w:hAnsi="Times New Roman" w:cs="Times New Roman"/>
      <w:szCs w:val="20"/>
    </w:rPr>
  </w:style>
  <w:style w:type="paragraph" w:customStyle="1" w:styleId="76">
    <w:name w:val="Char Char Char Char1"/>
    <w:basedOn w:val="1"/>
    <w:qFormat/>
    <w:uiPriority w:val="0"/>
    <w:pPr>
      <w:tabs>
        <w:tab w:val="left" w:pos="360"/>
      </w:tabs>
    </w:pPr>
    <w:rPr>
      <w:rFonts w:ascii="Times New Roman" w:hAnsi="Times New Roman" w:cs="Times New Roman"/>
      <w:szCs w:val="20"/>
    </w:rPr>
  </w:style>
  <w:style w:type="paragraph" w:customStyle="1" w:styleId="77">
    <w:name w:val="Char Char11"/>
    <w:basedOn w:val="1"/>
    <w:qFormat/>
    <w:uiPriority w:val="0"/>
    <w:rPr>
      <w:rFonts w:ascii="Times New Roman" w:hAnsi="Times New Roman" w:cs="Times New Roman"/>
      <w:szCs w:val="20"/>
    </w:rPr>
  </w:style>
  <w:style w:type="paragraph" w:customStyle="1" w:styleId="78">
    <w:name w:val="Char1"/>
    <w:basedOn w:val="1"/>
    <w:qFormat/>
    <w:uiPriority w:val="0"/>
    <w:rPr>
      <w:rFonts w:ascii="Times New Roman" w:hAnsi="Times New Roman" w:cs="Times New Roman"/>
      <w:szCs w:val="20"/>
    </w:rPr>
  </w:style>
  <w:style w:type="paragraph" w:customStyle="1" w:styleId="79">
    <w:name w:val="Char Char5"/>
    <w:basedOn w:val="1"/>
    <w:qFormat/>
    <w:uiPriority w:val="0"/>
    <w:rPr>
      <w:rFonts w:ascii="Times New Roman" w:hAnsi="Times New Roman" w:cs="Times New Roman"/>
      <w:szCs w:val="20"/>
    </w:rPr>
  </w:style>
  <w:style w:type="paragraph" w:customStyle="1" w:styleId="80">
    <w:name w:val="Char Char Char1"/>
    <w:basedOn w:val="1"/>
    <w:qFormat/>
    <w:uiPriority w:val="0"/>
    <w:rPr>
      <w:rFonts w:ascii="Times New Roman" w:hAnsi="Times New Roman" w:cs="Times New Roman"/>
      <w:szCs w:val="20"/>
    </w:rPr>
  </w:style>
  <w:style w:type="paragraph" w:customStyle="1" w:styleId="81">
    <w:name w:val="Char Char4"/>
    <w:basedOn w:val="1"/>
    <w:qFormat/>
    <w:uiPriority w:val="0"/>
    <w:rPr>
      <w:rFonts w:ascii="Times New Roman" w:hAnsi="Times New Roman" w:cs="Times New Roman"/>
      <w:szCs w:val="20"/>
    </w:rPr>
  </w:style>
  <w:style w:type="paragraph" w:customStyle="1" w:styleId="82">
    <w:name w:val="Char Char3"/>
    <w:basedOn w:val="1"/>
    <w:qFormat/>
    <w:uiPriority w:val="0"/>
    <w:rPr>
      <w:rFonts w:ascii="Times New Roman" w:hAnsi="Times New Roman" w:cs="Times New Roman"/>
      <w:szCs w:val="20"/>
    </w:rPr>
  </w:style>
  <w:style w:type="paragraph" w:customStyle="1" w:styleId="83">
    <w:name w:val="Char Char2"/>
    <w:basedOn w:val="1"/>
    <w:qFormat/>
    <w:uiPriority w:val="0"/>
    <w:rPr>
      <w:rFonts w:ascii="Times New Roman" w:hAnsi="Times New Roman" w:cs="Times New Roman"/>
      <w:szCs w:val="20"/>
    </w:rPr>
  </w:style>
  <w:style w:type="paragraph" w:customStyle="1" w:styleId="84">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2108FF18-8EC8-4170-A536-1AA8E39CC797}">
  <ds:schemaRefs/>
</ds:datastoreItem>
</file>

<file path=customXml/itemProps11.xml><?xml version="1.0" encoding="utf-8"?>
<ds:datastoreItem xmlns:ds="http://schemas.openxmlformats.org/officeDocument/2006/customXml" ds:itemID="{13788B01-67F8-4750-A84D-8E143C0AEF8A}">
  <ds:schemaRefs/>
</ds:datastoreItem>
</file>

<file path=customXml/itemProps12.xml><?xml version="1.0" encoding="utf-8"?>
<ds:datastoreItem xmlns:ds="http://schemas.openxmlformats.org/officeDocument/2006/customXml" ds:itemID="{3A3C3A8D-C5E4-45AF-8B48-C3BF528808AD}">
  <ds:schemaRefs/>
</ds:datastoreItem>
</file>

<file path=customXml/itemProps13.xml><?xml version="1.0" encoding="utf-8"?>
<ds:datastoreItem xmlns:ds="http://schemas.openxmlformats.org/officeDocument/2006/customXml" ds:itemID="{E6D3D55C-3DD8-4C31-8069-E5508DD844FB}">
  <ds:schemaRefs/>
</ds:datastoreItem>
</file>

<file path=customXml/itemProps14.xml><?xml version="1.0" encoding="utf-8"?>
<ds:datastoreItem xmlns:ds="http://schemas.openxmlformats.org/officeDocument/2006/customXml" ds:itemID="{1990A2D8-324F-45D5-B9CD-07245ED2860B}">
  <ds:schemaRefs/>
</ds:datastoreItem>
</file>

<file path=customXml/itemProps15.xml><?xml version="1.0" encoding="utf-8"?>
<ds:datastoreItem xmlns:ds="http://schemas.openxmlformats.org/officeDocument/2006/customXml" ds:itemID="{79B37214-9E52-4241-8DD2-9E9CD9442006}">
  <ds:schemaRefs/>
</ds:datastoreItem>
</file>

<file path=customXml/itemProps16.xml><?xml version="1.0" encoding="utf-8"?>
<ds:datastoreItem xmlns:ds="http://schemas.openxmlformats.org/officeDocument/2006/customXml" ds:itemID="{AC86F3EB-DB57-4B60-8A7E-BBB67A22EE0B}">
  <ds:schemaRefs/>
</ds:datastoreItem>
</file>

<file path=customXml/itemProps17.xml><?xml version="1.0" encoding="utf-8"?>
<ds:datastoreItem xmlns:ds="http://schemas.openxmlformats.org/officeDocument/2006/customXml" ds:itemID="{BEEE0313-55EB-45FA-BBBD-C0232D367255}">
  <ds:schemaRefs/>
</ds:datastoreItem>
</file>

<file path=customXml/itemProps18.xml><?xml version="1.0" encoding="utf-8"?>
<ds:datastoreItem xmlns:ds="http://schemas.openxmlformats.org/officeDocument/2006/customXml" ds:itemID="{0A7AA9EF-3B8C-4BAA-9155-A6E3E5337D3C}">
  <ds:schemaRefs/>
</ds:datastoreItem>
</file>

<file path=customXml/itemProps2.xml><?xml version="1.0" encoding="utf-8"?>
<ds:datastoreItem xmlns:ds="http://schemas.openxmlformats.org/officeDocument/2006/customXml" ds:itemID="{9114D43D-ED98-4C7B-A3AE-26D78B80CA82}">
  <ds:schemaRefs/>
</ds:datastoreItem>
</file>

<file path=customXml/itemProps3.xml><?xml version="1.0" encoding="utf-8"?>
<ds:datastoreItem xmlns:ds="http://schemas.openxmlformats.org/officeDocument/2006/customXml" ds:itemID="{D902962D-C8CC-43BF-804A-CD60AE6D7475}">
  <ds:schemaRefs/>
</ds:datastoreItem>
</file>

<file path=customXml/itemProps4.xml><?xml version="1.0" encoding="utf-8"?>
<ds:datastoreItem xmlns:ds="http://schemas.openxmlformats.org/officeDocument/2006/customXml" ds:itemID="{CF487381-D648-48A1-B1E4-A4540B0D3650}">
  <ds:schemaRefs/>
</ds:datastoreItem>
</file>

<file path=customXml/itemProps5.xml><?xml version="1.0" encoding="utf-8"?>
<ds:datastoreItem xmlns:ds="http://schemas.openxmlformats.org/officeDocument/2006/customXml" ds:itemID="{7E5C9D84-6DB6-48FB-8632-D5279FC233C8}">
  <ds:schemaRefs/>
</ds:datastoreItem>
</file>

<file path=customXml/itemProps6.xml><?xml version="1.0" encoding="utf-8"?>
<ds:datastoreItem xmlns:ds="http://schemas.openxmlformats.org/officeDocument/2006/customXml" ds:itemID="{1A3BDF38-4832-4575-A8AB-7A1679738229}">
  <ds:schemaRefs/>
</ds:datastoreItem>
</file>

<file path=customXml/itemProps7.xml><?xml version="1.0" encoding="utf-8"?>
<ds:datastoreItem xmlns:ds="http://schemas.openxmlformats.org/officeDocument/2006/customXml" ds:itemID="{509BA638-9D3A-4AA3-A169-FF78BC0E4BE9}">
  <ds:schemaRefs/>
</ds:datastoreItem>
</file>

<file path=customXml/itemProps8.xml><?xml version="1.0" encoding="utf-8"?>
<ds:datastoreItem xmlns:ds="http://schemas.openxmlformats.org/officeDocument/2006/customXml" ds:itemID="{EC45DDBE-A426-47CA-BC62-D025DE29F1BC}">
  <ds:schemaRefs/>
</ds:datastoreItem>
</file>

<file path=customXml/itemProps9.xml><?xml version="1.0" encoding="utf-8"?>
<ds:datastoreItem xmlns:ds="http://schemas.openxmlformats.org/officeDocument/2006/customXml" ds:itemID="{A06CD169-7F5C-4082-81B2-6ECAA9AF614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3665</Words>
  <Characters>20891</Characters>
  <Lines>174</Lines>
  <Paragraphs>49</Paragraphs>
  <TotalTime>98</TotalTime>
  <ScaleCrop>false</ScaleCrop>
  <LinksUpToDate>false</LinksUpToDate>
  <CharactersWithSpaces>24507</CharactersWithSpaces>
  <Application>WPS Office_11.8.2.10154_F1E327BC-269C-435d-A152-05C5408002CA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2023-11-02T08:56:00Z</dcterms:created>
  <dc:creator>张淼雯</dc:creator>
  <cp:lastModifiedBy>cib</cp:lastModifiedBy>
  <cp:lastPrinted>2020-09-21T06:35:00Z</cp:lastPrinted>
  <dcterms:modified xsi:type="dcterms:W3CDTF">2024-03-26T02:14:11Z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0EC4E53844084BB8BF9E6D0327B3F36C</vt:lpwstr>
  </property>
</Properties>
</file>