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24" w:leftChars="52" w:hanging="15"/>
        <w:jc w:val="center"/>
        <w:rPr>
          <w:rFonts w:ascii="Arial" w:hAnsi="Arial" w:cs="Arial"/>
          <w:b/>
          <w:bCs/>
          <w:color w:val="000000"/>
          <w:sz w:val="28"/>
          <w:szCs w:val="21"/>
        </w:rPr>
      </w:pPr>
      <w:r>
        <w:rPr>
          <w:rFonts w:hint="eastAsia" w:ascii="Arial" w:hAnsi="Arial" w:cs="Arial"/>
          <w:b/>
          <w:bCs/>
          <w:color w:val="000000"/>
          <w:sz w:val="28"/>
          <w:szCs w:val="21"/>
          <w:lang w:eastAsia="zh-CN"/>
        </w:rPr>
        <w:t>平安理财灵活成长创利日开90天持有2号固收类理财产品</w:t>
      </w:r>
      <w:r>
        <w:rPr>
          <w:rFonts w:ascii="Arial" w:hAnsi="Arial" w:cs="Arial"/>
          <w:b/>
          <w:bCs/>
          <w:color w:val="000000"/>
          <w:sz w:val="28"/>
          <w:szCs w:val="21"/>
        </w:rPr>
        <w:t>说明</w:t>
      </w:r>
      <w:r>
        <w:rPr>
          <w:rFonts w:ascii="Arial" w:hAnsi="Arial" w:cs="Arial"/>
          <w:b/>
          <w:sz w:val="28"/>
          <w:szCs w:val="21"/>
        </w:rPr>
        <w:t>书</w:t>
      </w:r>
    </w:p>
    <w:p>
      <w:pPr>
        <w:spacing w:line="360" w:lineRule="auto"/>
        <w:ind w:left="141" w:leftChars="67" w:firstLine="426"/>
        <w:rPr>
          <w:rStyle w:val="14"/>
          <w:rFonts w:ascii="Arial" w:hAnsi="Arial" w:cs="Arial"/>
          <w:snapToGrid w:val="0"/>
          <w:color w:val="000000"/>
          <w:sz w:val="28"/>
          <w:szCs w:val="28"/>
        </w:rPr>
      </w:pPr>
      <w:r>
        <w:rPr>
          <w:rFonts w:ascii="Arial" w:hAnsi="Arial" w:cs="Arial"/>
          <w:color w:val="000000"/>
        </w:rPr>
        <mc:AlternateContent>
          <mc:Choice Requires="wps">
            <w:drawing>
              <wp:anchor distT="0" distB="0" distL="114300" distR="114300" simplePos="0" relativeHeight="251659264" behindDoc="1" locked="0" layoutInCell="1" allowOverlap="1">
                <wp:simplePos x="0" y="0"/>
                <wp:positionH relativeFrom="column">
                  <wp:posOffset>-45085</wp:posOffset>
                </wp:positionH>
                <wp:positionV relativeFrom="paragraph">
                  <wp:posOffset>134620</wp:posOffset>
                </wp:positionV>
                <wp:extent cx="5724525" cy="7632700"/>
                <wp:effectExtent l="0" t="0" r="28575" b="254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24525" cy="7632700"/>
                        </a:xfrm>
                        <a:prstGeom prst="rect">
                          <a:avLst/>
                        </a:prstGeom>
                        <a:noFill/>
                        <a:ln w="19050">
                          <a:solidFill>
                            <a:srgbClr val="000000"/>
                          </a:solidFill>
                          <a:miter lim="800000"/>
                        </a:ln>
                      </wps:spPr>
                      <wps:txbx>
                        <w:txbxContent>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hint="eastAsia" w:ascii="宋体" w:hAnsi="宋体"/>
                                <w:b/>
                                <w:sz w:val="22"/>
                              </w:rPr>
                              <w:t>理财非存款，产品有风险，投资须谨慎。</w:t>
                            </w:r>
                            <w:r>
                              <w:rPr>
                                <w:rFonts w:ascii="Arial" w:hAnsi="Arial" w:cs="Arial" w:eastAsiaTheme="minorEastAsia"/>
                                <w:b/>
                                <w:sz w:val="22"/>
                              </w:rPr>
                              <w:t>理财产品过往业绩不代表其未来表现，不等于理财产品实际收益，投资须谨慎</w:t>
                            </w:r>
                            <w:r>
                              <w:rPr>
                                <w:rFonts w:hint="eastAsia" w:ascii="Arial" w:hAnsi="Arial" w:cs="Arial" w:eastAsiaTheme="minorEastAsia"/>
                                <w:b/>
                                <w:sz w:val="22"/>
                              </w:rPr>
                              <w:t>。</w:t>
                            </w:r>
                            <w:r>
                              <w:rPr>
                                <w:rFonts w:ascii="Arial" w:hAnsi="Arial" w:cs="Arial" w:eastAsiaTheme="minorEastAsia"/>
                                <w:b/>
                                <w:sz w:val="22"/>
                              </w:rPr>
                              <w:t>平安理财有限责任公司（以下简称“平安理财”</w:t>
                            </w:r>
                            <w:r>
                              <w:rPr>
                                <w:rFonts w:hint="eastAsia" w:ascii="Arial" w:hAnsi="Arial" w:cs="Arial" w:eastAsiaTheme="minorEastAsia"/>
                                <w:b/>
                                <w:sz w:val="22"/>
                              </w:rPr>
                              <w:t>、“管理人”</w:t>
                            </w:r>
                            <w:r>
                              <w:rPr>
                                <w:rFonts w:ascii="Arial" w:hAnsi="Arial" w:cs="Arial" w:eastAsiaTheme="minorEastAsia"/>
                                <w:b/>
                                <w:sz w:val="22"/>
                              </w:rPr>
                              <w:t>）不承诺本理财产品一定盈利，也不承诺最低收益。</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ascii="Arial" w:hAnsi="Arial" w:cs="Arial" w:eastAsiaTheme="minorEastAsia"/>
                                <w:b/>
                                <w:sz w:val="22"/>
                              </w:rPr>
                              <w:t>本理财产品仅向依据中华人民共和国有关法律法规及本理财产品说明书约定可以购买本理财产品的投资者发售。</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ascii="Arial" w:hAnsi="Arial" w:cs="Arial" w:eastAsiaTheme="minorEastAsia"/>
                                <w:b/>
                                <w:sz w:val="22"/>
                              </w:rPr>
                              <w:t>投资者不得使用贷款、发行债券等筹集的非自有资金投资本理财产品；投资者承诺其投资</w:t>
                            </w:r>
                            <w:r>
                              <w:rPr>
                                <w:rFonts w:hint="eastAsia" w:ascii="Arial" w:hAnsi="Arial" w:cs="Arial" w:eastAsiaTheme="minorEastAsia"/>
                                <w:b/>
                                <w:sz w:val="22"/>
                              </w:rPr>
                              <w:t>本</w:t>
                            </w:r>
                            <w:r>
                              <w:rPr>
                                <w:rFonts w:ascii="Arial" w:hAnsi="Arial" w:cs="Arial" w:eastAsiaTheme="minorEastAsia"/>
                                <w:b/>
                                <w:sz w:val="22"/>
                              </w:rPr>
                              <w:t>理财产品使用的资金来源合法合规，并且其系为合法之目的投资本理财产品，而非为洗钱等违法犯罪之目的，投资者</w:t>
                            </w:r>
                            <w:r>
                              <w:rPr>
                                <w:rFonts w:hint="eastAsia" w:ascii="Arial" w:hAnsi="Arial" w:cs="Arial" w:eastAsiaTheme="minorEastAsia"/>
                                <w:b/>
                                <w:sz w:val="22"/>
                              </w:rPr>
                              <w:t>应</w:t>
                            </w:r>
                            <w:r>
                              <w:rPr>
                                <w:rFonts w:ascii="Arial" w:hAnsi="Arial" w:cs="Arial" w:eastAsiaTheme="minorEastAsia"/>
                                <w:b/>
                                <w:sz w:val="22"/>
                              </w:rPr>
                              <w:t>配合管理人及销售服务机构开展投资者适当性管理以及客户身份识别</w:t>
                            </w:r>
                            <w:r>
                              <w:rPr>
                                <w:rFonts w:hint="eastAsia" w:ascii="Arial" w:hAnsi="Arial" w:cs="Arial" w:eastAsiaTheme="minorEastAsia"/>
                                <w:b/>
                                <w:sz w:val="22"/>
                              </w:rPr>
                              <w:t>、尽职调查</w:t>
                            </w:r>
                            <w:r>
                              <w:rPr>
                                <w:rFonts w:ascii="Arial" w:hAnsi="Arial" w:cs="Arial" w:eastAsiaTheme="minorEastAsia"/>
                                <w:b/>
                                <w:sz w:val="22"/>
                              </w:rPr>
                              <w:t>等反洗钱</w:t>
                            </w:r>
                            <w:r>
                              <w:rPr>
                                <w:rFonts w:hint="eastAsia" w:ascii="Arial" w:hAnsi="Arial" w:cs="Arial" w:eastAsiaTheme="minorEastAsia"/>
                                <w:b/>
                                <w:sz w:val="22"/>
                              </w:rPr>
                              <w:t>、反恐怖融资、反扩散融资及非居民金融账户涉税信息尽职调查等工作</w:t>
                            </w:r>
                            <w:r>
                              <w:rPr>
                                <w:rFonts w:ascii="Arial" w:hAnsi="Arial" w:cs="Arial" w:eastAsiaTheme="minorEastAsia"/>
                                <w:b/>
                                <w:sz w:val="22"/>
                              </w:rPr>
                              <w:t>，及时、真实、准确、完整提供身份信息及资金来源等信息。</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hint="eastAsia" w:ascii="Arial" w:hAnsi="Arial" w:cs="Arial" w:eastAsiaTheme="minorEastAsia"/>
                                <w:b/>
                                <w:sz w:val="22"/>
                              </w:rPr>
                              <w:t>本理财产品《</w:t>
                            </w:r>
                            <w:r>
                              <w:rPr>
                                <w:rFonts w:hint="eastAsia" w:ascii="Arial" w:hAnsi="Arial" w:cs="Arial" w:eastAsiaTheme="minorEastAsia"/>
                                <w:b/>
                                <w:sz w:val="22"/>
                                <w:lang w:eastAsia="zh-CN"/>
                              </w:rPr>
                              <w:t>平安理财灵活成长创利日开90天持有2号固收类理财产品</w:t>
                            </w:r>
                            <w:r>
                              <w:rPr>
                                <w:rFonts w:hint="eastAsia" w:ascii="Arial" w:hAnsi="Arial" w:cs="Arial" w:eastAsiaTheme="minorEastAsia"/>
                                <w:b/>
                                <w:sz w:val="22"/>
                              </w:rPr>
                              <w:t>说明书》（以下简称</w:t>
                            </w:r>
                            <w:r>
                              <w:rPr>
                                <w:rFonts w:ascii="Arial" w:hAnsi="Arial" w:cs="Arial" w:eastAsiaTheme="minorEastAsia"/>
                                <w:b/>
                                <w:sz w:val="22"/>
                              </w:rPr>
                              <w:t>“</w:t>
                            </w:r>
                            <w:r>
                              <w:rPr>
                                <w:rFonts w:hint="eastAsia" w:ascii="Arial" w:hAnsi="Arial" w:cs="Arial" w:eastAsiaTheme="minorEastAsia"/>
                                <w:b/>
                                <w:sz w:val="22"/>
                              </w:rPr>
                              <w:t>《产品说明书》</w:t>
                            </w:r>
                            <w:r>
                              <w:rPr>
                                <w:rFonts w:ascii="Arial" w:hAnsi="Arial" w:cs="Arial" w:eastAsiaTheme="minorEastAsia"/>
                                <w:b/>
                                <w:sz w:val="22"/>
                              </w:rPr>
                              <w:t>”</w:t>
                            </w:r>
                            <w:r>
                              <w:rPr>
                                <w:rFonts w:hint="eastAsia" w:ascii="Arial" w:hAnsi="Arial" w:cs="Arial" w:eastAsiaTheme="minorEastAsia"/>
                                <w:b/>
                                <w:sz w:val="22"/>
                              </w:rPr>
                              <w:t>）与《</w:t>
                            </w:r>
                            <w:r>
                              <w:rPr>
                                <w:rFonts w:hint="eastAsia" w:ascii="Arial" w:hAnsi="Arial" w:cs="Arial" w:eastAsiaTheme="minorEastAsia"/>
                                <w:b/>
                                <w:sz w:val="22"/>
                                <w:lang w:eastAsia="zh-CN"/>
                              </w:rPr>
                              <w:t>平安理财灵活成长创利日开90天持有2号固收类理财产品</w:t>
                            </w:r>
                            <w:r>
                              <w:rPr>
                                <w:rFonts w:hint="eastAsia" w:ascii="Arial" w:hAnsi="Arial" w:cs="Arial" w:eastAsiaTheme="minorEastAsia"/>
                                <w:b/>
                                <w:sz w:val="22"/>
                              </w:rPr>
                              <w:t>风险揭示书》（以下简称</w:t>
                            </w:r>
                            <w:r>
                              <w:rPr>
                                <w:rFonts w:ascii="Arial" w:hAnsi="Arial" w:cs="Arial" w:eastAsiaTheme="minorEastAsia"/>
                                <w:b/>
                                <w:sz w:val="22"/>
                              </w:rPr>
                              <w:t>“</w:t>
                            </w:r>
                            <w:r>
                              <w:rPr>
                                <w:rFonts w:hint="eastAsia" w:ascii="Arial" w:hAnsi="Arial" w:cs="Arial" w:eastAsiaTheme="minorEastAsia"/>
                                <w:b/>
                                <w:sz w:val="22"/>
                              </w:rPr>
                              <w:t>《风险揭示书》</w:t>
                            </w:r>
                            <w:r>
                              <w:rPr>
                                <w:rFonts w:ascii="Arial" w:hAnsi="Arial" w:cs="Arial" w:eastAsiaTheme="minorEastAsia"/>
                                <w:b/>
                                <w:sz w:val="22"/>
                              </w:rPr>
                              <w:t>”</w:t>
                            </w:r>
                            <w:r>
                              <w:rPr>
                                <w:rFonts w:hint="eastAsia" w:ascii="Arial" w:hAnsi="Arial" w:cs="Arial" w:eastAsiaTheme="minorEastAsia"/>
                                <w:b/>
                                <w:sz w:val="22"/>
                              </w:rPr>
                              <w:t>）、《投资协议书》、《代理销售协议书》</w:t>
                            </w:r>
                            <w:r>
                              <w:rPr>
                                <w:rFonts w:hint="eastAsia" w:ascii="Arial" w:hAnsi="Arial" w:cs="Arial"/>
                                <w:b/>
                                <w:color w:val="000000"/>
                                <w:kern w:val="0"/>
                                <w:sz w:val="22"/>
                              </w:rPr>
                              <w:t>（该文件具体名称以销售服务机构为准，下同）</w:t>
                            </w:r>
                            <w:r>
                              <w:rPr>
                                <w:rFonts w:hint="eastAsia" w:ascii="Arial" w:hAnsi="Arial" w:cs="Arial" w:eastAsiaTheme="minorEastAsia"/>
                                <w:b/>
                                <w:sz w:val="22"/>
                              </w:rPr>
                              <w:t>、《客户权益须知》共同组成本理财产品销售文件不可分割之组成部分。</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ascii="Arial" w:hAnsi="Arial" w:cs="Arial" w:eastAsiaTheme="minorEastAsia"/>
                                <w:b/>
                                <w:sz w:val="22"/>
                              </w:rPr>
                              <w:t>本理财产品为非保本浮动收益型产品。</w:t>
                            </w:r>
                            <w:r>
                              <w:rPr>
                                <w:rFonts w:hint="eastAsia" w:ascii="Arial" w:hAnsi="Arial" w:cs="Arial"/>
                                <w:b/>
                                <w:sz w:val="22"/>
                                <w:szCs w:val="22"/>
                              </w:rPr>
                              <w:t>管理人</w:t>
                            </w:r>
                            <w:r>
                              <w:rPr>
                                <w:rFonts w:ascii="Arial" w:hAnsi="Arial" w:cs="Arial" w:eastAsiaTheme="minorEastAsia"/>
                                <w:b/>
                                <w:sz w:val="22"/>
                              </w:rPr>
                              <w:t>对本理财产品的本金和收益不提供保证承诺。投资者应充分认识投资风险，谨慎投资。请详细阅读《风险揭示书》内容，在充分了解并清楚知晓本理财产品蕴含风险的基础上，通过自身判断自主参与交易，并自愿承担相关风险。</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hint="eastAsia" w:ascii="Arial" w:hAnsi="Arial" w:cs="Arial"/>
                                <w:b/>
                                <w:sz w:val="22"/>
                                <w:szCs w:val="22"/>
                              </w:rPr>
                              <w:t>管理人</w:t>
                            </w:r>
                            <w:r>
                              <w:rPr>
                                <w:rFonts w:ascii="Arial" w:hAnsi="Arial" w:cs="Arial" w:eastAsiaTheme="minorEastAsia"/>
                                <w:b/>
                                <w:sz w:val="22"/>
                              </w:rPr>
                              <w:t>郑重提示：在购买</w:t>
                            </w:r>
                            <w:r>
                              <w:rPr>
                                <w:rFonts w:hint="eastAsia" w:ascii="Arial" w:hAnsi="Arial" w:cs="Arial" w:eastAsiaTheme="minorEastAsia"/>
                                <w:b/>
                                <w:sz w:val="22"/>
                              </w:rPr>
                              <w:t>本</w:t>
                            </w:r>
                            <w:r>
                              <w:rPr>
                                <w:rFonts w:ascii="Arial" w:hAnsi="Arial" w:cs="Arial" w:eastAsiaTheme="minorEastAsia"/>
                                <w:b/>
                                <w:sz w:val="22"/>
                              </w:rPr>
                              <w:t>理财产品前，请投资者仔细阅读本理财产品销售文件，确保自己详细了解和审慎评估</w:t>
                            </w:r>
                            <w:r>
                              <w:rPr>
                                <w:rFonts w:hint="eastAsia" w:ascii="Arial" w:hAnsi="Arial" w:cs="Arial" w:eastAsiaTheme="minorEastAsia"/>
                                <w:b/>
                                <w:sz w:val="22"/>
                              </w:rPr>
                              <w:t>本</w:t>
                            </w:r>
                            <w:r>
                              <w:rPr>
                                <w:rFonts w:ascii="Arial" w:hAnsi="Arial" w:cs="Arial" w:eastAsiaTheme="minorEastAsia"/>
                                <w:b/>
                                <w:sz w:val="22"/>
                              </w:rPr>
                              <w:t>理财产品的资金投资方向、风险类型等基本情况，完全理解该项投资的性质和所涉及的风险，并充分、慎重考虑自身的风险承受能力，自行决定购买与自身风险承受能力和资产管理需求匹配的理财产品。</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ascii="Arial" w:hAnsi="Arial" w:cs="Arial" w:eastAsiaTheme="minorEastAsia"/>
                                <w:b/>
                                <w:sz w:val="22"/>
                              </w:rPr>
                              <w:t>在购买</w:t>
                            </w:r>
                            <w:r>
                              <w:rPr>
                                <w:rFonts w:hint="eastAsia" w:ascii="Arial" w:hAnsi="Arial" w:cs="Arial" w:eastAsiaTheme="minorEastAsia"/>
                                <w:b/>
                                <w:sz w:val="22"/>
                              </w:rPr>
                              <w:t>本</w:t>
                            </w:r>
                            <w:r>
                              <w:rPr>
                                <w:rFonts w:ascii="Arial" w:hAnsi="Arial" w:cs="Arial" w:eastAsiaTheme="minorEastAsia"/>
                                <w:b/>
                                <w:sz w:val="22"/>
                              </w:rPr>
                              <w:t>理财产品后，投资者应随时关注</w:t>
                            </w:r>
                            <w:r>
                              <w:rPr>
                                <w:rFonts w:hint="eastAsia" w:ascii="Arial" w:hAnsi="Arial" w:cs="Arial" w:eastAsiaTheme="minorEastAsia"/>
                                <w:b/>
                                <w:sz w:val="22"/>
                              </w:rPr>
                              <w:t>本</w:t>
                            </w:r>
                            <w:r>
                              <w:rPr>
                                <w:rFonts w:ascii="Arial" w:hAnsi="Arial" w:cs="Arial" w:eastAsiaTheme="minorEastAsia"/>
                                <w:b/>
                                <w:sz w:val="22"/>
                              </w:rPr>
                              <w:t>理财产品的信息披露情况，及时获取相关信息。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0.6pt;height:601pt;width:450.75pt;z-index:-251657216;mso-width-relative:page;mso-height-relative:page;" filled="f" stroked="t" coordsize="21600,21600" o:gfxdata="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cnJJraAAAACgEAAA8AAAAAAAAAAQAgAAAAIgAA&#10;AGRycy9kb3ducmV2LnhtbFBLAQIUABQAAAAIAIdO4kBsgYgQPwIAAGAEAAAOAAAAAAAAAAEAIAAA&#10;ACkBAABkcnMvZTJvRG9jLnhtbFBLBQYAAAAABgAGAFkBAADaBQAAAAA=&#10;">
                <v:fill on="f" focussize="0,0"/>
                <v:stroke weight="1.5pt" color="#000000" miterlimit="8" joinstyle="miter"/>
                <v:imagedata o:title=""/>
                <o:lock v:ext="edit" aspectratio="f"/>
                <v:textbox>
                  <w:txbxContent>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hint="eastAsia" w:ascii="宋体" w:hAnsi="宋体"/>
                          <w:b/>
                          <w:sz w:val="22"/>
                        </w:rPr>
                        <w:t>理财非存款，产品有风险，投资须谨慎。</w:t>
                      </w:r>
                      <w:r>
                        <w:rPr>
                          <w:rFonts w:ascii="Arial" w:hAnsi="Arial" w:cs="Arial" w:eastAsiaTheme="minorEastAsia"/>
                          <w:b/>
                          <w:sz w:val="22"/>
                        </w:rPr>
                        <w:t>理财产品过往业绩不代表其未来表现，不等于理财产品实际收益，投资须谨慎</w:t>
                      </w:r>
                      <w:r>
                        <w:rPr>
                          <w:rFonts w:hint="eastAsia" w:ascii="Arial" w:hAnsi="Arial" w:cs="Arial" w:eastAsiaTheme="minorEastAsia"/>
                          <w:b/>
                          <w:sz w:val="22"/>
                        </w:rPr>
                        <w:t>。</w:t>
                      </w:r>
                      <w:r>
                        <w:rPr>
                          <w:rFonts w:ascii="Arial" w:hAnsi="Arial" w:cs="Arial" w:eastAsiaTheme="minorEastAsia"/>
                          <w:b/>
                          <w:sz w:val="22"/>
                        </w:rPr>
                        <w:t>平安理财有限责任公司（以下简称“平安理财”</w:t>
                      </w:r>
                      <w:r>
                        <w:rPr>
                          <w:rFonts w:hint="eastAsia" w:ascii="Arial" w:hAnsi="Arial" w:cs="Arial" w:eastAsiaTheme="minorEastAsia"/>
                          <w:b/>
                          <w:sz w:val="22"/>
                        </w:rPr>
                        <w:t>、“管理人”</w:t>
                      </w:r>
                      <w:r>
                        <w:rPr>
                          <w:rFonts w:ascii="Arial" w:hAnsi="Arial" w:cs="Arial" w:eastAsiaTheme="minorEastAsia"/>
                          <w:b/>
                          <w:sz w:val="22"/>
                        </w:rPr>
                        <w:t>）不承诺本理财产品一定盈利，也不承诺最低收益。</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ascii="Arial" w:hAnsi="Arial" w:cs="Arial" w:eastAsiaTheme="minorEastAsia"/>
                          <w:b/>
                          <w:sz w:val="22"/>
                        </w:rPr>
                        <w:t>本理财产品仅向依据中华人民共和国有关法律法规及本理财产品说明书约定可以购买本理财产品的投资者发售。</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ascii="Arial" w:hAnsi="Arial" w:cs="Arial" w:eastAsiaTheme="minorEastAsia"/>
                          <w:b/>
                          <w:sz w:val="22"/>
                        </w:rPr>
                        <w:t>投资者不得使用贷款、发行债券等筹集的非自有资金投资本理财产品；投资者承诺其投资</w:t>
                      </w:r>
                      <w:r>
                        <w:rPr>
                          <w:rFonts w:hint="eastAsia" w:ascii="Arial" w:hAnsi="Arial" w:cs="Arial" w:eastAsiaTheme="minorEastAsia"/>
                          <w:b/>
                          <w:sz w:val="22"/>
                        </w:rPr>
                        <w:t>本</w:t>
                      </w:r>
                      <w:r>
                        <w:rPr>
                          <w:rFonts w:ascii="Arial" w:hAnsi="Arial" w:cs="Arial" w:eastAsiaTheme="minorEastAsia"/>
                          <w:b/>
                          <w:sz w:val="22"/>
                        </w:rPr>
                        <w:t>理财产品使用的资金来源合法合规，并且其系为合法之目的投资本理财产品，而非为洗钱等违法犯罪之目的，投资者</w:t>
                      </w:r>
                      <w:r>
                        <w:rPr>
                          <w:rFonts w:hint="eastAsia" w:ascii="Arial" w:hAnsi="Arial" w:cs="Arial" w:eastAsiaTheme="minorEastAsia"/>
                          <w:b/>
                          <w:sz w:val="22"/>
                        </w:rPr>
                        <w:t>应</w:t>
                      </w:r>
                      <w:r>
                        <w:rPr>
                          <w:rFonts w:ascii="Arial" w:hAnsi="Arial" w:cs="Arial" w:eastAsiaTheme="minorEastAsia"/>
                          <w:b/>
                          <w:sz w:val="22"/>
                        </w:rPr>
                        <w:t>配合管理人及销售服务机构开展投资者适当性管理以及客户身份识别</w:t>
                      </w:r>
                      <w:r>
                        <w:rPr>
                          <w:rFonts w:hint="eastAsia" w:ascii="Arial" w:hAnsi="Arial" w:cs="Arial" w:eastAsiaTheme="minorEastAsia"/>
                          <w:b/>
                          <w:sz w:val="22"/>
                        </w:rPr>
                        <w:t>、尽职调查</w:t>
                      </w:r>
                      <w:r>
                        <w:rPr>
                          <w:rFonts w:ascii="Arial" w:hAnsi="Arial" w:cs="Arial" w:eastAsiaTheme="minorEastAsia"/>
                          <w:b/>
                          <w:sz w:val="22"/>
                        </w:rPr>
                        <w:t>等反洗钱</w:t>
                      </w:r>
                      <w:r>
                        <w:rPr>
                          <w:rFonts w:hint="eastAsia" w:ascii="Arial" w:hAnsi="Arial" w:cs="Arial" w:eastAsiaTheme="minorEastAsia"/>
                          <w:b/>
                          <w:sz w:val="22"/>
                        </w:rPr>
                        <w:t>、反恐怖融资、反扩散融资及非居民金融账户涉税信息尽职调查等工作</w:t>
                      </w:r>
                      <w:r>
                        <w:rPr>
                          <w:rFonts w:ascii="Arial" w:hAnsi="Arial" w:cs="Arial" w:eastAsiaTheme="minorEastAsia"/>
                          <w:b/>
                          <w:sz w:val="22"/>
                        </w:rPr>
                        <w:t>，及时、真实、准确、完整提供身份信息及资金来源等信息。</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hint="eastAsia" w:ascii="Arial" w:hAnsi="Arial" w:cs="Arial" w:eastAsiaTheme="minorEastAsia"/>
                          <w:b/>
                          <w:sz w:val="22"/>
                        </w:rPr>
                        <w:t>本理财产品《</w:t>
                      </w:r>
                      <w:r>
                        <w:rPr>
                          <w:rFonts w:hint="eastAsia" w:ascii="Arial" w:hAnsi="Arial" w:cs="Arial" w:eastAsiaTheme="minorEastAsia"/>
                          <w:b/>
                          <w:sz w:val="22"/>
                          <w:lang w:eastAsia="zh-CN"/>
                        </w:rPr>
                        <w:t>平安理财灵活成长创利日开90天持有2号固收类理财产品</w:t>
                      </w:r>
                      <w:r>
                        <w:rPr>
                          <w:rFonts w:hint="eastAsia" w:ascii="Arial" w:hAnsi="Arial" w:cs="Arial" w:eastAsiaTheme="minorEastAsia"/>
                          <w:b/>
                          <w:sz w:val="22"/>
                        </w:rPr>
                        <w:t>说明书》（以下简称</w:t>
                      </w:r>
                      <w:r>
                        <w:rPr>
                          <w:rFonts w:ascii="Arial" w:hAnsi="Arial" w:cs="Arial" w:eastAsiaTheme="minorEastAsia"/>
                          <w:b/>
                          <w:sz w:val="22"/>
                        </w:rPr>
                        <w:t>“</w:t>
                      </w:r>
                      <w:r>
                        <w:rPr>
                          <w:rFonts w:hint="eastAsia" w:ascii="Arial" w:hAnsi="Arial" w:cs="Arial" w:eastAsiaTheme="minorEastAsia"/>
                          <w:b/>
                          <w:sz w:val="22"/>
                        </w:rPr>
                        <w:t>《产品说明书》</w:t>
                      </w:r>
                      <w:r>
                        <w:rPr>
                          <w:rFonts w:ascii="Arial" w:hAnsi="Arial" w:cs="Arial" w:eastAsiaTheme="minorEastAsia"/>
                          <w:b/>
                          <w:sz w:val="22"/>
                        </w:rPr>
                        <w:t>”</w:t>
                      </w:r>
                      <w:r>
                        <w:rPr>
                          <w:rFonts w:hint="eastAsia" w:ascii="Arial" w:hAnsi="Arial" w:cs="Arial" w:eastAsiaTheme="minorEastAsia"/>
                          <w:b/>
                          <w:sz w:val="22"/>
                        </w:rPr>
                        <w:t>）与《</w:t>
                      </w:r>
                      <w:r>
                        <w:rPr>
                          <w:rFonts w:hint="eastAsia" w:ascii="Arial" w:hAnsi="Arial" w:cs="Arial" w:eastAsiaTheme="minorEastAsia"/>
                          <w:b/>
                          <w:sz w:val="22"/>
                          <w:lang w:eastAsia="zh-CN"/>
                        </w:rPr>
                        <w:t>平安理财灵活成长创利日开90天持有2号固收类理财产品</w:t>
                      </w:r>
                      <w:r>
                        <w:rPr>
                          <w:rFonts w:hint="eastAsia" w:ascii="Arial" w:hAnsi="Arial" w:cs="Arial" w:eastAsiaTheme="minorEastAsia"/>
                          <w:b/>
                          <w:sz w:val="22"/>
                        </w:rPr>
                        <w:t>风险揭示书》（以下简称</w:t>
                      </w:r>
                      <w:r>
                        <w:rPr>
                          <w:rFonts w:ascii="Arial" w:hAnsi="Arial" w:cs="Arial" w:eastAsiaTheme="minorEastAsia"/>
                          <w:b/>
                          <w:sz w:val="22"/>
                        </w:rPr>
                        <w:t>“</w:t>
                      </w:r>
                      <w:r>
                        <w:rPr>
                          <w:rFonts w:hint="eastAsia" w:ascii="Arial" w:hAnsi="Arial" w:cs="Arial" w:eastAsiaTheme="minorEastAsia"/>
                          <w:b/>
                          <w:sz w:val="22"/>
                        </w:rPr>
                        <w:t>《风险揭示书》</w:t>
                      </w:r>
                      <w:r>
                        <w:rPr>
                          <w:rFonts w:ascii="Arial" w:hAnsi="Arial" w:cs="Arial" w:eastAsiaTheme="minorEastAsia"/>
                          <w:b/>
                          <w:sz w:val="22"/>
                        </w:rPr>
                        <w:t>”</w:t>
                      </w:r>
                      <w:r>
                        <w:rPr>
                          <w:rFonts w:hint="eastAsia" w:ascii="Arial" w:hAnsi="Arial" w:cs="Arial" w:eastAsiaTheme="minorEastAsia"/>
                          <w:b/>
                          <w:sz w:val="22"/>
                        </w:rPr>
                        <w:t>）、《投资协议书》、《代理销售协议书》</w:t>
                      </w:r>
                      <w:r>
                        <w:rPr>
                          <w:rFonts w:hint="eastAsia" w:ascii="Arial" w:hAnsi="Arial" w:cs="Arial"/>
                          <w:b/>
                          <w:color w:val="000000"/>
                          <w:kern w:val="0"/>
                          <w:sz w:val="22"/>
                        </w:rPr>
                        <w:t>（该文件具体名称以销售服务机构为准，下同）</w:t>
                      </w:r>
                      <w:r>
                        <w:rPr>
                          <w:rFonts w:hint="eastAsia" w:ascii="Arial" w:hAnsi="Arial" w:cs="Arial" w:eastAsiaTheme="minorEastAsia"/>
                          <w:b/>
                          <w:sz w:val="22"/>
                        </w:rPr>
                        <w:t>、《客户权益须知》共同组成本理财产品销售文件不可分割之组成部分。</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ascii="Arial" w:hAnsi="Arial" w:cs="Arial" w:eastAsiaTheme="minorEastAsia"/>
                          <w:b/>
                          <w:sz w:val="22"/>
                        </w:rPr>
                        <w:t>本理财产品为非保本浮动收益型产品。</w:t>
                      </w:r>
                      <w:r>
                        <w:rPr>
                          <w:rFonts w:hint="eastAsia" w:ascii="Arial" w:hAnsi="Arial" w:cs="Arial"/>
                          <w:b/>
                          <w:sz w:val="22"/>
                          <w:szCs w:val="22"/>
                        </w:rPr>
                        <w:t>管理人</w:t>
                      </w:r>
                      <w:r>
                        <w:rPr>
                          <w:rFonts w:ascii="Arial" w:hAnsi="Arial" w:cs="Arial" w:eastAsiaTheme="minorEastAsia"/>
                          <w:b/>
                          <w:sz w:val="22"/>
                        </w:rPr>
                        <w:t>对本理财产品的本金和收益不提供保证承诺。投资者应充分认识投资风险，谨慎投资。请详细阅读《风险揭示书》内容，在充分了解并清楚知晓本理财产品蕴含风险的基础上，通过自身判断自主参与交易，并自愿承担相关风险。</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hint="eastAsia" w:ascii="Arial" w:hAnsi="Arial" w:cs="Arial"/>
                          <w:b/>
                          <w:sz w:val="22"/>
                          <w:szCs w:val="22"/>
                        </w:rPr>
                        <w:t>管理人</w:t>
                      </w:r>
                      <w:r>
                        <w:rPr>
                          <w:rFonts w:ascii="Arial" w:hAnsi="Arial" w:cs="Arial" w:eastAsiaTheme="minorEastAsia"/>
                          <w:b/>
                          <w:sz w:val="22"/>
                        </w:rPr>
                        <w:t>郑重提示：在购买</w:t>
                      </w:r>
                      <w:r>
                        <w:rPr>
                          <w:rFonts w:hint="eastAsia" w:ascii="Arial" w:hAnsi="Arial" w:cs="Arial" w:eastAsiaTheme="minorEastAsia"/>
                          <w:b/>
                          <w:sz w:val="22"/>
                        </w:rPr>
                        <w:t>本</w:t>
                      </w:r>
                      <w:r>
                        <w:rPr>
                          <w:rFonts w:ascii="Arial" w:hAnsi="Arial" w:cs="Arial" w:eastAsiaTheme="minorEastAsia"/>
                          <w:b/>
                          <w:sz w:val="22"/>
                        </w:rPr>
                        <w:t>理财产品前，请投资者仔细阅读本理财产品销售文件，确保自己详细了解和审慎评估</w:t>
                      </w:r>
                      <w:r>
                        <w:rPr>
                          <w:rFonts w:hint="eastAsia" w:ascii="Arial" w:hAnsi="Arial" w:cs="Arial" w:eastAsiaTheme="minorEastAsia"/>
                          <w:b/>
                          <w:sz w:val="22"/>
                        </w:rPr>
                        <w:t>本</w:t>
                      </w:r>
                      <w:r>
                        <w:rPr>
                          <w:rFonts w:ascii="Arial" w:hAnsi="Arial" w:cs="Arial" w:eastAsiaTheme="minorEastAsia"/>
                          <w:b/>
                          <w:sz w:val="22"/>
                        </w:rPr>
                        <w:t>理财产品的资金投资方向、风险类型等基本情况，完全理解该项投资的性质和所涉及的风险，并充分、慎重考虑自身的风险承受能力，自行决定购买与自身风险承受能力和资产管理需求匹配的理财产品。</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ascii="Arial" w:hAnsi="Arial" w:cs="Arial" w:eastAsiaTheme="minorEastAsia"/>
                          <w:b/>
                          <w:sz w:val="22"/>
                        </w:rPr>
                        <w:t>在购买</w:t>
                      </w:r>
                      <w:r>
                        <w:rPr>
                          <w:rFonts w:hint="eastAsia" w:ascii="Arial" w:hAnsi="Arial" w:cs="Arial" w:eastAsiaTheme="minorEastAsia"/>
                          <w:b/>
                          <w:sz w:val="22"/>
                        </w:rPr>
                        <w:t>本</w:t>
                      </w:r>
                      <w:r>
                        <w:rPr>
                          <w:rFonts w:ascii="Arial" w:hAnsi="Arial" w:cs="Arial" w:eastAsiaTheme="minorEastAsia"/>
                          <w:b/>
                          <w:sz w:val="22"/>
                        </w:rPr>
                        <w:t>理财产品后，投资者应随时关注</w:t>
                      </w:r>
                      <w:r>
                        <w:rPr>
                          <w:rFonts w:hint="eastAsia" w:ascii="Arial" w:hAnsi="Arial" w:cs="Arial" w:eastAsiaTheme="minorEastAsia"/>
                          <w:b/>
                          <w:sz w:val="22"/>
                        </w:rPr>
                        <w:t>本</w:t>
                      </w:r>
                      <w:r>
                        <w:rPr>
                          <w:rFonts w:ascii="Arial" w:hAnsi="Arial" w:cs="Arial" w:eastAsiaTheme="minorEastAsia"/>
                          <w:b/>
                          <w:sz w:val="22"/>
                        </w:rPr>
                        <w:t>理财产品的信息披露情况，及时获取相关信息。</w:t>
                      </w:r>
                    </w:p>
                  </w:txbxContent>
                </v:textbox>
              </v:shape>
            </w:pict>
          </mc:Fallback>
        </mc:AlternateContent>
      </w:r>
    </w:p>
    <w:p>
      <w:pPr>
        <w:spacing w:line="360" w:lineRule="auto"/>
        <w:ind w:left="141" w:leftChars="67" w:firstLine="426"/>
        <w:rPr>
          <w:rStyle w:val="14"/>
          <w:rFonts w:ascii="Arial" w:hAnsi="Arial" w:cs="Arial"/>
          <w:snapToGrid w:val="0"/>
          <w:color w:val="000000"/>
          <w:sz w:val="28"/>
          <w:szCs w:val="28"/>
        </w:rPr>
      </w:pPr>
    </w:p>
    <w:p>
      <w:pPr>
        <w:spacing w:line="360" w:lineRule="auto"/>
        <w:ind w:left="141" w:leftChars="67" w:firstLine="426"/>
        <w:rPr>
          <w:rStyle w:val="14"/>
          <w:rFonts w:ascii="Arial" w:hAnsi="Arial" w:cs="Arial"/>
          <w:snapToGrid w:val="0"/>
          <w:color w:val="000000"/>
          <w:sz w:val="28"/>
          <w:szCs w:val="28"/>
        </w:rPr>
      </w:pPr>
    </w:p>
    <w:p>
      <w:pPr>
        <w:spacing w:line="360" w:lineRule="auto"/>
        <w:ind w:left="141" w:leftChars="67" w:firstLine="426"/>
        <w:rPr>
          <w:rStyle w:val="14"/>
          <w:rFonts w:ascii="Arial" w:hAnsi="Arial" w:cs="Arial"/>
          <w:snapToGrid w:val="0"/>
          <w:color w:val="000000"/>
          <w:sz w:val="28"/>
          <w:szCs w:val="28"/>
        </w:rPr>
      </w:pPr>
    </w:p>
    <w:p>
      <w:pPr>
        <w:spacing w:line="360" w:lineRule="auto"/>
        <w:ind w:left="141" w:leftChars="67" w:firstLine="426"/>
        <w:rPr>
          <w:rStyle w:val="14"/>
          <w:rFonts w:ascii="Arial" w:hAnsi="Arial" w:cs="Arial"/>
          <w:snapToGrid w:val="0"/>
          <w:color w:val="000000"/>
          <w:sz w:val="28"/>
          <w:szCs w:val="28"/>
        </w:rPr>
      </w:pPr>
    </w:p>
    <w:p>
      <w:pPr>
        <w:spacing w:line="360" w:lineRule="auto"/>
        <w:ind w:left="141" w:leftChars="67" w:firstLine="426"/>
        <w:rPr>
          <w:rStyle w:val="14"/>
          <w:rFonts w:ascii="Arial" w:hAnsi="Arial" w:cs="Arial"/>
          <w:snapToGrid w:val="0"/>
          <w:color w:val="000000"/>
          <w:sz w:val="28"/>
          <w:szCs w:val="28"/>
        </w:rPr>
      </w:pPr>
    </w:p>
    <w:p>
      <w:pPr>
        <w:spacing w:line="360" w:lineRule="auto"/>
        <w:ind w:left="141" w:leftChars="67" w:firstLine="426"/>
        <w:rPr>
          <w:rStyle w:val="14"/>
          <w:rFonts w:ascii="Arial" w:hAnsi="Arial" w:cs="Arial"/>
          <w:snapToGrid w:val="0"/>
          <w:color w:val="000000"/>
          <w:sz w:val="28"/>
          <w:szCs w:val="28"/>
        </w:rPr>
      </w:pPr>
    </w:p>
    <w:p>
      <w:pPr>
        <w:widowControl/>
        <w:jc w:val="left"/>
        <w:rPr>
          <w:rFonts w:ascii="Arial" w:hAnsi="Arial" w:cs="Arial"/>
        </w:rPr>
      </w:pPr>
      <w:r>
        <w:rPr>
          <w:rFonts w:ascii="Arial" w:hAnsi="Arial" w:cs="Arial"/>
        </w:rPr>
        <w:br w:type="page"/>
      </w:r>
    </w:p>
    <w:p>
      <w:pPr>
        <w:widowControl/>
        <w:jc w:val="left"/>
        <w:rPr>
          <w:rFonts w:ascii="Arial" w:hAnsi="Arial" w:cs="Arial"/>
        </w:rPr>
      </w:pPr>
      <w:r>
        <w:rPr>
          <w:rFonts w:ascii="Arial" w:hAnsi="Arial" w:cs="Arial"/>
          <w:color w:val="000000"/>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38100</wp:posOffset>
                </wp:positionV>
                <wp:extent cx="5724525" cy="6610350"/>
                <wp:effectExtent l="0" t="0" r="28575" b="1905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24525" cy="6610350"/>
                        </a:xfrm>
                        <a:prstGeom prst="rect">
                          <a:avLst/>
                        </a:prstGeom>
                        <a:noFill/>
                        <a:ln w="19050">
                          <a:solidFill>
                            <a:srgbClr val="000000"/>
                          </a:solidFill>
                          <a:miter lim="800000"/>
                        </a:ln>
                      </wps:spPr>
                      <wps:txbx>
                        <w:txbxContent>
                          <w:p>
                            <w:pPr>
                              <w:pStyle w:val="20"/>
                              <w:widowControl/>
                              <w:numPr>
                                <w:ilvl w:val="0"/>
                                <w:numId w:val="2"/>
                              </w:numPr>
                              <w:tabs>
                                <w:tab w:val="left" w:pos="284"/>
                                <w:tab w:val="left" w:pos="567"/>
                                <w:tab w:val="left" w:pos="8931"/>
                              </w:tabs>
                              <w:spacing w:line="360" w:lineRule="auto"/>
                              <w:ind w:left="0" w:firstLine="0" w:firstLineChars="0"/>
                              <w:rPr>
                                <w:rFonts w:ascii="Arial" w:hAnsi="Arial" w:cs="Arial" w:eastAsiaTheme="minorEastAsia"/>
                                <w:b/>
                                <w:sz w:val="22"/>
                              </w:rPr>
                            </w:pPr>
                            <w:r>
                              <w:rPr>
                                <w:rFonts w:ascii="Arial" w:hAnsi="Arial" w:cs="Arial" w:eastAsiaTheme="minorEastAsia"/>
                                <w:b/>
                                <w:sz w:val="22"/>
                              </w:rPr>
                              <w:t>本理财产品存续期内，如出于维持本理财产品正常运营的需要且在不损害投资者利益的前提下，或因国家法律法规、监管规定发生变化，</w:t>
                            </w:r>
                            <w:r>
                              <w:rPr>
                                <w:rFonts w:hint="eastAsia" w:ascii="Arial" w:hAnsi="Arial" w:cs="Arial"/>
                                <w:b/>
                                <w:sz w:val="22"/>
                                <w:szCs w:val="22"/>
                              </w:rPr>
                              <w:t>管理人</w:t>
                            </w:r>
                            <w:r>
                              <w:rPr>
                                <w:rFonts w:ascii="Arial" w:hAnsi="Arial" w:cs="Arial" w:eastAsiaTheme="minorEastAsia"/>
                                <w:b/>
                                <w:sz w:val="22"/>
                              </w:rPr>
                              <w:t>有权在法律允许的范围内单方对</w:t>
                            </w:r>
                            <w:r>
                              <w:rPr>
                                <w:rFonts w:hint="eastAsia" w:ascii="Arial" w:hAnsi="Arial" w:cs="Arial" w:eastAsiaTheme="minorEastAsia"/>
                                <w:b/>
                                <w:sz w:val="22"/>
                              </w:rPr>
                              <w:t>本</w:t>
                            </w:r>
                            <w:r>
                              <w:rPr>
                                <w:rFonts w:ascii="Arial" w:hAnsi="Arial" w:cs="Arial" w:eastAsiaTheme="minorEastAsia"/>
                                <w:b/>
                                <w:sz w:val="22"/>
                              </w:rPr>
                              <w:t>理财产品</w:t>
                            </w:r>
                            <w:r>
                              <w:rPr>
                                <w:rFonts w:hint="eastAsia" w:ascii="Arial" w:hAnsi="Arial" w:cs="Arial" w:eastAsiaTheme="minorEastAsia"/>
                                <w:b/>
                                <w:sz w:val="22"/>
                              </w:rPr>
                              <w:t>销售文件</w:t>
                            </w:r>
                            <w:r>
                              <w:rPr>
                                <w:rFonts w:ascii="Arial" w:hAnsi="Arial" w:cs="Arial" w:eastAsiaTheme="minorEastAsia"/>
                                <w:b/>
                                <w:sz w:val="22"/>
                              </w:rPr>
                              <w:t>进行修订。</w:t>
                            </w:r>
                            <w:r>
                              <w:rPr>
                                <w:rFonts w:hint="eastAsia" w:ascii="Arial" w:hAnsi="Arial" w:cs="Arial"/>
                                <w:b/>
                                <w:sz w:val="22"/>
                                <w:szCs w:val="22"/>
                              </w:rPr>
                              <w:t>管理人</w:t>
                            </w:r>
                            <w:r>
                              <w:rPr>
                                <w:rFonts w:ascii="Arial" w:hAnsi="Arial" w:cs="Arial" w:eastAsiaTheme="minorEastAsia"/>
                                <w:b/>
                                <w:sz w:val="22"/>
                              </w:rPr>
                              <w:t>决定对</w:t>
                            </w:r>
                            <w:r>
                              <w:rPr>
                                <w:rFonts w:hint="eastAsia" w:ascii="Arial" w:hAnsi="Arial" w:cs="Arial" w:eastAsiaTheme="minorEastAsia"/>
                                <w:b/>
                                <w:sz w:val="22"/>
                              </w:rPr>
                              <w:t>本</w:t>
                            </w:r>
                            <w:r>
                              <w:rPr>
                                <w:rFonts w:ascii="Arial" w:hAnsi="Arial" w:cs="Arial" w:eastAsiaTheme="minorEastAsia"/>
                                <w:b/>
                                <w:sz w:val="22"/>
                              </w:rPr>
                              <w:t>理财产品</w:t>
                            </w:r>
                            <w:r>
                              <w:rPr>
                                <w:rFonts w:hint="eastAsia" w:ascii="Arial" w:hAnsi="Arial" w:cs="Arial" w:eastAsiaTheme="minorEastAsia"/>
                                <w:b/>
                                <w:sz w:val="22"/>
                              </w:rPr>
                              <w:t>销售文件</w:t>
                            </w:r>
                            <w:r>
                              <w:rPr>
                                <w:rFonts w:ascii="Arial" w:hAnsi="Arial" w:cs="Arial" w:eastAsiaTheme="minorEastAsia"/>
                                <w:b/>
                                <w:sz w:val="22"/>
                              </w:rPr>
                              <w:t>进行修订的，将按照本《产品说明书》约定的信息披露方式向投资者进行信息披露，</w:t>
                            </w:r>
                            <w:r>
                              <w:rPr>
                                <w:rFonts w:hint="eastAsia" w:ascii="Arial" w:hAnsi="Arial" w:cs="Arial"/>
                                <w:b/>
                                <w:sz w:val="22"/>
                                <w:szCs w:val="22"/>
                              </w:rPr>
                              <w:t>管理人</w:t>
                            </w:r>
                            <w:r>
                              <w:rPr>
                                <w:rFonts w:ascii="Arial" w:hAnsi="Arial" w:cs="Arial" w:eastAsiaTheme="minorEastAsia"/>
                                <w:b/>
                                <w:sz w:val="22"/>
                              </w:rPr>
                              <w:t>按照前述规则发布该信息披露即视为该修订通知已送达投资者并对投资者具有法律约束力。</w:t>
                            </w:r>
                          </w:p>
                          <w:p>
                            <w:pPr>
                              <w:pStyle w:val="20"/>
                              <w:widowControl/>
                              <w:numPr>
                                <w:ilvl w:val="0"/>
                                <w:numId w:val="2"/>
                              </w:numPr>
                              <w:tabs>
                                <w:tab w:val="left" w:pos="284"/>
                                <w:tab w:val="left" w:pos="567"/>
                                <w:tab w:val="left" w:pos="8931"/>
                              </w:tabs>
                              <w:spacing w:line="360" w:lineRule="auto"/>
                              <w:ind w:left="0" w:firstLine="0" w:firstLineChars="0"/>
                              <w:rPr>
                                <w:rFonts w:ascii="Arial" w:hAnsi="Arial" w:cs="Arial" w:eastAsiaTheme="minorEastAsia"/>
                                <w:b/>
                                <w:sz w:val="22"/>
                              </w:rPr>
                            </w:pPr>
                            <w:r>
                              <w:rPr>
                                <w:rFonts w:ascii="Arial" w:hAnsi="Arial" w:cs="Arial" w:eastAsiaTheme="minorEastAsia"/>
                                <w:b/>
                                <w:sz w:val="22"/>
                              </w:rPr>
                              <w:t>为贯彻落实银行业理财登记托管中心发布的《&lt;中国银行保险监督管理委员会办公厅关于进一步做好银行理财登记工作有关事项的通知&gt;实施细则》（理财中心发〔2018〕18号）文件的精神及相关实施细则及《银行业理财登记托管中心关于&lt;中国银保监会办公厅关于印发银行业金融机构监管数据标准化规范（2019版）&gt;数据报送工作的通知》的要求，</w:t>
                            </w:r>
                            <w:r>
                              <w:rPr>
                                <w:rFonts w:hint="eastAsia" w:ascii="Arial" w:hAnsi="Arial" w:cs="Arial"/>
                                <w:b/>
                                <w:sz w:val="22"/>
                                <w:szCs w:val="22"/>
                              </w:rPr>
                              <w:t>管理人</w:t>
                            </w:r>
                            <w:r>
                              <w:rPr>
                                <w:rFonts w:ascii="Arial" w:hAnsi="Arial" w:cs="Arial" w:eastAsiaTheme="minorEastAsia"/>
                                <w:b/>
                                <w:sz w:val="22"/>
                              </w:rPr>
                              <w:t>将向监管机构报送</w:t>
                            </w:r>
                            <w:r>
                              <w:rPr>
                                <w:rFonts w:hint="eastAsia" w:ascii="Arial" w:hAnsi="Arial" w:cs="Arial" w:eastAsiaTheme="minorEastAsia"/>
                                <w:b/>
                                <w:sz w:val="22"/>
                              </w:rPr>
                              <w:t>本</w:t>
                            </w:r>
                            <w:r>
                              <w:rPr>
                                <w:rFonts w:ascii="Arial" w:hAnsi="Arial" w:cs="Arial" w:eastAsiaTheme="minorEastAsia"/>
                                <w:b/>
                                <w:sz w:val="22"/>
                              </w:rPr>
                              <w:t>理财产品投资者身份信息、每日交易、持仓等信息。后续国家金融监督管理总局和银行业理财登记托管中心等机关如果提出新的信息报送要求，</w:t>
                            </w:r>
                            <w:r>
                              <w:rPr>
                                <w:rFonts w:hint="eastAsia" w:ascii="Arial" w:hAnsi="Arial" w:cs="Arial"/>
                                <w:b/>
                                <w:sz w:val="22"/>
                                <w:szCs w:val="22"/>
                              </w:rPr>
                              <w:t>管理人</w:t>
                            </w:r>
                            <w:r>
                              <w:rPr>
                                <w:rFonts w:ascii="Arial" w:hAnsi="Arial" w:cs="Arial" w:eastAsiaTheme="minorEastAsia"/>
                                <w:b/>
                                <w:sz w:val="22"/>
                              </w:rPr>
                              <w:t>将按照该等机关的要求执行。投资者签署本理财产品销售文件即视为已经同意</w:t>
                            </w:r>
                            <w:r>
                              <w:rPr>
                                <w:rFonts w:hint="eastAsia" w:ascii="Arial" w:hAnsi="Arial" w:cs="Arial"/>
                                <w:b/>
                                <w:sz w:val="22"/>
                                <w:szCs w:val="22"/>
                              </w:rPr>
                              <w:t>管理人</w:t>
                            </w:r>
                            <w:r>
                              <w:rPr>
                                <w:rFonts w:ascii="Arial" w:hAnsi="Arial" w:cs="Arial" w:eastAsiaTheme="minorEastAsia"/>
                                <w:b/>
                                <w:sz w:val="22"/>
                              </w:rPr>
                              <w:t>将按照相关机关要求报送投资者相关信息。</w:t>
                            </w:r>
                          </w:p>
                          <w:p>
                            <w:pPr>
                              <w:pStyle w:val="20"/>
                              <w:widowControl/>
                              <w:numPr>
                                <w:ilvl w:val="0"/>
                                <w:numId w:val="2"/>
                              </w:numPr>
                              <w:tabs>
                                <w:tab w:val="left" w:pos="284"/>
                                <w:tab w:val="left" w:pos="567"/>
                                <w:tab w:val="left" w:pos="8931"/>
                              </w:tabs>
                              <w:spacing w:line="360" w:lineRule="auto"/>
                              <w:ind w:left="0" w:firstLine="0" w:firstLineChars="0"/>
                              <w:rPr>
                                <w:rFonts w:ascii="Arial" w:hAnsi="Arial" w:cs="Arial" w:eastAsiaTheme="minorEastAsia"/>
                                <w:b/>
                                <w:sz w:val="22"/>
                              </w:rPr>
                            </w:pPr>
                            <w:r>
                              <w:rPr>
                                <w:rFonts w:ascii="Arial" w:hAnsi="Arial" w:cs="Arial" w:eastAsiaTheme="minorEastAsia"/>
                                <w:b/>
                                <w:sz w:val="22"/>
                              </w:rPr>
                              <w:t>根据监管机构要求，</w:t>
                            </w:r>
                            <w:r>
                              <w:rPr>
                                <w:rFonts w:hint="eastAsia" w:ascii="Arial" w:hAnsi="Arial" w:cs="Arial" w:eastAsiaTheme="minorEastAsia"/>
                                <w:b/>
                                <w:sz w:val="22"/>
                              </w:rPr>
                              <w:t>其他</w:t>
                            </w:r>
                            <w:r>
                              <w:rPr>
                                <w:rFonts w:ascii="Arial" w:hAnsi="Arial" w:cs="Arial" w:eastAsiaTheme="minorEastAsia"/>
                                <w:b/>
                                <w:sz w:val="22"/>
                              </w:rPr>
                              <w:t>管理人（如有，特指除本理财产品的产品管理人平安理财之外的其他管理人，包括但不限于本理财产品所投资的信托计划、资管计划/产品的受托人或管理人、相关投资顾问等，下同）有可能需要向监管机构报送投资者身份信息、持仓信息等相关信息，平安理财将应</w:t>
                            </w:r>
                            <w:r>
                              <w:rPr>
                                <w:rFonts w:hint="eastAsia" w:ascii="Arial" w:hAnsi="Arial" w:cs="Arial" w:eastAsiaTheme="minorEastAsia"/>
                                <w:b/>
                                <w:sz w:val="22"/>
                              </w:rPr>
                              <w:t>其他</w:t>
                            </w:r>
                            <w:r>
                              <w:rPr>
                                <w:rFonts w:ascii="Arial" w:hAnsi="Arial" w:cs="Arial" w:eastAsiaTheme="minorEastAsia"/>
                                <w:b/>
                                <w:sz w:val="22"/>
                              </w:rPr>
                              <w:t>管理人申请，在必要范围内向</w:t>
                            </w:r>
                            <w:r>
                              <w:rPr>
                                <w:rFonts w:hint="eastAsia" w:ascii="Arial" w:hAnsi="Arial" w:cs="Arial" w:eastAsiaTheme="minorEastAsia"/>
                                <w:b/>
                                <w:sz w:val="22"/>
                              </w:rPr>
                              <w:t>其他</w:t>
                            </w:r>
                            <w:r>
                              <w:rPr>
                                <w:rFonts w:ascii="Arial" w:hAnsi="Arial" w:cs="Arial" w:eastAsiaTheme="minorEastAsia"/>
                                <w:b/>
                                <w:sz w:val="22"/>
                              </w:rPr>
                              <w:t>管理人提供相关信息，并要求</w:t>
                            </w:r>
                            <w:r>
                              <w:rPr>
                                <w:rFonts w:hint="eastAsia" w:ascii="Arial" w:hAnsi="Arial" w:cs="Arial" w:eastAsiaTheme="minorEastAsia"/>
                                <w:b/>
                                <w:sz w:val="22"/>
                              </w:rPr>
                              <w:t>其他</w:t>
                            </w:r>
                            <w:r>
                              <w:rPr>
                                <w:rFonts w:ascii="Arial" w:hAnsi="Arial" w:cs="Arial" w:eastAsiaTheme="minorEastAsia"/>
                                <w:b/>
                                <w:sz w:val="22"/>
                              </w:rPr>
                              <w:t>管理人履行投资者信息保密义务。投资者签署本理财产品销售文件即视为已经同意平安理财在前述范围内向相关方提供投资者身份信息、持仓信息等相关信息。</w:t>
                            </w:r>
                          </w:p>
                          <w:p>
                            <w:pPr>
                              <w:rPr>
                                <w:rFonts w:ascii="Arial" w:hAnsi="Arial" w:cs="Arial" w:eastAsiaTheme="minorEastAsia"/>
                                <w:b/>
                                <w:sz w:val="2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3pt;height:520.5pt;width:450.75pt;z-index:251660288;mso-width-relative:page;mso-height-relative:page;" filled="f" stroked="t" coordsize="21600,21600" o:gfxdata="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OJvGnZAAAACQEAAA8AAAAAAAAAAQAgAAAAIgAAAGRy&#10;cy9kb3ducmV2LnhtbFBLAQIUABQAAAAIAIdO4kD23JN2PQIAAGAEAAAOAAAAAAAAAAEAIAAAACgB&#10;AABkcnMvZTJvRG9jLnhtbFBLBQYAAAAABgAGAFkBAADXBQAAAAA=&#10;">
                <v:fill on="f" focussize="0,0"/>
                <v:stroke weight="1.5pt" color="#000000" miterlimit="8" joinstyle="miter"/>
                <v:imagedata o:title=""/>
                <o:lock v:ext="edit" aspectratio="f"/>
                <v:textbox>
                  <w:txbxContent>
                    <w:p>
                      <w:pPr>
                        <w:pStyle w:val="20"/>
                        <w:widowControl/>
                        <w:numPr>
                          <w:ilvl w:val="0"/>
                          <w:numId w:val="2"/>
                        </w:numPr>
                        <w:tabs>
                          <w:tab w:val="left" w:pos="284"/>
                          <w:tab w:val="left" w:pos="567"/>
                          <w:tab w:val="left" w:pos="8931"/>
                        </w:tabs>
                        <w:spacing w:line="360" w:lineRule="auto"/>
                        <w:ind w:left="0" w:firstLine="0" w:firstLineChars="0"/>
                        <w:rPr>
                          <w:rFonts w:ascii="Arial" w:hAnsi="Arial" w:cs="Arial" w:eastAsiaTheme="minorEastAsia"/>
                          <w:b/>
                          <w:sz w:val="22"/>
                        </w:rPr>
                      </w:pPr>
                      <w:r>
                        <w:rPr>
                          <w:rFonts w:ascii="Arial" w:hAnsi="Arial" w:cs="Arial" w:eastAsiaTheme="minorEastAsia"/>
                          <w:b/>
                          <w:sz w:val="22"/>
                        </w:rPr>
                        <w:t>本理财产品存续期内，如出于维持本理财产品正常运营的需要且在不损害投资者利益的前提下，或因国家法律法规、监管规定发生变化，</w:t>
                      </w:r>
                      <w:r>
                        <w:rPr>
                          <w:rFonts w:hint="eastAsia" w:ascii="Arial" w:hAnsi="Arial" w:cs="Arial"/>
                          <w:b/>
                          <w:sz w:val="22"/>
                          <w:szCs w:val="22"/>
                        </w:rPr>
                        <w:t>管理人</w:t>
                      </w:r>
                      <w:r>
                        <w:rPr>
                          <w:rFonts w:ascii="Arial" w:hAnsi="Arial" w:cs="Arial" w:eastAsiaTheme="minorEastAsia"/>
                          <w:b/>
                          <w:sz w:val="22"/>
                        </w:rPr>
                        <w:t>有权在法律允许的范围内单方对</w:t>
                      </w:r>
                      <w:r>
                        <w:rPr>
                          <w:rFonts w:hint="eastAsia" w:ascii="Arial" w:hAnsi="Arial" w:cs="Arial" w:eastAsiaTheme="minorEastAsia"/>
                          <w:b/>
                          <w:sz w:val="22"/>
                        </w:rPr>
                        <w:t>本</w:t>
                      </w:r>
                      <w:r>
                        <w:rPr>
                          <w:rFonts w:ascii="Arial" w:hAnsi="Arial" w:cs="Arial" w:eastAsiaTheme="minorEastAsia"/>
                          <w:b/>
                          <w:sz w:val="22"/>
                        </w:rPr>
                        <w:t>理财产品</w:t>
                      </w:r>
                      <w:r>
                        <w:rPr>
                          <w:rFonts w:hint="eastAsia" w:ascii="Arial" w:hAnsi="Arial" w:cs="Arial" w:eastAsiaTheme="minorEastAsia"/>
                          <w:b/>
                          <w:sz w:val="22"/>
                        </w:rPr>
                        <w:t>销售文件</w:t>
                      </w:r>
                      <w:r>
                        <w:rPr>
                          <w:rFonts w:ascii="Arial" w:hAnsi="Arial" w:cs="Arial" w:eastAsiaTheme="minorEastAsia"/>
                          <w:b/>
                          <w:sz w:val="22"/>
                        </w:rPr>
                        <w:t>进行修订。</w:t>
                      </w:r>
                      <w:r>
                        <w:rPr>
                          <w:rFonts w:hint="eastAsia" w:ascii="Arial" w:hAnsi="Arial" w:cs="Arial"/>
                          <w:b/>
                          <w:sz w:val="22"/>
                          <w:szCs w:val="22"/>
                        </w:rPr>
                        <w:t>管理人</w:t>
                      </w:r>
                      <w:r>
                        <w:rPr>
                          <w:rFonts w:ascii="Arial" w:hAnsi="Arial" w:cs="Arial" w:eastAsiaTheme="minorEastAsia"/>
                          <w:b/>
                          <w:sz w:val="22"/>
                        </w:rPr>
                        <w:t>决定对</w:t>
                      </w:r>
                      <w:r>
                        <w:rPr>
                          <w:rFonts w:hint="eastAsia" w:ascii="Arial" w:hAnsi="Arial" w:cs="Arial" w:eastAsiaTheme="minorEastAsia"/>
                          <w:b/>
                          <w:sz w:val="22"/>
                        </w:rPr>
                        <w:t>本</w:t>
                      </w:r>
                      <w:r>
                        <w:rPr>
                          <w:rFonts w:ascii="Arial" w:hAnsi="Arial" w:cs="Arial" w:eastAsiaTheme="minorEastAsia"/>
                          <w:b/>
                          <w:sz w:val="22"/>
                        </w:rPr>
                        <w:t>理财产品</w:t>
                      </w:r>
                      <w:r>
                        <w:rPr>
                          <w:rFonts w:hint="eastAsia" w:ascii="Arial" w:hAnsi="Arial" w:cs="Arial" w:eastAsiaTheme="minorEastAsia"/>
                          <w:b/>
                          <w:sz w:val="22"/>
                        </w:rPr>
                        <w:t>销售文件</w:t>
                      </w:r>
                      <w:r>
                        <w:rPr>
                          <w:rFonts w:ascii="Arial" w:hAnsi="Arial" w:cs="Arial" w:eastAsiaTheme="minorEastAsia"/>
                          <w:b/>
                          <w:sz w:val="22"/>
                        </w:rPr>
                        <w:t>进行修订的，将按照本《产品说明书》约定的信息披露方式向投资者进行信息披露，</w:t>
                      </w:r>
                      <w:r>
                        <w:rPr>
                          <w:rFonts w:hint="eastAsia" w:ascii="Arial" w:hAnsi="Arial" w:cs="Arial"/>
                          <w:b/>
                          <w:sz w:val="22"/>
                          <w:szCs w:val="22"/>
                        </w:rPr>
                        <w:t>管理人</w:t>
                      </w:r>
                      <w:r>
                        <w:rPr>
                          <w:rFonts w:ascii="Arial" w:hAnsi="Arial" w:cs="Arial" w:eastAsiaTheme="minorEastAsia"/>
                          <w:b/>
                          <w:sz w:val="22"/>
                        </w:rPr>
                        <w:t>按照前述规则发布该信息披露即视为该修订通知已送达投资者并对投资者具有法律约束力。</w:t>
                      </w:r>
                    </w:p>
                    <w:p>
                      <w:pPr>
                        <w:pStyle w:val="20"/>
                        <w:widowControl/>
                        <w:numPr>
                          <w:ilvl w:val="0"/>
                          <w:numId w:val="2"/>
                        </w:numPr>
                        <w:tabs>
                          <w:tab w:val="left" w:pos="284"/>
                          <w:tab w:val="left" w:pos="567"/>
                          <w:tab w:val="left" w:pos="8931"/>
                        </w:tabs>
                        <w:spacing w:line="360" w:lineRule="auto"/>
                        <w:ind w:left="0" w:firstLine="0" w:firstLineChars="0"/>
                        <w:rPr>
                          <w:rFonts w:ascii="Arial" w:hAnsi="Arial" w:cs="Arial" w:eastAsiaTheme="minorEastAsia"/>
                          <w:b/>
                          <w:sz w:val="22"/>
                        </w:rPr>
                      </w:pPr>
                      <w:r>
                        <w:rPr>
                          <w:rFonts w:ascii="Arial" w:hAnsi="Arial" w:cs="Arial" w:eastAsiaTheme="minorEastAsia"/>
                          <w:b/>
                          <w:sz w:val="22"/>
                        </w:rPr>
                        <w:t>为贯彻落实银行业理财登记托管中心发布的《&lt;中国银行保险监督管理委员会办公厅关于进一步做好银行理财登记工作有关事项的通知&gt;实施细则》（理财中心发〔2018〕18号）文件的精神及相关实施细则及《银行业理财登记托管中心关于&lt;中国银保监会办公厅关于印发银行业金融机构监管数据标准化规范（2019版）&gt;数据报送工作的通知》的要求，</w:t>
                      </w:r>
                      <w:r>
                        <w:rPr>
                          <w:rFonts w:hint="eastAsia" w:ascii="Arial" w:hAnsi="Arial" w:cs="Arial"/>
                          <w:b/>
                          <w:sz w:val="22"/>
                          <w:szCs w:val="22"/>
                        </w:rPr>
                        <w:t>管理人</w:t>
                      </w:r>
                      <w:r>
                        <w:rPr>
                          <w:rFonts w:ascii="Arial" w:hAnsi="Arial" w:cs="Arial" w:eastAsiaTheme="minorEastAsia"/>
                          <w:b/>
                          <w:sz w:val="22"/>
                        </w:rPr>
                        <w:t>将向监管机构报送</w:t>
                      </w:r>
                      <w:r>
                        <w:rPr>
                          <w:rFonts w:hint="eastAsia" w:ascii="Arial" w:hAnsi="Arial" w:cs="Arial" w:eastAsiaTheme="minorEastAsia"/>
                          <w:b/>
                          <w:sz w:val="22"/>
                        </w:rPr>
                        <w:t>本</w:t>
                      </w:r>
                      <w:r>
                        <w:rPr>
                          <w:rFonts w:ascii="Arial" w:hAnsi="Arial" w:cs="Arial" w:eastAsiaTheme="minorEastAsia"/>
                          <w:b/>
                          <w:sz w:val="22"/>
                        </w:rPr>
                        <w:t>理财产品投资者身份信息、每日交易、持仓等信息。后续国家金融监督管理总局和银行业理财登记托管中心等机关如果提出新的信息报送要求，</w:t>
                      </w:r>
                      <w:r>
                        <w:rPr>
                          <w:rFonts w:hint="eastAsia" w:ascii="Arial" w:hAnsi="Arial" w:cs="Arial"/>
                          <w:b/>
                          <w:sz w:val="22"/>
                          <w:szCs w:val="22"/>
                        </w:rPr>
                        <w:t>管理人</w:t>
                      </w:r>
                      <w:r>
                        <w:rPr>
                          <w:rFonts w:ascii="Arial" w:hAnsi="Arial" w:cs="Arial" w:eastAsiaTheme="minorEastAsia"/>
                          <w:b/>
                          <w:sz w:val="22"/>
                        </w:rPr>
                        <w:t>将按照该等机关的要求执行。投资者签署本理财产品销售文件即视为已经同意</w:t>
                      </w:r>
                      <w:r>
                        <w:rPr>
                          <w:rFonts w:hint="eastAsia" w:ascii="Arial" w:hAnsi="Arial" w:cs="Arial"/>
                          <w:b/>
                          <w:sz w:val="22"/>
                          <w:szCs w:val="22"/>
                        </w:rPr>
                        <w:t>管理人</w:t>
                      </w:r>
                      <w:r>
                        <w:rPr>
                          <w:rFonts w:ascii="Arial" w:hAnsi="Arial" w:cs="Arial" w:eastAsiaTheme="minorEastAsia"/>
                          <w:b/>
                          <w:sz w:val="22"/>
                        </w:rPr>
                        <w:t>将按照相关机关要求报送投资者相关信息。</w:t>
                      </w:r>
                    </w:p>
                    <w:p>
                      <w:pPr>
                        <w:pStyle w:val="20"/>
                        <w:widowControl/>
                        <w:numPr>
                          <w:ilvl w:val="0"/>
                          <w:numId w:val="2"/>
                        </w:numPr>
                        <w:tabs>
                          <w:tab w:val="left" w:pos="284"/>
                          <w:tab w:val="left" w:pos="567"/>
                          <w:tab w:val="left" w:pos="8931"/>
                        </w:tabs>
                        <w:spacing w:line="360" w:lineRule="auto"/>
                        <w:ind w:left="0" w:firstLine="0" w:firstLineChars="0"/>
                        <w:rPr>
                          <w:rFonts w:ascii="Arial" w:hAnsi="Arial" w:cs="Arial" w:eastAsiaTheme="minorEastAsia"/>
                          <w:b/>
                          <w:sz w:val="22"/>
                        </w:rPr>
                      </w:pPr>
                      <w:r>
                        <w:rPr>
                          <w:rFonts w:ascii="Arial" w:hAnsi="Arial" w:cs="Arial" w:eastAsiaTheme="minorEastAsia"/>
                          <w:b/>
                          <w:sz w:val="22"/>
                        </w:rPr>
                        <w:t>根据监管机构要求，</w:t>
                      </w:r>
                      <w:r>
                        <w:rPr>
                          <w:rFonts w:hint="eastAsia" w:ascii="Arial" w:hAnsi="Arial" w:cs="Arial" w:eastAsiaTheme="minorEastAsia"/>
                          <w:b/>
                          <w:sz w:val="22"/>
                        </w:rPr>
                        <w:t>其他</w:t>
                      </w:r>
                      <w:r>
                        <w:rPr>
                          <w:rFonts w:ascii="Arial" w:hAnsi="Arial" w:cs="Arial" w:eastAsiaTheme="minorEastAsia"/>
                          <w:b/>
                          <w:sz w:val="22"/>
                        </w:rPr>
                        <w:t>管理人（如有，特指除本理财产品的产品管理人平安理财之外的其他管理人，包括但不限于本理财产品所投资的信托计划、资管计划/产品的受托人或管理人、相关投资顾问等，下同）有可能需要向监管机构报送投资者身份信息、持仓信息等相关信息，平安理财将应</w:t>
                      </w:r>
                      <w:r>
                        <w:rPr>
                          <w:rFonts w:hint="eastAsia" w:ascii="Arial" w:hAnsi="Arial" w:cs="Arial" w:eastAsiaTheme="minorEastAsia"/>
                          <w:b/>
                          <w:sz w:val="22"/>
                        </w:rPr>
                        <w:t>其他</w:t>
                      </w:r>
                      <w:r>
                        <w:rPr>
                          <w:rFonts w:ascii="Arial" w:hAnsi="Arial" w:cs="Arial" w:eastAsiaTheme="minorEastAsia"/>
                          <w:b/>
                          <w:sz w:val="22"/>
                        </w:rPr>
                        <w:t>管理人申请，在必要范围内向</w:t>
                      </w:r>
                      <w:r>
                        <w:rPr>
                          <w:rFonts w:hint="eastAsia" w:ascii="Arial" w:hAnsi="Arial" w:cs="Arial" w:eastAsiaTheme="minorEastAsia"/>
                          <w:b/>
                          <w:sz w:val="22"/>
                        </w:rPr>
                        <w:t>其他</w:t>
                      </w:r>
                      <w:r>
                        <w:rPr>
                          <w:rFonts w:ascii="Arial" w:hAnsi="Arial" w:cs="Arial" w:eastAsiaTheme="minorEastAsia"/>
                          <w:b/>
                          <w:sz w:val="22"/>
                        </w:rPr>
                        <w:t>管理人提供相关信息，并要求</w:t>
                      </w:r>
                      <w:r>
                        <w:rPr>
                          <w:rFonts w:hint="eastAsia" w:ascii="Arial" w:hAnsi="Arial" w:cs="Arial" w:eastAsiaTheme="minorEastAsia"/>
                          <w:b/>
                          <w:sz w:val="22"/>
                        </w:rPr>
                        <w:t>其他</w:t>
                      </w:r>
                      <w:r>
                        <w:rPr>
                          <w:rFonts w:ascii="Arial" w:hAnsi="Arial" w:cs="Arial" w:eastAsiaTheme="minorEastAsia"/>
                          <w:b/>
                          <w:sz w:val="22"/>
                        </w:rPr>
                        <w:t>管理人履行投资者信息保密义务。投资者签署本理财产品销售文件即视为已经同意平安理财在前述范围内向相关方提供投资者身份信息、持仓信息等相关信息。</w:t>
                      </w:r>
                    </w:p>
                    <w:p>
                      <w:pPr>
                        <w:rPr>
                          <w:rFonts w:ascii="Arial" w:hAnsi="Arial" w:cs="Arial" w:eastAsiaTheme="minorEastAsia"/>
                          <w:b/>
                          <w:sz w:val="22"/>
                        </w:rPr>
                      </w:pPr>
                    </w:p>
                  </w:txbxContent>
                </v:textbox>
              </v:shape>
            </w:pict>
          </mc:Fallback>
        </mc:AlternateContent>
      </w:r>
      <w:r>
        <w:rPr>
          <w:rFonts w:ascii="Arial" w:hAnsi="Arial" w:cs="Arial"/>
        </w:rPr>
        <w:br w:type="page"/>
      </w:r>
    </w:p>
    <w:p>
      <w:pPr>
        <w:pStyle w:val="2"/>
        <w:numPr>
          <w:ilvl w:val="0"/>
          <w:numId w:val="3"/>
        </w:numPr>
        <w:tabs>
          <w:tab w:val="left" w:pos="426"/>
        </w:tabs>
        <w:spacing w:line="240" w:lineRule="auto"/>
        <w:rPr>
          <w:rFonts w:ascii="Arial" w:hAnsi="Arial" w:cs="Arial"/>
          <w:color w:val="000000"/>
          <w:sz w:val="21"/>
          <w:szCs w:val="21"/>
        </w:rPr>
      </w:pPr>
      <w:r>
        <w:rPr>
          <w:rFonts w:ascii="Arial" w:hAnsi="Arial" w:cs="Arial"/>
          <w:color w:val="000000"/>
          <w:sz w:val="21"/>
          <w:szCs w:val="21"/>
        </w:rPr>
        <w:t>产品概述</w:t>
      </w:r>
    </w:p>
    <w:p>
      <w:pPr>
        <w:spacing w:line="360" w:lineRule="auto"/>
        <w:ind w:firstLine="444" w:firstLineChars="202"/>
        <w:rPr>
          <w:rFonts w:ascii="Arial" w:hAnsi="Arial" w:cs="Arial"/>
          <w:bCs/>
          <w:color w:val="000000"/>
          <w:sz w:val="22"/>
          <w:szCs w:val="22"/>
        </w:rPr>
      </w:pPr>
      <w:r>
        <w:rPr>
          <w:rFonts w:ascii="Arial" w:hAnsi="Arial" w:cs="Arial"/>
          <w:bCs/>
          <w:color w:val="000000"/>
          <w:sz w:val="22"/>
          <w:szCs w:val="22"/>
        </w:rPr>
        <w:t>本理财产品为开放式净值型理财产品。投资者在购买本理财产品时需</w:t>
      </w:r>
      <w:r>
        <w:rPr>
          <w:rFonts w:ascii="Arial" w:hAnsi="Arial" w:cs="Arial"/>
          <w:snapToGrid w:val="0"/>
          <w:color w:val="000000"/>
          <w:sz w:val="22"/>
          <w:szCs w:val="22"/>
        </w:rPr>
        <w:t>充分了解并清楚知晓本理财产品</w:t>
      </w:r>
      <w:r>
        <w:rPr>
          <w:rFonts w:ascii="Arial" w:hAnsi="Arial" w:cs="Arial"/>
          <w:bCs/>
          <w:color w:val="000000"/>
          <w:sz w:val="22"/>
          <w:szCs w:val="22"/>
        </w:rPr>
        <w:t>特性和风险特征。</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3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color w:val="000000"/>
                <w:sz w:val="22"/>
                <w:szCs w:val="22"/>
              </w:rPr>
              <w:t>产品名称</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bCs/>
                <w:color w:val="000000"/>
                <w:sz w:val="22"/>
                <w:szCs w:val="22"/>
              </w:rPr>
            </w:pPr>
            <w:r>
              <w:rPr>
                <w:rFonts w:hint="eastAsia" w:ascii="Arial" w:hAnsi="Arial" w:cs="Arial"/>
                <w:bCs/>
                <w:color w:val="000000"/>
                <w:sz w:val="22"/>
                <w:szCs w:val="22"/>
                <w:lang w:eastAsia="zh-CN"/>
              </w:rPr>
              <w:t>平安理财灵活成长创利日开90天持有2号固收类理财产品</w:t>
            </w:r>
            <w:r>
              <w:rPr>
                <w:rFonts w:hint="eastAsia" w:ascii="Arial" w:hAnsi="Arial" w:cs="Arial"/>
                <w:bCs/>
                <w:color w:val="000000"/>
                <w:sz w:val="22"/>
                <w:szCs w:val="22"/>
              </w:rPr>
              <w:t>（以下简称“本理财产品”、“理财产品”、“产品”）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color w:val="000000"/>
                <w:sz w:val="22"/>
                <w:szCs w:val="22"/>
              </w:rPr>
              <w:t>产品代码</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sz w:val="22"/>
                <w:szCs w:val="22"/>
              </w:rPr>
            </w:pPr>
            <w:r>
              <w:rPr>
                <w:rFonts w:hint="eastAsia" w:ascii="Arial" w:hAnsi="Arial" w:cs="Arial"/>
                <w:color w:val="000000"/>
                <w:szCs w:val="21"/>
              </w:rPr>
              <w:t>【LCCG090002】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color w:val="000000"/>
                <w:sz w:val="22"/>
                <w:szCs w:val="22"/>
              </w:rPr>
              <w:t>产品管理人</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sz w:val="22"/>
                <w:szCs w:val="22"/>
              </w:rPr>
            </w:pPr>
            <w:r>
              <w:rPr>
                <w:rFonts w:ascii="Arial" w:hAnsi="Arial" w:cs="Arial"/>
                <w:color w:val="000000"/>
                <w:sz w:val="22"/>
                <w:szCs w:val="22"/>
              </w:rPr>
              <w:t>平安理财有限责任公司，以下简称</w:t>
            </w:r>
            <w:r>
              <w:rPr>
                <w:rFonts w:hint="eastAsia" w:ascii="Arial" w:hAnsi="Arial" w:cs="Arial"/>
                <w:color w:val="000000"/>
                <w:sz w:val="22"/>
                <w:szCs w:val="22"/>
              </w:rPr>
              <w:t>“</w:t>
            </w:r>
            <w:r>
              <w:rPr>
                <w:rFonts w:ascii="Arial" w:hAnsi="Arial" w:cs="Arial"/>
                <w:color w:val="000000"/>
                <w:sz w:val="22"/>
                <w:szCs w:val="22"/>
              </w:rPr>
              <w:t>平安理财</w:t>
            </w:r>
            <w:r>
              <w:rPr>
                <w:rFonts w:hint="eastAsia" w:ascii="Arial" w:hAnsi="Arial" w:cs="Arial"/>
                <w:color w:val="000000"/>
                <w:sz w:val="22"/>
                <w:szCs w:val="22"/>
              </w:rPr>
              <w:t>”、“管理人”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color w:val="000000"/>
                <w:sz w:val="22"/>
                <w:szCs w:val="22"/>
              </w:rPr>
              <w:t>产品托管人</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sz w:val="22"/>
                <w:szCs w:val="22"/>
              </w:rPr>
            </w:pPr>
            <w:r>
              <w:rPr>
                <w:rFonts w:ascii="Arial" w:hAnsi="Arial" w:cs="Arial"/>
                <w:color w:val="000000"/>
                <w:sz w:val="22"/>
                <w:szCs w:val="22"/>
              </w:rPr>
              <w:t>平安银行股份有限公司，以下简称</w:t>
            </w:r>
            <w:r>
              <w:rPr>
                <w:rFonts w:hint="eastAsia" w:ascii="Arial" w:hAnsi="Arial" w:cs="Arial"/>
                <w:color w:val="000000"/>
                <w:sz w:val="22"/>
                <w:szCs w:val="22"/>
              </w:rPr>
              <w:t>“托管人”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color w:val="000000"/>
                <w:sz w:val="22"/>
                <w:szCs w:val="22"/>
              </w:rPr>
              <w:t>销售服务机构</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sz w:val="22"/>
                <w:szCs w:val="22"/>
              </w:rPr>
            </w:pPr>
            <w:r>
              <w:rPr>
                <w:rFonts w:hint="eastAsia" w:ascii="Arial" w:hAnsi="Arial" w:cs="Arial"/>
                <w:color w:val="000000"/>
                <w:sz w:val="22"/>
                <w:szCs w:val="22"/>
              </w:rPr>
              <w:t>指产品管理人以及符合《理财公司理财产品销售管理暂行办法》和</w:t>
            </w:r>
            <w:r>
              <w:rPr>
                <w:rFonts w:ascii="Arial" w:hAnsi="Arial" w:cs="Arial" w:eastAsiaTheme="minorEastAsia"/>
                <w:sz w:val="22"/>
              </w:rPr>
              <w:t>国家金融监督管理总局</w:t>
            </w:r>
            <w:r>
              <w:rPr>
                <w:rFonts w:hint="eastAsia" w:ascii="Arial" w:hAnsi="Arial" w:cs="Arial"/>
                <w:color w:val="000000"/>
                <w:sz w:val="22"/>
                <w:szCs w:val="22"/>
              </w:rPr>
              <w:t>规定，办理理财产品销售业务的机构。具体销售服务机构信息以管理人公告为准</w:t>
            </w:r>
            <w:r>
              <w:rPr>
                <w:rFonts w:ascii="Arial" w:hAnsi="Arial" w:cs="Arial"/>
                <w:color w:val="000000"/>
                <w:sz w:val="22"/>
                <w:szCs w:val="22"/>
              </w:rPr>
              <w:t>。</w:t>
            </w:r>
            <w:r>
              <w:rPr>
                <w:rFonts w:ascii="Arial" w:hAnsi="Arial" w:cs="Arial"/>
                <w:b/>
                <w:sz w:val="22"/>
                <w:szCs w:val="22"/>
              </w:rPr>
              <w:t>管理人有权增加其他销售服务机构，如有新增销售服务机构，以管理人公告为准。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color w:val="000000"/>
                <w:sz w:val="22"/>
                <w:szCs w:val="22"/>
              </w:rPr>
              <w:t>全国银行业理财信息登记系统编码</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sz w:val="22"/>
                <w:szCs w:val="22"/>
              </w:rPr>
            </w:pPr>
            <w:r>
              <w:rPr>
                <w:rFonts w:ascii="Arial" w:hAnsi="Arial" w:cs="Arial"/>
                <w:color w:val="000000"/>
                <w:sz w:val="22"/>
                <w:szCs w:val="22"/>
              </w:rPr>
              <w:t>产品登记编码：</w:t>
            </w:r>
            <w:r>
              <w:rPr>
                <w:rFonts w:hint="eastAsia" w:ascii="Arial" w:hAnsi="Arial" w:cs="Arial"/>
                <w:color w:val="000000"/>
                <w:sz w:val="22"/>
                <w:szCs w:val="22"/>
              </w:rPr>
              <w:t>【Z7003324000782】</w:t>
            </w:r>
            <w:r>
              <w:rPr>
                <w:rFonts w:ascii="Arial" w:hAnsi="Arial" w:cs="Arial"/>
                <w:color w:val="000000"/>
                <w:sz w:val="22"/>
                <w:szCs w:val="22"/>
              </w:rPr>
              <w:t>，投资者可以根据该登记</w:t>
            </w:r>
            <w:r>
              <w:rPr>
                <w:rFonts w:hint="eastAsia" w:ascii="Arial" w:hAnsi="Arial" w:cs="Arial"/>
                <w:color w:val="000000"/>
                <w:sz w:val="22"/>
                <w:szCs w:val="22"/>
              </w:rPr>
              <w:t>编码</w:t>
            </w:r>
            <w:r>
              <w:rPr>
                <w:rFonts w:ascii="Arial" w:hAnsi="Arial" w:cs="Arial"/>
                <w:color w:val="000000"/>
                <w:sz w:val="22"/>
                <w:szCs w:val="22"/>
              </w:rPr>
              <w:t>在中国理财网（网址：https://www.chinawealth.com.cn/）查询产品信息。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理财币种</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产品类型</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募集方式</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b/>
                <w:sz w:val="22"/>
                <w:szCs w:val="22"/>
              </w:rPr>
            </w:pPr>
            <w:r>
              <w:rPr>
                <w:rFonts w:ascii="Arial" w:hAnsi="Arial" w:cs="Arial"/>
                <w:b/>
                <w:sz w:val="22"/>
                <w:szCs w:val="22"/>
              </w:rPr>
              <w:t>公开募集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运作方式</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本理财产品为</w:t>
            </w:r>
            <w:r>
              <w:rPr>
                <w:rFonts w:ascii="Arial" w:hAnsi="Arial" w:cs="Arial"/>
                <w:sz w:val="22"/>
                <w:szCs w:val="22"/>
              </w:rPr>
              <w:t>开放式</w:t>
            </w:r>
            <w:r>
              <w:rPr>
                <w:rFonts w:hint="eastAsia" w:ascii="Arial" w:hAnsi="Arial" w:cs="Arial"/>
                <w:sz w:val="22"/>
                <w:szCs w:val="22"/>
              </w:rPr>
              <w:t>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color w:val="000000"/>
                <w:sz w:val="22"/>
                <w:szCs w:val="22"/>
              </w:rPr>
              <w:t>产品风险评级</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sz w:val="22"/>
                <w:szCs w:val="22"/>
              </w:rPr>
            </w:pPr>
            <w:r>
              <w:rPr>
                <w:rFonts w:hint="eastAsia" w:ascii="Arial" w:hAnsi="Arial" w:cs="Arial"/>
                <w:b/>
                <w:color w:val="000000"/>
                <w:sz w:val="22"/>
                <w:szCs w:val="22"/>
              </w:rPr>
              <w:t>二级（中低）</w:t>
            </w:r>
            <w:r>
              <w:rPr>
                <w:rFonts w:ascii="Arial" w:hAnsi="Arial" w:cs="Arial"/>
                <w:b/>
                <w:color w:val="000000"/>
                <w:sz w:val="22"/>
                <w:szCs w:val="22"/>
              </w:rPr>
              <w:t>风险</w:t>
            </w:r>
            <w:r>
              <w:rPr>
                <w:rFonts w:ascii="Arial" w:hAnsi="Arial" w:cs="Arial"/>
                <w:color w:val="000000"/>
                <w:sz w:val="22"/>
                <w:szCs w:val="22"/>
              </w:rPr>
              <w:t>（本风险评级为</w:t>
            </w:r>
            <w:r>
              <w:rPr>
                <w:rFonts w:hint="eastAsia" w:ascii="Arial" w:hAnsi="Arial" w:cs="Arial"/>
                <w:color w:val="000000"/>
                <w:sz w:val="22"/>
                <w:szCs w:val="22"/>
              </w:rPr>
              <w:t>管理人</w:t>
            </w:r>
            <w:r>
              <w:rPr>
                <w:rFonts w:ascii="Arial" w:hAnsi="Arial" w:cs="Arial"/>
                <w:color w:val="000000"/>
                <w:sz w:val="22"/>
                <w:szCs w:val="22"/>
              </w:rPr>
              <w:t>内部评级结果，该评级仅供参考）。</w:t>
            </w:r>
            <w:r>
              <w:rPr>
                <w:rFonts w:hint="eastAsia" w:ascii="Arial" w:hAnsi="Arial" w:cs="Arial"/>
                <w:color w:val="000000"/>
                <w:sz w:val="22"/>
                <w:szCs w:val="22"/>
              </w:rPr>
              <w:t>本理财产品通过销售服务机构销售的，产品风险评级以销售服务机构最终披露的评级结果为准。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color w:val="000000"/>
                <w:sz w:val="22"/>
                <w:szCs w:val="22"/>
              </w:rPr>
              <w:t>目标客户</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sz w:val="22"/>
                <w:szCs w:val="22"/>
              </w:rPr>
            </w:pPr>
            <w:r>
              <w:rPr>
                <w:rFonts w:ascii="Arial" w:hAnsi="Arial" w:cs="Arial"/>
                <w:color w:val="000000"/>
                <w:sz w:val="22"/>
                <w:szCs w:val="22"/>
              </w:rPr>
              <w:t>本理财产品向个人投资者和机构投资者销售。</w:t>
            </w:r>
            <w:r>
              <w:rPr>
                <w:rFonts w:ascii="Arial" w:hAnsi="Arial" w:cs="Arial"/>
                <w:sz w:val="22"/>
                <w:szCs w:val="22"/>
              </w:rPr>
              <w:t>管理人有权调整目标客户范围，如有调整，以</w:t>
            </w:r>
            <w:r>
              <w:rPr>
                <w:rFonts w:hint="eastAsia" w:ascii="Arial" w:hAnsi="Arial" w:cs="Arial"/>
                <w:sz w:val="22"/>
                <w:szCs w:val="22"/>
              </w:rPr>
              <w:t>管理人</w:t>
            </w:r>
            <w:r>
              <w:rPr>
                <w:rFonts w:ascii="Arial" w:hAnsi="Arial" w:cs="Arial"/>
                <w:sz w:val="22"/>
                <w:szCs w:val="22"/>
              </w:rPr>
              <w:t>公告为准。</w:t>
            </w:r>
          </w:p>
          <w:p>
            <w:pPr>
              <w:spacing w:line="360" w:lineRule="auto"/>
              <w:ind w:left="105" w:leftChars="50" w:right="105" w:rightChars="50"/>
              <w:rPr>
                <w:rFonts w:ascii="Arial" w:hAnsi="Arial" w:cs="Arial"/>
                <w:color w:val="000000"/>
                <w:sz w:val="22"/>
                <w:szCs w:val="22"/>
              </w:rPr>
            </w:pPr>
            <w:r>
              <w:rPr>
                <w:rFonts w:hint="eastAsia" w:ascii="Arial" w:hAnsi="Arial" w:cs="Arial"/>
                <w:color w:val="000000"/>
                <w:sz w:val="22"/>
                <w:szCs w:val="22"/>
              </w:rPr>
              <w:t>管理人</w:t>
            </w:r>
            <w:r>
              <w:rPr>
                <w:rFonts w:ascii="Arial" w:hAnsi="Arial" w:cs="Arial"/>
                <w:color w:val="000000"/>
                <w:sz w:val="22"/>
                <w:szCs w:val="22"/>
              </w:rPr>
              <w:t>建议：</w:t>
            </w:r>
            <w:r>
              <w:rPr>
                <w:rFonts w:hint="eastAsia" w:ascii="Arial" w:hAnsi="Arial" w:cs="Arial"/>
                <w:b/>
                <w:color w:val="000000"/>
                <w:sz w:val="22"/>
                <w:szCs w:val="22"/>
              </w:rPr>
              <w:t>本理财</w:t>
            </w:r>
            <w:r>
              <w:rPr>
                <w:rFonts w:ascii="Arial" w:hAnsi="Arial" w:cs="Arial"/>
                <w:b/>
                <w:color w:val="000000"/>
                <w:sz w:val="22"/>
                <w:szCs w:val="22"/>
              </w:rPr>
              <w:t>产品适合风险承受能力为“进取型”、“成长型”、“平衡型”</w:t>
            </w:r>
            <w:r>
              <w:rPr>
                <w:rFonts w:hint="eastAsia" w:ascii="Arial" w:hAnsi="Arial" w:cs="Arial"/>
                <w:b/>
                <w:color w:val="000000"/>
                <w:sz w:val="22"/>
                <w:szCs w:val="22"/>
              </w:rPr>
              <w:t>、“稳健型”</w:t>
            </w:r>
            <w:r>
              <w:rPr>
                <w:rFonts w:ascii="Arial" w:hAnsi="Arial" w:cs="Arial"/>
                <w:b/>
                <w:color w:val="000000"/>
                <w:sz w:val="22"/>
                <w:szCs w:val="22"/>
              </w:rPr>
              <w:t>的客户购买。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hint="eastAsia" w:ascii="Arial" w:hAnsi="Arial" w:cs="Arial"/>
                <w:b/>
                <w:color w:val="000000"/>
                <w:sz w:val="22"/>
                <w:szCs w:val="22"/>
              </w:rPr>
              <w:t>产品份额类别</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sz w:val="22"/>
                <w:szCs w:val="22"/>
              </w:rPr>
            </w:pPr>
            <w:r>
              <w:rPr>
                <w:rFonts w:hint="eastAsia" w:ascii="Arial" w:hAnsi="Arial" w:cs="Arial"/>
                <w:sz w:val="22"/>
                <w:szCs w:val="22"/>
              </w:rPr>
              <w:t>1、</w:t>
            </w:r>
            <w:r>
              <w:rPr>
                <w:rFonts w:hint="eastAsia" w:ascii="Arial" w:hAnsi="Arial" w:cs="Arial"/>
                <w:sz w:val="22"/>
                <w:szCs w:val="22"/>
              </w:rPr>
              <w:tab/>
            </w:r>
            <w:r>
              <w:rPr>
                <w:rFonts w:hint="eastAsia" w:ascii="Arial" w:hAnsi="Arial" w:cs="Arial"/>
                <w:sz w:val="22"/>
                <w:szCs w:val="22"/>
              </w:rPr>
              <w:t>产品管理人有权根据投资者购买理财产品的金额、销售渠道等因素，对理财产品设置不同的份额类别，并提前发布份额设置公告。</w:t>
            </w:r>
          </w:p>
          <w:p>
            <w:pPr>
              <w:spacing w:line="360" w:lineRule="auto"/>
              <w:ind w:left="105" w:leftChars="50" w:right="105" w:rightChars="50"/>
              <w:rPr>
                <w:rFonts w:ascii="Arial" w:hAnsi="Arial" w:cs="Arial"/>
                <w:sz w:val="22"/>
                <w:szCs w:val="22"/>
              </w:rPr>
            </w:pPr>
            <w:r>
              <w:rPr>
                <w:rFonts w:hint="eastAsia" w:ascii="Arial" w:hAnsi="Arial" w:cs="Arial"/>
                <w:sz w:val="22"/>
                <w:szCs w:val="22"/>
              </w:rPr>
              <w:t>2、</w:t>
            </w:r>
            <w:r>
              <w:rPr>
                <w:rFonts w:hint="eastAsia" w:ascii="Arial" w:hAnsi="Arial" w:cs="Arial"/>
                <w:sz w:val="22"/>
                <w:szCs w:val="22"/>
              </w:rPr>
              <w:tab/>
            </w:r>
            <w:r>
              <w:rPr>
                <w:rFonts w:hint="eastAsia" w:ascii="Arial" w:hAnsi="Arial" w:cs="Arial"/>
                <w:sz w:val="22"/>
                <w:szCs w:val="22"/>
              </w:rPr>
              <w:t>如产品设置理财不同的份额类别，理财产品每类份额以下内容可单独设置，具体设置情况以管理人公布的份额公告为准：</w:t>
            </w:r>
          </w:p>
          <w:p>
            <w:pPr>
              <w:spacing w:line="360" w:lineRule="auto"/>
              <w:ind w:left="105" w:leftChars="50" w:right="105" w:rightChars="50"/>
              <w:rPr>
                <w:rFonts w:ascii="Arial" w:hAnsi="Arial" w:cs="Arial"/>
                <w:sz w:val="22"/>
                <w:szCs w:val="22"/>
              </w:rPr>
            </w:pPr>
            <w:r>
              <w:rPr>
                <w:rFonts w:hint="eastAsia" w:ascii="Arial" w:hAnsi="Arial" w:cs="Arial"/>
                <w:sz w:val="22"/>
                <w:szCs w:val="22"/>
              </w:rPr>
              <w:t>（1）产品销售名称</w:t>
            </w:r>
          </w:p>
          <w:p>
            <w:pPr>
              <w:spacing w:line="360" w:lineRule="auto"/>
              <w:ind w:left="105" w:leftChars="50" w:right="105" w:rightChars="50"/>
              <w:rPr>
                <w:rFonts w:ascii="Arial" w:hAnsi="Arial" w:cs="Arial"/>
                <w:sz w:val="22"/>
                <w:szCs w:val="22"/>
              </w:rPr>
            </w:pPr>
            <w:r>
              <w:rPr>
                <w:rFonts w:hint="eastAsia" w:ascii="Arial" w:hAnsi="Arial" w:cs="Arial"/>
                <w:sz w:val="22"/>
                <w:szCs w:val="22"/>
              </w:rPr>
              <w:t>（2）产品销售代码</w:t>
            </w:r>
          </w:p>
          <w:p>
            <w:pPr>
              <w:spacing w:line="360" w:lineRule="auto"/>
              <w:ind w:left="105" w:leftChars="50" w:right="105" w:rightChars="50"/>
              <w:rPr>
                <w:rFonts w:ascii="Arial" w:hAnsi="Arial" w:cs="Arial"/>
                <w:sz w:val="22"/>
                <w:szCs w:val="22"/>
              </w:rPr>
            </w:pPr>
            <w:r>
              <w:rPr>
                <w:rFonts w:hint="eastAsia" w:ascii="Arial" w:hAnsi="Arial" w:cs="Arial"/>
                <w:sz w:val="22"/>
                <w:szCs w:val="22"/>
              </w:rPr>
              <w:t>（3）代销机构</w:t>
            </w:r>
          </w:p>
          <w:p>
            <w:pPr>
              <w:spacing w:line="360" w:lineRule="auto"/>
              <w:ind w:left="105" w:leftChars="50" w:right="105" w:rightChars="50"/>
              <w:rPr>
                <w:rFonts w:ascii="Arial" w:hAnsi="Arial" w:cs="Arial"/>
                <w:sz w:val="22"/>
                <w:szCs w:val="22"/>
              </w:rPr>
            </w:pPr>
            <w:r>
              <w:rPr>
                <w:rFonts w:hint="eastAsia" w:ascii="Arial" w:hAnsi="Arial" w:cs="Arial"/>
                <w:sz w:val="22"/>
                <w:szCs w:val="22"/>
              </w:rPr>
              <w:t>（4）适合的投资者</w:t>
            </w:r>
          </w:p>
          <w:p>
            <w:pPr>
              <w:spacing w:line="360" w:lineRule="auto"/>
              <w:ind w:left="105" w:leftChars="50" w:right="105" w:rightChars="50"/>
              <w:rPr>
                <w:rFonts w:ascii="Arial" w:hAnsi="Arial" w:cs="Arial"/>
                <w:sz w:val="22"/>
                <w:szCs w:val="22"/>
              </w:rPr>
            </w:pPr>
            <w:r>
              <w:rPr>
                <w:rFonts w:hint="eastAsia" w:ascii="Arial" w:hAnsi="Arial" w:cs="Arial"/>
                <w:sz w:val="22"/>
                <w:szCs w:val="22"/>
              </w:rPr>
              <w:t>（5）销售费率</w:t>
            </w:r>
          </w:p>
          <w:p>
            <w:pPr>
              <w:spacing w:line="360" w:lineRule="auto"/>
              <w:ind w:left="105" w:leftChars="50" w:right="105" w:rightChars="50"/>
              <w:rPr>
                <w:rFonts w:ascii="Arial" w:hAnsi="Arial" w:cs="Arial"/>
                <w:sz w:val="22"/>
                <w:szCs w:val="22"/>
              </w:rPr>
            </w:pPr>
            <w:r>
              <w:rPr>
                <w:rFonts w:hint="eastAsia" w:ascii="Arial" w:hAnsi="Arial" w:cs="Arial"/>
                <w:sz w:val="22"/>
                <w:szCs w:val="22"/>
              </w:rPr>
              <w:t>（</w:t>
            </w:r>
            <w:r>
              <w:rPr>
                <w:rFonts w:ascii="Arial" w:hAnsi="Arial" w:cs="Arial"/>
                <w:sz w:val="22"/>
                <w:szCs w:val="22"/>
              </w:rPr>
              <w:t>6</w:t>
            </w:r>
            <w:r>
              <w:rPr>
                <w:rFonts w:hint="eastAsia" w:ascii="Arial" w:hAnsi="Arial" w:cs="Arial"/>
                <w:sz w:val="22"/>
                <w:szCs w:val="22"/>
              </w:rPr>
              <w:t>）业绩比较基准</w:t>
            </w:r>
          </w:p>
          <w:p>
            <w:pPr>
              <w:spacing w:line="360" w:lineRule="auto"/>
              <w:ind w:left="105" w:leftChars="50" w:right="105" w:rightChars="50"/>
              <w:rPr>
                <w:rFonts w:ascii="Arial" w:hAnsi="Arial" w:cs="Arial"/>
                <w:sz w:val="22"/>
                <w:szCs w:val="22"/>
              </w:rPr>
            </w:pPr>
            <w:r>
              <w:rPr>
                <w:rFonts w:hint="eastAsia" w:ascii="Arial" w:hAnsi="Arial" w:cs="Arial"/>
                <w:sz w:val="22"/>
                <w:szCs w:val="22"/>
              </w:rPr>
              <w:t>（</w:t>
            </w:r>
            <w:r>
              <w:rPr>
                <w:rFonts w:ascii="Arial" w:hAnsi="Arial" w:cs="Arial"/>
                <w:sz w:val="22"/>
                <w:szCs w:val="22"/>
              </w:rPr>
              <w:t>7</w:t>
            </w:r>
            <w:r>
              <w:rPr>
                <w:rFonts w:hint="eastAsia" w:ascii="Arial" w:hAnsi="Arial" w:cs="Arial"/>
                <w:sz w:val="22"/>
                <w:szCs w:val="22"/>
              </w:rPr>
              <w:t>）认购/申购投资起点金额及递增金额</w:t>
            </w:r>
          </w:p>
          <w:p>
            <w:pPr>
              <w:spacing w:line="360" w:lineRule="auto"/>
              <w:ind w:left="105" w:leftChars="50" w:right="105" w:rightChars="50"/>
              <w:rPr>
                <w:rFonts w:ascii="Arial" w:hAnsi="Arial" w:cs="Arial"/>
                <w:sz w:val="22"/>
                <w:szCs w:val="22"/>
              </w:rPr>
            </w:pPr>
            <w:r>
              <w:rPr>
                <w:rFonts w:hint="eastAsia" w:ascii="Arial" w:hAnsi="Arial" w:cs="Arial"/>
                <w:sz w:val="22"/>
                <w:szCs w:val="22"/>
              </w:rPr>
              <w:t>（</w:t>
            </w:r>
            <w:r>
              <w:rPr>
                <w:rFonts w:ascii="Arial" w:hAnsi="Arial" w:cs="Arial"/>
                <w:sz w:val="22"/>
                <w:szCs w:val="22"/>
              </w:rPr>
              <w:t>8</w:t>
            </w:r>
            <w:r>
              <w:rPr>
                <w:rFonts w:hint="eastAsia" w:ascii="Arial" w:hAnsi="Arial" w:cs="Arial"/>
                <w:sz w:val="22"/>
                <w:szCs w:val="22"/>
              </w:rPr>
              <w:t>）单笔最大购买金额、累计购买金额、最少赎回份额等认购/申购和赎回的限制</w:t>
            </w:r>
          </w:p>
          <w:p>
            <w:pPr>
              <w:spacing w:line="360" w:lineRule="auto"/>
              <w:ind w:left="105" w:leftChars="50" w:right="105" w:rightChars="50"/>
              <w:rPr>
                <w:rFonts w:ascii="Arial" w:hAnsi="Arial" w:cs="Arial"/>
                <w:sz w:val="22"/>
                <w:szCs w:val="22"/>
              </w:rPr>
            </w:pPr>
            <w:r>
              <w:rPr>
                <w:rFonts w:hint="eastAsia" w:ascii="Arial" w:hAnsi="Arial" w:cs="Arial"/>
                <w:sz w:val="22"/>
                <w:szCs w:val="22"/>
              </w:rPr>
              <w:t>（</w:t>
            </w:r>
            <w:r>
              <w:rPr>
                <w:rFonts w:ascii="Arial" w:hAnsi="Arial" w:cs="Arial"/>
                <w:sz w:val="22"/>
                <w:szCs w:val="22"/>
              </w:rPr>
              <w:t>9</w:t>
            </w:r>
            <w:r>
              <w:rPr>
                <w:rFonts w:hint="eastAsia" w:ascii="Arial" w:hAnsi="Arial" w:cs="Arial"/>
                <w:sz w:val="22"/>
                <w:szCs w:val="22"/>
              </w:rPr>
              <w:t>）单一投资者持有上限</w:t>
            </w:r>
          </w:p>
          <w:p>
            <w:pPr>
              <w:spacing w:line="360" w:lineRule="auto"/>
              <w:ind w:left="105" w:leftChars="50" w:right="105" w:rightChars="50"/>
              <w:rPr>
                <w:rFonts w:ascii="Arial" w:hAnsi="Arial" w:cs="Arial"/>
                <w:sz w:val="22"/>
                <w:szCs w:val="22"/>
              </w:rPr>
            </w:pPr>
            <w:r>
              <w:rPr>
                <w:rFonts w:hint="eastAsia" w:ascii="Arial" w:hAnsi="Arial" w:cs="Arial"/>
                <w:sz w:val="22"/>
                <w:szCs w:val="22"/>
              </w:rPr>
              <w:t>（1</w:t>
            </w:r>
            <w:r>
              <w:rPr>
                <w:rFonts w:ascii="Arial" w:hAnsi="Arial" w:cs="Arial"/>
                <w:sz w:val="22"/>
                <w:szCs w:val="22"/>
              </w:rPr>
              <w:t>0</w:t>
            </w:r>
            <w:r>
              <w:rPr>
                <w:rFonts w:hint="eastAsia" w:ascii="Arial" w:hAnsi="Arial" w:cs="Arial"/>
                <w:sz w:val="22"/>
                <w:szCs w:val="22"/>
              </w:rPr>
              <w:t>）可单独设置的其他内容</w:t>
            </w:r>
          </w:p>
          <w:p>
            <w:pPr>
              <w:spacing w:line="360" w:lineRule="auto"/>
              <w:ind w:left="105" w:leftChars="50" w:right="105" w:rightChars="50"/>
              <w:rPr>
                <w:rFonts w:ascii="Arial" w:hAnsi="Arial" w:cs="Arial"/>
                <w:sz w:val="22"/>
                <w:szCs w:val="22"/>
              </w:rPr>
            </w:pPr>
            <w:r>
              <w:rPr>
                <w:rFonts w:hint="eastAsia" w:ascii="Arial" w:hAnsi="Arial" w:cs="Arial"/>
                <w:sz w:val="22"/>
                <w:szCs w:val="22"/>
              </w:rPr>
              <w:t>如理财产品设置不同的产品份额，各产品份额净值将分别计算及公告，投资者可根据实际情况自行选择认/申购的产品份额类别。</w:t>
            </w:r>
          </w:p>
          <w:p>
            <w:pPr>
              <w:spacing w:line="360" w:lineRule="auto"/>
              <w:ind w:left="105" w:leftChars="50" w:right="105" w:rightChars="50"/>
              <w:rPr>
                <w:rFonts w:ascii="Arial" w:hAnsi="Arial" w:cs="Arial"/>
                <w:sz w:val="22"/>
                <w:szCs w:val="22"/>
              </w:rPr>
            </w:pPr>
            <w:r>
              <w:rPr>
                <w:rFonts w:hint="eastAsia" w:ascii="Arial" w:hAnsi="Arial" w:cs="Arial"/>
                <w:sz w:val="22"/>
                <w:szCs w:val="22"/>
              </w:rPr>
              <w:t>管理人有权根据实际情况增加新的产品份额类别、调整产品份额类别设置或对份额分类方法及规则进行调整、停止现有产品份额类别的销售、提前终止某一份额。如有调整，以</w:t>
            </w:r>
            <w:r>
              <w:rPr>
                <w:rFonts w:hint="eastAsia" w:ascii="Arial" w:hAnsi="Arial" w:cs="Arial" w:eastAsiaTheme="minorEastAsia"/>
                <w:sz w:val="22"/>
              </w:rPr>
              <w:t>管理人</w:t>
            </w:r>
            <w:r>
              <w:rPr>
                <w:rFonts w:hint="eastAsia" w:ascii="Arial" w:hAnsi="Arial" w:cs="Arial"/>
                <w:sz w:val="22"/>
                <w:szCs w:val="22"/>
              </w:rPr>
              <w:t>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sz w:val="22"/>
                <w:szCs w:val="22"/>
              </w:rPr>
              <w:t>发行规模</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sz w:val="22"/>
                <w:szCs w:val="22"/>
              </w:rPr>
            </w:pPr>
            <w:r>
              <w:rPr>
                <w:rFonts w:hint="eastAsia" w:ascii="Arial" w:hAnsi="Arial" w:cs="Arial"/>
                <w:sz w:val="22"/>
                <w:szCs w:val="22"/>
              </w:rPr>
              <w:t>本理财产品无发行规模限制。</w:t>
            </w:r>
            <w:r>
              <w:rPr>
                <w:rFonts w:ascii="Arial" w:hAnsi="Arial" w:cs="Arial"/>
                <w:sz w:val="22"/>
                <w:szCs w:val="22"/>
              </w:rPr>
              <w:t>管理人有权调整发行规模上限，具体发行规模以</w:t>
            </w:r>
            <w:r>
              <w:rPr>
                <w:rFonts w:hint="eastAsia" w:ascii="Arial" w:hAnsi="Arial" w:cs="Arial"/>
                <w:sz w:val="22"/>
                <w:szCs w:val="22"/>
              </w:rPr>
              <w:t>管理人</w:t>
            </w:r>
            <w:r>
              <w:rPr>
                <w:rFonts w:ascii="Arial" w:hAnsi="Arial" w:cs="Arial"/>
                <w:sz w:val="22"/>
                <w:szCs w:val="22"/>
              </w:rPr>
              <w:t>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认购/申购起点</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各类份额的认购/申购起点以管理人公布的份额公告为准。</w:t>
            </w:r>
          </w:p>
          <w:p>
            <w:pPr>
              <w:spacing w:line="360" w:lineRule="auto"/>
              <w:ind w:left="105" w:leftChars="50" w:right="105" w:rightChars="50"/>
              <w:rPr>
                <w:rFonts w:ascii="Arial" w:hAnsi="Arial" w:cs="Arial"/>
                <w:sz w:val="22"/>
                <w:szCs w:val="22"/>
              </w:rPr>
            </w:pPr>
            <w:r>
              <w:rPr>
                <w:rFonts w:hint="eastAsia" w:ascii="Arial" w:hAnsi="Arial" w:cs="Arial"/>
                <w:sz w:val="22"/>
                <w:szCs w:val="22"/>
              </w:rPr>
              <w:t>管理人有权对不同产品份额设置不同的认/申购起点并进行调整，同时提前以公告形式披露具体的调整规则。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单笔认购/申购上限</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各类份额的单笔认购/申购上限以管理人公布的份额公告为准。如发生超额申请，管理人有权根据实际情况决定拒绝或受理</w:t>
            </w:r>
            <w:r>
              <w:rPr>
                <w:rFonts w:ascii="Arial" w:hAnsi="Arial" w:cs="Arial"/>
                <w:sz w:val="22"/>
                <w:szCs w:val="22"/>
              </w:rPr>
              <w:t>。管理人有权以公告形式调整单笔认购/申购上限。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单一投资者</w:t>
            </w:r>
          </w:p>
          <w:p>
            <w:pPr>
              <w:spacing w:line="360" w:lineRule="auto"/>
              <w:jc w:val="center"/>
              <w:rPr>
                <w:rFonts w:ascii="Arial" w:hAnsi="Arial" w:cs="Arial"/>
                <w:b/>
                <w:sz w:val="22"/>
                <w:szCs w:val="22"/>
              </w:rPr>
            </w:pPr>
            <w:r>
              <w:rPr>
                <w:rFonts w:ascii="Arial" w:hAnsi="Arial" w:cs="Arial"/>
                <w:b/>
                <w:sz w:val="22"/>
                <w:szCs w:val="22"/>
              </w:rPr>
              <w:t>持有上限</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kern w:val="0"/>
                <w:sz w:val="22"/>
                <w:szCs w:val="22"/>
              </w:rPr>
            </w:pPr>
            <w:r>
              <w:rPr>
                <w:rFonts w:hint="eastAsia" w:ascii="Arial" w:hAnsi="Arial" w:cs="Arial"/>
                <w:sz w:val="22"/>
                <w:szCs w:val="22"/>
              </w:rPr>
              <w:t>各类份额的单一投资者持有上限以管理人公布的份额公告为准（</w:t>
            </w:r>
            <w:r>
              <w:rPr>
                <w:rFonts w:ascii="Arial" w:hAnsi="Arial" w:cs="Arial"/>
                <w:sz w:val="22"/>
                <w:szCs w:val="22"/>
              </w:rPr>
              <w:t>在产品运作过程中因收益分配、净值波动等被动超上限的情形除外</w:t>
            </w:r>
            <w:r>
              <w:rPr>
                <w:rFonts w:hint="eastAsia" w:ascii="Arial" w:hAnsi="Arial" w:cs="Arial"/>
                <w:sz w:val="22"/>
                <w:szCs w:val="22"/>
              </w:rPr>
              <w:t>），</w:t>
            </w:r>
            <w:r>
              <w:rPr>
                <w:rFonts w:ascii="Arial" w:hAnsi="Arial" w:cs="Arial"/>
                <w:sz w:val="22"/>
                <w:szCs w:val="22"/>
              </w:rPr>
              <w:t>管理人有权以公告形式调整单一投资者持有上限。</w:t>
            </w:r>
            <w:r>
              <w:rPr>
                <w:rFonts w:hint="eastAsia" w:ascii="Arial" w:hAnsi="Arial" w:cs="Arial"/>
                <w:sz w:val="22"/>
                <w:szCs w:val="22"/>
              </w:rPr>
              <w:t>如发生超额申请，管理人有权根据实际情况决定拒绝或受理</w:t>
            </w:r>
            <w:r>
              <w:rPr>
                <w:rFonts w:ascii="Arial" w:hAnsi="Arial" w:cs="Arial"/>
                <w:sz w:val="22"/>
                <w:szCs w:val="22"/>
              </w:rPr>
              <w:t>。</w:t>
            </w:r>
            <w:r>
              <w:rPr>
                <w:rFonts w:hint="eastAsia" w:ascii="Arial" w:hAnsi="Arial" w:cs="Arial"/>
                <w:sz w:val="22"/>
                <w:szCs w:val="22"/>
              </w:rPr>
              <w:t>管理人不得接受单一投资者购买超过产品份额总数50%的申请（在产品运作过程中因份额赎回、收益结转等情形导致持有份额被动超过此规则的情形除外）。非因理财产品管理人主观因素导致突破前款规定比例限制的，在单一投资者持有比例降至50%以下之前，理财产品管理人不得再接受该投资者对该理财产品的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理财产品份额</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本</w:t>
            </w:r>
            <w:r>
              <w:rPr>
                <w:rFonts w:ascii="Arial" w:hAnsi="Arial" w:cs="Arial"/>
                <w:sz w:val="22"/>
                <w:szCs w:val="22"/>
              </w:rPr>
              <w:t>理财产品份额以人民币计价，单位为份。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理财产品份额面值</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认购期</w:t>
            </w:r>
            <w:r>
              <w:rPr>
                <w:rFonts w:ascii="Arial" w:hAnsi="Arial" w:cs="Arial"/>
                <w:sz w:val="22"/>
                <w:szCs w:val="22"/>
              </w:rPr>
              <w:t>每份理财产品份额面值为人民币1元。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业绩比较基准</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eastAsia="等线" w:cs="Arial"/>
                <w:b/>
                <w:sz w:val="22"/>
                <w:szCs w:val="22"/>
              </w:rPr>
            </w:pPr>
            <w:r>
              <w:rPr>
                <w:rFonts w:hint="eastAsia"/>
                <w:b/>
                <w:sz w:val="22"/>
                <w:szCs w:val="22"/>
              </w:rPr>
              <w:t>本理财产品各类份额的业绩比较基准以管理人公布的份额公告为准。</w:t>
            </w:r>
          </w:p>
          <w:p>
            <w:pPr>
              <w:spacing w:line="360" w:lineRule="auto"/>
              <w:ind w:left="105" w:leftChars="50" w:right="105" w:rightChars="50"/>
              <w:rPr>
                <w:rFonts w:hint="eastAsia"/>
                <w:b/>
                <w:sz w:val="22"/>
                <w:szCs w:val="22"/>
              </w:rPr>
            </w:pPr>
            <w:r>
              <w:rPr>
                <w:rFonts w:hint="eastAsia"/>
                <w:b/>
                <w:sz w:val="22"/>
                <w:szCs w:val="22"/>
              </w:rPr>
              <w:t>本理财产品以中短久期债券为基础仓位，密切关注债券市场和货币市场运行状况与风险收益特征，将不低于80%的资金投资于固定收益类资产，将不低于5%资金投资于现金或到期日在一年以内的国债、中央银行票据和政策性金融债券。其中固定收益类资产测算收益参考中债综合财富（1-3年）指数收益率，运用资产配置策略、骑乘策略、收益率曲线策略、息差策略、流动性管控手段，注重资产均衡配置的同时灵活调整，以增厚组合收益，扣除相关税费成本后，综合得出本理财产品的业绩比较基准。</w:t>
            </w:r>
          </w:p>
          <w:p>
            <w:pPr>
              <w:spacing w:line="360" w:lineRule="auto"/>
              <w:ind w:left="105" w:leftChars="50" w:right="105" w:rightChars="50"/>
              <w:rPr>
                <w:rFonts w:hint="eastAsia"/>
                <w:b/>
                <w:sz w:val="22"/>
                <w:szCs w:val="22"/>
              </w:rPr>
            </w:pPr>
            <w:r>
              <w:rPr>
                <w:rFonts w:hint="eastAsia"/>
                <w:b/>
                <w:sz w:val="22"/>
                <w:szCs w:val="22"/>
              </w:rPr>
              <w:t>本理财产品为净值型产品，业绩表现将随市场波动，具有不确定性。业绩比较基准是本理财产品管理人基于产品性质、投资策略、过往经验等因素对产品设定的投资目标，不是预期收益率，不代表产品的未来表现和实际收益，不构成管理人对产品收益的承诺。</w:t>
            </w:r>
          </w:p>
          <w:p>
            <w:pPr>
              <w:spacing w:line="360" w:lineRule="auto"/>
              <w:ind w:left="105" w:leftChars="50" w:right="105" w:rightChars="50"/>
              <w:rPr>
                <w:rFonts w:ascii="Arial" w:hAnsi="Arial" w:cs="Arial"/>
                <w:sz w:val="22"/>
                <w:szCs w:val="22"/>
              </w:rPr>
            </w:pPr>
            <w:r>
              <w:rPr>
                <w:rFonts w:hint="eastAsia" w:ascii="Arial" w:hAnsi="Arial" w:cs="Arial"/>
                <w:sz w:val="22"/>
                <w:szCs w:val="22"/>
              </w:rPr>
              <w:t>管理人有权根据市场情况对业绩比较基准进行调整，并在调整实施前公布调整后的业绩比较基准。业绩比较基准调整后产品说明书不同步修订，请投资者及时通过本理财产品说明书约定的信息披露渠道获取本理财产品最新业绩比较基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理财产品费用</w:t>
            </w:r>
          </w:p>
        </w:tc>
        <w:tc>
          <w:tcPr>
            <w:tcW w:w="7088" w:type="dxa"/>
            <w:shd w:val="clear" w:color="auto" w:fill="auto"/>
            <w:tcMar>
              <w:top w:w="15" w:type="dxa"/>
              <w:left w:w="15" w:type="dxa"/>
              <w:bottom w:w="0" w:type="dxa"/>
              <w:right w:w="15" w:type="dxa"/>
            </w:tcMar>
          </w:tcPr>
          <w:p>
            <w:pPr>
              <w:pStyle w:val="20"/>
              <w:numPr>
                <w:ilvl w:val="0"/>
                <w:numId w:val="4"/>
              </w:numPr>
              <w:spacing w:line="360" w:lineRule="auto"/>
              <w:ind w:left="126" w:right="105" w:rightChars="50" w:hanging="21" w:firstLineChars="0"/>
              <w:rPr>
                <w:rFonts w:ascii="Arial" w:hAnsi="Arial" w:cs="Arial"/>
                <w:sz w:val="22"/>
                <w:szCs w:val="22"/>
              </w:rPr>
            </w:pPr>
            <w:r>
              <w:rPr>
                <w:rFonts w:ascii="Arial" w:hAnsi="Arial" w:cs="Arial"/>
                <w:sz w:val="22"/>
                <w:szCs w:val="22"/>
              </w:rPr>
              <w:t>固定管理费：管理人收取</w:t>
            </w:r>
            <w:r>
              <w:rPr>
                <w:rFonts w:hint="eastAsia" w:ascii="Arial" w:hAnsi="Arial" w:cs="Arial"/>
                <w:sz w:val="22"/>
                <w:szCs w:val="22"/>
              </w:rPr>
              <w:t>本</w:t>
            </w:r>
            <w:r>
              <w:rPr>
                <w:rFonts w:ascii="Arial" w:hAnsi="Arial" w:cs="Arial"/>
                <w:sz w:val="22"/>
                <w:szCs w:val="22"/>
              </w:rPr>
              <w:t>理财产品固定管理费，</w:t>
            </w:r>
            <w:r>
              <w:rPr>
                <w:rFonts w:hint="eastAsia" w:ascii="Arial" w:hAnsi="Arial" w:cs="Arial"/>
                <w:sz w:val="22"/>
                <w:szCs w:val="22"/>
              </w:rPr>
              <w:t>各类份额</w:t>
            </w:r>
            <w:r>
              <w:rPr>
                <w:rFonts w:ascii="Arial" w:hAnsi="Arial" w:cs="Arial"/>
                <w:sz w:val="22"/>
                <w:szCs w:val="22"/>
              </w:rPr>
              <w:t>固定管理费率不超过</w:t>
            </w:r>
            <w:r>
              <w:rPr>
                <w:rFonts w:hint="eastAsia" w:ascii="Arial" w:hAnsi="Arial" w:cs="Arial"/>
                <w:sz w:val="22"/>
                <w:szCs w:val="22"/>
              </w:rPr>
              <w:t>0.</w:t>
            </w:r>
            <w:r>
              <w:rPr>
                <w:rFonts w:ascii="Arial" w:hAnsi="Arial" w:cs="Arial"/>
                <w:sz w:val="22"/>
                <w:szCs w:val="22"/>
              </w:rPr>
              <w:t>50%/年。固定管理费精确到小数点后2位，小数点2 位以后四舍五入。</w:t>
            </w:r>
          </w:p>
          <w:p>
            <w:pPr>
              <w:spacing w:line="360" w:lineRule="auto"/>
              <w:ind w:left="105" w:leftChars="50" w:right="105" w:rightChars="50"/>
              <w:rPr>
                <w:rFonts w:ascii="Arial" w:hAnsi="Arial" w:cs="Arial"/>
                <w:sz w:val="22"/>
                <w:szCs w:val="22"/>
              </w:rPr>
            </w:pPr>
            <w:r>
              <w:rPr>
                <w:rFonts w:ascii="Arial" w:hAnsi="Arial" w:cs="Arial"/>
                <w:sz w:val="22"/>
                <w:szCs w:val="22"/>
              </w:rPr>
              <w:t>2.托管费：托管人对本理财产品收取托管费，</w:t>
            </w:r>
            <w:r>
              <w:rPr>
                <w:rFonts w:hint="eastAsia" w:ascii="Arial" w:hAnsi="Arial" w:cs="Arial"/>
                <w:sz w:val="22"/>
                <w:szCs w:val="22"/>
              </w:rPr>
              <w:t>各类份额</w:t>
            </w:r>
            <w:r>
              <w:rPr>
                <w:rFonts w:ascii="Arial" w:hAnsi="Arial" w:cs="Arial"/>
                <w:sz w:val="22"/>
                <w:szCs w:val="22"/>
              </w:rPr>
              <w:t>托管费率不超过0.03%/年。托管费精确到小数点后2位，小数点2位以后四舍五入。</w:t>
            </w:r>
          </w:p>
          <w:p>
            <w:pPr>
              <w:spacing w:line="360" w:lineRule="auto"/>
              <w:ind w:left="105" w:leftChars="50" w:right="105" w:rightChars="50"/>
              <w:rPr>
                <w:rFonts w:ascii="Arial" w:hAnsi="Arial" w:cs="Arial"/>
                <w:sz w:val="22"/>
                <w:szCs w:val="22"/>
              </w:rPr>
            </w:pPr>
            <w:r>
              <w:rPr>
                <w:rFonts w:ascii="Arial" w:hAnsi="Arial" w:cs="Arial"/>
                <w:sz w:val="22"/>
                <w:szCs w:val="22"/>
              </w:rPr>
              <w:t>3.销售服务费：销售服务机构收取</w:t>
            </w:r>
            <w:r>
              <w:rPr>
                <w:rFonts w:hint="eastAsia" w:ascii="Arial" w:hAnsi="Arial" w:cs="Arial"/>
                <w:sz w:val="22"/>
                <w:szCs w:val="22"/>
              </w:rPr>
              <w:t>本</w:t>
            </w:r>
            <w:r>
              <w:rPr>
                <w:rFonts w:ascii="Arial" w:hAnsi="Arial" w:cs="Arial"/>
                <w:sz w:val="22"/>
                <w:szCs w:val="22"/>
              </w:rPr>
              <w:t>理财产品销售服务费，</w:t>
            </w:r>
            <w:r>
              <w:rPr>
                <w:rFonts w:hint="eastAsia" w:ascii="Arial" w:hAnsi="Arial" w:cs="Arial"/>
                <w:sz w:val="22"/>
                <w:szCs w:val="22"/>
              </w:rPr>
              <w:t>各类份额</w:t>
            </w:r>
            <w:r>
              <w:rPr>
                <w:rFonts w:ascii="Arial" w:hAnsi="Arial" w:cs="Arial"/>
                <w:sz w:val="22"/>
                <w:szCs w:val="22"/>
              </w:rPr>
              <w:t>销售服务费率不超过</w:t>
            </w:r>
            <w:r>
              <w:rPr>
                <w:rFonts w:hint="eastAsia" w:ascii="Arial" w:hAnsi="Arial" w:cs="Arial"/>
                <w:sz w:val="22"/>
                <w:szCs w:val="22"/>
              </w:rPr>
              <w:t>0.</w:t>
            </w:r>
            <w:r>
              <w:rPr>
                <w:rFonts w:ascii="Arial" w:hAnsi="Arial" w:cs="Arial"/>
                <w:sz w:val="22"/>
                <w:szCs w:val="22"/>
              </w:rPr>
              <w:t>50%/年。销售服务费精确到小数点后2位，小数点2位以后四舍五入。</w:t>
            </w:r>
          </w:p>
          <w:p>
            <w:pPr>
              <w:spacing w:line="360" w:lineRule="auto"/>
              <w:ind w:left="105" w:leftChars="50" w:right="105" w:rightChars="50"/>
              <w:rPr>
                <w:rFonts w:ascii="Arial" w:hAnsi="Arial" w:cs="Arial"/>
                <w:sz w:val="22"/>
                <w:szCs w:val="22"/>
              </w:rPr>
            </w:pPr>
            <w:r>
              <w:rPr>
                <w:rFonts w:ascii="Arial" w:hAnsi="Arial" w:cs="Arial"/>
                <w:sz w:val="22"/>
                <w:szCs w:val="22"/>
              </w:rPr>
              <w:t>4</w:t>
            </w:r>
            <w:r>
              <w:rPr>
                <w:rFonts w:hint="eastAsia" w:ascii="Arial" w:hAnsi="Arial" w:cs="Arial"/>
                <w:sz w:val="22"/>
                <w:szCs w:val="22"/>
              </w:rPr>
              <w:t>.</w:t>
            </w:r>
            <w:r>
              <w:rPr>
                <w:rFonts w:ascii="Arial" w:hAnsi="Arial" w:cs="Arial"/>
                <w:sz w:val="22"/>
                <w:szCs w:val="22"/>
              </w:rPr>
              <w:t>其他（如有）：</w:t>
            </w:r>
            <w:r>
              <w:rPr>
                <w:rFonts w:hint="eastAsia" w:ascii="Arial" w:hAnsi="Arial" w:cs="Arial"/>
                <w:sz w:val="22"/>
                <w:szCs w:val="22"/>
              </w:rPr>
              <w:t>除理财产品所承担的固定管理费、托管费、销售服务费、增值税及附加税费等费用，以及其它应由理财产品资产承担的产品费用之外，还包括产品开户费用、账户维护费用、银行划款费用、</w:t>
            </w:r>
            <w:r>
              <w:rPr>
                <w:rFonts w:ascii="Arial" w:hAnsi="Arial" w:cs="Arial"/>
                <w:sz w:val="22"/>
                <w:szCs w:val="22"/>
              </w:rPr>
              <w:t>交易费用（包括但不限于交易佣金、撮合费用等）、验资费、审计费、律师费、</w:t>
            </w:r>
            <w:r>
              <w:rPr>
                <w:rFonts w:hint="eastAsia" w:ascii="Arial" w:hAnsi="Arial" w:cs="Arial"/>
                <w:sz w:val="22"/>
                <w:szCs w:val="22"/>
              </w:rPr>
              <w:t>诉讼费、</w:t>
            </w:r>
            <w:r>
              <w:rPr>
                <w:rFonts w:ascii="Arial" w:hAnsi="Arial" w:cs="Arial"/>
                <w:sz w:val="22"/>
                <w:szCs w:val="22"/>
              </w:rPr>
              <w:t>信息披露费、清算费、执行费等相关费用</w:t>
            </w:r>
            <w:r>
              <w:rPr>
                <w:rFonts w:hint="eastAsia" w:ascii="Arial" w:hAnsi="Arial" w:cs="Arial"/>
                <w:sz w:val="22"/>
                <w:szCs w:val="22"/>
              </w:rPr>
              <w:t>，按照法律法规规定在本理财产品资产中列支。</w:t>
            </w:r>
          </w:p>
          <w:p>
            <w:pPr>
              <w:spacing w:line="360" w:lineRule="auto"/>
              <w:ind w:left="105" w:leftChars="50" w:right="105" w:rightChars="50"/>
              <w:rPr>
                <w:rFonts w:ascii="Arial" w:hAnsi="Arial" w:cs="Arial"/>
                <w:sz w:val="22"/>
                <w:szCs w:val="22"/>
              </w:rPr>
            </w:pPr>
            <w:r>
              <w:rPr>
                <w:rFonts w:ascii="Arial" w:hAnsi="Arial" w:cs="Arial"/>
                <w:sz w:val="22"/>
                <w:szCs w:val="22"/>
              </w:rPr>
              <w:t>5.</w:t>
            </w:r>
            <w:r>
              <w:rPr>
                <w:rFonts w:hint="eastAsia" w:ascii="Arial" w:hAnsi="Arial" w:cs="Arial"/>
                <w:sz w:val="22"/>
                <w:szCs w:val="22"/>
              </w:rPr>
              <w:t>浮动管理费：管理人对开放日提交赎回申请的投资者或理财产品终止日时持有本理财产品的投资者收取浮动管理费。</w:t>
            </w:r>
            <w:r>
              <w:rPr>
                <w:rFonts w:hint="eastAsia" w:ascii="Arial" w:hAnsi="Arial" w:cs="Arial"/>
                <w:b/>
                <w:sz w:val="22"/>
                <w:szCs w:val="22"/>
              </w:rPr>
              <w:t>浮动管理费计提基准仅作为计算管理人收取浮动管理费的依据，不代表本理财产品的未来表现和实际收益，不构成管理人对本理财产品的任何收益承诺。详细内容见“六、产品费用”。</w:t>
            </w:r>
          </w:p>
          <w:p>
            <w:pPr>
              <w:spacing w:line="360" w:lineRule="auto"/>
              <w:ind w:left="105" w:leftChars="50" w:right="105" w:rightChars="50"/>
              <w:rPr>
                <w:rFonts w:ascii="Arial" w:hAnsi="Arial" w:cs="Arial"/>
                <w:sz w:val="22"/>
                <w:szCs w:val="22"/>
              </w:rPr>
            </w:pPr>
            <w:r>
              <w:rPr>
                <w:rFonts w:ascii="Arial" w:hAnsi="Arial" w:cs="Arial"/>
                <w:sz w:val="22"/>
                <w:szCs w:val="22"/>
              </w:rPr>
              <w:t>6.管理人有权根据国家政策和适用法律</w:t>
            </w:r>
            <w:r>
              <w:rPr>
                <w:rFonts w:hint="eastAsia" w:ascii="Arial" w:hAnsi="Arial" w:cs="Arial"/>
                <w:sz w:val="22"/>
                <w:szCs w:val="22"/>
              </w:rPr>
              <w:t>法规</w:t>
            </w:r>
            <w:r>
              <w:rPr>
                <w:rFonts w:ascii="Arial" w:hAnsi="Arial" w:cs="Arial"/>
                <w:sz w:val="22"/>
                <w:szCs w:val="22"/>
              </w:rPr>
              <w:t>的规定</w:t>
            </w:r>
            <w:r>
              <w:rPr>
                <w:rFonts w:hint="eastAsia" w:ascii="Arial" w:hAnsi="Arial" w:cs="Arial"/>
                <w:sz w:val="22"/>
                <w:szCs w:val="22"/>
              </w:rPr>
              <w:t>并结合实际情况</w:t>
            </w:r>
            <w:r>
              <w:rPr>
                <w:rFonts w:ascii="Arial" w:hAnsi="Arial" w:cs="Arial"/>
                <w:sz w:val="22"/>
                <w:szCs w:val="22"/>
              </w:rPr>
              <w:t>，对本理财产品收费项目、收费条件、计算方法、收取方式及费率等在约定范围内进行调整，具体以管理人公告为准。超出约定范围的调整，</w:t>
            </w:r>
            <w:r>
              <w:rPr>
                <w:rFonts w:hint="eastAsia" w:ascii="Arial" w:hAnsi="Arial" w:cs="Arial"/>
                <w:sz w:val="22"/>
                <w:szCs w:val="22"/>
              </w:rPr>
              <w:t>管理人将至少提前5个工作日进行公告，详细内容请见“六、产品费用”。</w:t>
            </w:r>
          </w:p>
          <w:p>
            <w:pPr>
              <w:spacing w:line="360" w:lineRule="auto"/>
              <w:ind w:left="105" w:leftChars="50" w:right="105" w:rightChars="50"/>
              <w:rPr>
                <w:rFonts w:ascii="Arial" w:hAnsi="Arial" w:cs="Arial"/>
                <w:sz w:val="22"/>
                <w:szCs w:val="22"/>
              </w:rPr>
            </w:pPr>
            <w:r>
              <w:rPr>
                <w:rFonts w:ascii="Arial" w:hAnsi="Arial" w:cs="Arial"/>
                <w:sz w:val="22"/>
                <w:szCs w:val="22"/>
              </w:rPr>
              <w:t>7.</w:t>
            </w:r>
            <w:r>
              <w:rPr>
                <w:rFonts w:hint="eastAsia" w:ascii="Arial" w:hAnsi="Arial" w:cs="Arial"/>
                <w:sz w:val="22"/>
                <w:szCs w:val="22"/>
              </w:rPr>
              <w:t>本理财产品不收取认购费、申购费、赎回费。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本金及理财收益（如有，下同）</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本理财产品的收益特征为</w:t>
            </w:r>
            <w:r>
              <w:rPr>
                <w:rFonts w:ascii="Arial" w:hAnsi="Arial" w:cs="Arial"/>
                <w:b/>
                <w:sz w:val="22"/>
                <w:szCs w:val="22"/>
              </w:rPr>
              <w:t>非保本浮动收益，不保障本金且不保证理财收益</w:t>
            </w:r>
            <w:r>
              <w:rPr>
                <w:rFonts w:ascii="Arial" w:hAnsi="Arial" w:cs="Arial"/>
                <w:sz w:val="22"/>
                <w:szCs w:val="22"/>
              </w:rPr>
              <w:t>。</w:t>
            </w:r>
            <w:r>
              <w:rPr>
                <w:rFonts w:ascii="Arial" w:hAnsi="Arial" w:cs="Arial"/>
                <w:b/>
                <w:sz w:val="22"/>
                <w:szCs w:val="22"/>
              </w:rPr>
              <w:t>本理财产品的收益随投资收益浮动，投资者可能因市场变动等而蒙受损失。</w:t>
            </w:r>
            <w:r>
              <w:rPr>
                <w:rFonts w:ascii="Arial" w:hAnsi="Arial" w:cs="Arial"/>
                <w:sz w:val="22"/>
                <w:szCs w:val="22"/>
              </w:rPr>
              <w:t>在</w:t>
            </w:r>
            <w:r>
              <w:rPr>
                <w:rFonts w:hint="eastAsia" w:ascii="Arial" w:hAnsi="Arial" w:cs="Arial"/>
                <w:sz w:val="22"/>
                <w:szCs w:val="22"/>
              </w:rPr>
              <w:t>本</w:t>
            </w:r>
            <w:r>
              <w:rPr>
                <w:rFonts w:ascii="Arial" w:hAnsi="Arial" w:cs="Arial"/>
                <w:sz w:val="22"/>
                <w:szCs w:val="22"/>
              </w:rPr>
              <w:t>理财产品对外投资资产正常回收的情况下，扣除</w:t>
            </w:r>
            <w:r>
              <w:rPr>
                <w:rFonts w:hint="eastAsia" w:ascii="Arial" w:hAnsi="Arial" w:cs="Arial"/>
                <w:sz w:val="22"/>
                <w:szCs w:val="22"/>
              </w:rPr>
              <w:t>本</w:t>
            </w:r>
            <w:r>
              <w:rPr>
                <w:rFonts w:ascii="Arial" w:hAnsi="Arial" w:cs="Arial"/>
                <w:sz w:val="22"/>
                <w:szCs w:val="22"/>
              </w:rPr>
              <w:t>理财产品应承担的费用和税款后，计算</w:t>
            </w:r>
            <w:r>
              <w:rPr>
                <w:rFonts w:hint="eastAsia" w:ascii="Arial" w:hAnsi="Arial" w:cs="Arial"/>
                <w:sz w:val="22"/>
                <w:szCs w:val="22"/>
              </w:rPr>
              <w:t>本</w:t>
            </w:r>
            <w:r>
              <w:rPr>
                <w:rFonts w:ascii="Arial" w:hAnsi="Arial" w:cs="Arial"/>
                <w:sz w:val="22"/>
                <w:szCs w:val="22"/>
              </w:rPr>
              <w:t>理财产品的可分配利益。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认购期</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【2</w:t>
            </w:r>
            <w:r>
              <w:rPr>
                <w:rFonts w:ascii="Arial" w:hAnsi="Arial" w:cs="Arial"/>
                <w:sz w:val="22"/>
                <w:szCs w:val="22"/>
              </w:rPr>
              <w:t>02</w:t>
            </w:r>
            <w:r>
              <w:rPr>
                <w:rFonts w:hint="eastAsia" w:ascii="Arial" w:hAnsi="Arial" w:cs="Arial"/>
                <w:sz w:val="22"/>
                <w:szCs w:val="22"/>
                <w:lang w:val="en-US" w:eastAsia="zh-CN"/>
              </w:rPr>
              <w:t>4</w:t>
            </w:r>
            <w:r>
              <w:rPr>
                <w:rFonts w:hint="eastAsia" w:ascii="Arial" w:hAnsi="Arial" w:cs="Arial"/>
                <w:sz w:val="22"/>
                <w:szCs w:val="22"/>
              </w:rPr>
              <w:t>】</w:t>
            </w:r>
            <w:r>
              <w:rPr>
                <w:rFonts w:ascii="Arial" w:hAnsi="Arial" w:cs="Arial"/>
                <w:sz w:val="22"/>
                <w:szCs w:val="22"/>
              </w:rPr>
              <w:t>年</w:t>
            </w:r>
            <w:r>
              <w:rPr>
                <w:rFonts w:hint="eastAsia" w:ascii="Arial" w:hAnsi="Arial" w:cs="Arial"/>
                <w:sz w:val="22"/>
                <w:szCs w:val="22"/>
              </w:rPr>
              <w:t>【</w:t>
            </w:r>
            <w:r>
              <w:rPr>
                <w:rFonts w:hint="eastAsia" w:ascii="Arial" w:hAnsi="Arial" w:cs="Arial"/>
                <w:sz w:val="22"/>
                <w:szCs w:val="22"/>
                <w:lang w:val="en-US" w:eastAsia="zh-CN"/>
              </w:rPr>
              <w:t>11</w:t>
            </w:r>
            <w:r>
              <w:rPr>
                <w:rFonts w:hint="eastAsia" w:ascii="Arial" w:hAnsi="Arial" w:cs="Arial"/>
                <w:sz w:val="22"/>
                <w:szCs w:val="22"/>
              </w:rPr>
              <w:t>】</w:t>
            </w:r>
            <w:r>
              <w:rPr>
                <w:rFonts w:ascii="Arial" w:hAnsi="Arial" w:cs="Arial"/>
                <w:sz w:val="22"/>
                <w:szCs w:val="22"/>
              </w:rPr>
              <w:t>月</w:t>
            </w:r>
            <w:r>
              <w:rPr>
                <w:rFonts w:hint="eastAsia" w:ascii="Arial" w:hAnsi="Arial" w:cs="Arial"/>
                <w:sz w:val="22"/>
                <w:szCs w:val="22"/>
              </w:rPr>
              <w:t>【</w:t>
            </w:r>
            <w:r>
              <w:rPr>
                <w:rFonts w:hint="eastAsia" w:ascii="Arial" w:hAnsi="Arial" w:cs="Arial"/>
                <w:sz w:val="22"/>
                <w:szCs w:val="22"/>
                <w:lang w:val="en-US" w:eastAsia="zh-CN"/>
              </w:rPr>
              <w:t>13</w:t>
            </w:r>
            <w:r>
              <w:rPr>
                <w:rFonts w:hint="eastAsia" w:ascii="Arial" w:hAnsi="Arial" w:cs="Arial"/>
                <w:sz w:val="22"/>
                <w:szCs w:val="22"/>
              </w:rPr>
              <w:t>】</w:t>
            </w:r>
            <w:r>
              <w:rPr>
                <w:rFonts w:ascii="Arial" w:hAnsi="Arial" w:cs="Arial"/>
                <w:sz w:val="22"/>
                <w:szCs w:val="22"/>
              </w:rPr>
              <w:t>日9:</w:t>
            </w:r>
            <w:r>
              <w:rPr>
                <w:rFonts w:hint="eastAsia" w:ascii="Arial" w:hAnsi="Arial" w:cs="Arial"/>
                <w:sz w:val="22"/>
                <w:szCs w:val="22"/>
                <w:lang w:val="en-US" w:eastAsia="zh-CN"/>
              </w:rPr>
              <w:t>0</w:t>
            </w:r>
            <w:r>
              <w:rPr>
                <w:rFonts w:ascii="Arial" w:hAnsi="Arial" w:cs="Arial"/>
                <w:sz w:val="22"/>
                <w:szCs w:val="22"/>
              </w:rPr>
              <w:t>0</w:t>
            </w:r>
            <w:r>
              <w:rPr>
                <w:rFonts w:hint="eastAsia" w:ascii="Arial" w:hAnsi="Arial" w:cs="Arial"/>
                <w:sz w:val="22"/>
                <w:szCs w:val="22"/>
              </w:rPr>
              <w:t>（含）</w:t>
            </w:r>
            <w:r>
              <w:rPr>
                <w:rFonts w:ascii="Arial" w:hAnsi="Arial" w:cs="Arial"/>
                <w:sz w:val="22"/>
                <w:szCs w:val="22"/>
              </w:rPr>
              <w:t>-</w:t>
            </w:r>
            <w:r>
              <w:rPr>
                <w:rFonts w:hint="eastAsia" w:ascii="Arial" w:hAnsi="Arial" w:cs="Arial"/>
                <w:sz w:val="22"/>
                <w:szCs w:val="22"/>
              </w:rPr>
              <w:t>【2</w:t>
            </w:r>
            <w:r>
              <w:rPr>
                <w:rFonts w:ascii="Arial" w:hAnsi="Arial" w:cs="Arial"/>
                <w:sz w:val="22"/>
                <w:szCs w:val="22"/>
              </w:rPr>
              <w:t>02</w:t>
            </w:r>
            <w:r>
              <w:rPr>
                <w:rFonts w:hint="eastAsia" w:ascii="Arial" w:hAnsi="Arial" w:cs="Arial"/>
                <w:sz w:val="22"/>
                <w:szCs w:val="22"/>
                <w:lang w:val="en-US" w:eastAsia="zh-CN"/>
              </w:rPr>
              <w:t>4</w:t>
            </w:r>
            <w:r>
              <w:rPr>
                <w:rFonts w:hint="eastAsia" w:ascii="Arial" w:hAnsi="Arial" w:cs="Arial"/>
                <w:sz w:val="22"/>
                <w:szCs w:val="22"/>
              </w:rPr>
              <w:t>】</w:t>
            </w:r>
            <w:r>
              <w:rPr>
                <w:rFonts w:ascii="Arial" w:hAnsi="Arial" w:cs="Arial"/>
                <w:sz w:val="22"/>
                <w:szCs w:val="22"/>
              </w:rPr>
              <w:t>年</w:t>
            </w:r>
            <w:r>
              <w:rPr>
                <w:rFonts w:hint="eastAsia" w:ascii="Arial" w:hAnsi="Arial" w:cs="Arial"/>
                <w:sz w:val="22"/>
                <w:szCs w:val="22"/>
              </w:rPr>
              <w:t>【</w:t>
            </w:r>
            <w:r>
              <w:rPr>
                <w:rFonts w:hint="eastAsia" w:ascii="Arial" w:hAnsi="Arial" w:cs="Arial"/>
                <w:sz w:val="22"/>
                <w:szCs w:val="22"/>
                <w:lang w:val="en-US" w:eastAsia="zh-CN"/>
              </w:rPr>
              <w:t>11</w:t>
            </w:r>
            <w:r>
              <w:rPr>
                <w:rFonts w:hint="eastAsia" w:ascii="Arial" w:hAnsi="Arial" w:cs="Arial"/>
                <w:sz w:val="22"/>
                <w:szCs w:val="22"/>
              </w:rPr>
              <w:t>】</w:t>
            </w:r>
            <w:r>
              <w:rPr>
                <w:rFonts w:ascii="Arial" w:hAnsi="Arial" w:cs="Arial"/>
                <w:sz w:val="22"/>
                <w:szCs w:val="22"/>
              </w:rPr>
              <w:t>月</w:t>
            </w:r>
            <w:r>
              <w:rPr>
                <w:rFonts w:hint="eastAsia" w:ascii="Arial" w:hAnsi="Arial" w:cs="Arial"/>
                <w:sz w:val="22"/>
                <w:szCs w:val="22"/>
              </w:rPr>
              <w:t>【</w:t>
            </w:r>
            <w:r>
              <w:rPr>
                <w:rFonts w:hint="eastAsia" w:ascii="Arial" w:hAnsi="Arial" w:cs="Arial"/>
                <w:sz w:val="22"/>
                <w:szCs w:val="22"/>
                <w:lang w:val="en-US" w:eastAsia="zh-CN"/>
              </w:rPr>
              <w:t>13</w:t>
            </w:r>
            <w:r>
              <w:rPr>
                <w:rFonts w:hint="eastAsia" w:ascii="Arial" w:hAnsi="Arial" w:cs="Arial"/>
                <w:sz w:val="22"/>
                <w:szCs w:val="22"/>
              </w:rPr>
              <w:t>】</w:t>
            </w:r>
            <w:r>
              <w:rPr>
                <w:rFonts w:ascii="Arial" w:hAnsi="Arial" w:cs="Arial"/>
                <w:sz w:val="22"/>
                <w:szCs w:val="22"/>
              </w:rPr>
              <w:t>日17</w:t>
            </w:r>
            <w:r>
              <w:rPr>
                <w:rFonts w:hint="eastAsia" w:ascii="Arial" w:hAnsi="Arial" w:cs="Arial"/>
                <w:sz w:val="22"/>
                <w:szCs w:val="22"/>
              </w:rPr>
              <w:t>：0</w:t>
            </w:r>
            <w:r>
              <w:rPr>
                <w:rFonts w:ascii="Arial" w:hAnsi="Arial" w:cs="Arial"/>
                <w:sz w:val="22"/>
                <w:szCs w:val="22"/>
              </w:rPr>
              <w:t>0</w:t>
            </w:r>
            <w:r>
              <w:rPr>
                <w:rFonts w:hint="eastAsia" w:ascii="Arial" w:hAnsi="Arial" w:cs="Arial"/>
                <w:sz w:val="22"/>
                <w:szCs w:val="22"/>
              </w:rPr>
              <w:t>（</w:t>
            </w:r>
            <w:r>
              <w:rPr>
                <w:rFonts w:ascii="Arial" w:hAnsi="Arial" w:cs="Arial"/>
                <w:sz w:val="22"/>
                <w:szCs w:val="22"/>
              </w:rPr>
              <w:t>不含</w:t>
            </w:r>
            <w:r>
              <w:rPr>
                <w:rFonts w:hint="eastAsia" w:ascii="Arial" w:hAnsi="Arial" w:cs="Arial"/>
                <w:sz w:val="22"/>
                <w:szCs w:val="22"/>
              </w:rPr>
              <w:t>）</w:t>
            </w:r>
            <w:r>
              <w:rPr>
                <w:rFonts w:ascii="Arial" w:hAnsi="Arial" w:cs="Arial"/>
                <w:sz w:val="22"/>
                <w:szCs w:val="22"/>
              </w:rPr>
              <w:t>，</w:t>
            </w:r>
            <w:r>
              <w:rPr>
                <w:rFonts w:hint="eastAsia" w:ascii="Arial" w:hAnsi="Arial" w:cs="Arial"/>
                <w:sz w:val="22"/>
                <w:szCs w:val="22"/>
              </w:rPr>
              <w:t>管理人</w:t>
            </w:r>
            <w:r>
              <w:rPr>
                <w:rFonts w:ascii="Arial" w:hAnsi="Arial" w:cs="Arial"/>
                <w:sz w:val="22"/>
                <w:szCs w:val="22"/>
              </w:rPr>
              <w:t>保留延长或提前终止产品认购期的权利。如有变动，产品实际认购期以</w:t>
            </w:r>
            <w:r>
              <w:rPr>
                <w:rFonts w:hint="eastAsia" w:ascii="Arial" w:hAnsi="Arial" w:cs="Arial"/>
                <w:sz w:val="22"/>
                <w:szCs w:val="22"/>
              </w:rPr>
              <w:t>管理人</w:t>
            </w:r>
            <w:r>
              <w:rPr>
                <w:rFonts w:ascii="Arial" w:hAnsi="Arial" w:cs="Arial"/>
                <w:sz w:val="22"/>
                <w:szCs w:val="22"/>
              </w:rPr>
              <w:t>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认购登记日</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【2</w:t>
            </w:r>
            <w:r>
              <w:rPr>
                <w:rFonts w:ascii="Arial" w:hAnsi="Arial" w:cs="Arial"/>
                <w:sz w:val="22"/>
                <w:szCs w:val="22"/>
              </w:rPr>
              <w:t>02</w:t>
            </w:r>
            <w:r>
              <w:rPr>
                <w:rFonts w:hint="eastAsia" w:ascii="Arial" w:hAnsi="Arial" w:cs="Arial"/>
                <w:sz w:val="22"/>
                <w:szCs w:val="22"/>
                <w:lang w:val="en-US" w:eastAsia="zh-CN"/>
              </w:rPr>
              <w:t>4</w:t>
            </w:r>
            <w:r>
              <w:rPr>
                <w:rFonts w:hint="eastAsia" w:ascii="Arial" w:hAnsi="Arial" w:cs="Arial"/>
                <w:sz w:val="22"/>
                <w:szCs w:val="22"/>
              </w:rPr>
              <w:t>】</w:t>
            </w:r>
            <w:r>
              <w:rPr>
                <w:rFonts w:ascii="Arial" w:hAnsi="Arial" w:cs="Arial"/>
                <w:sz w:val="22"/>
                <w:szCs w:val="22"/>
              </w:rPr>
              <w:t>年</w:t>
            </w:r>
            <w:r>
              <w:rPr>
                <w:rFonts w:hint="eastAsia" w:ascii="Arial" w:hAnsi="Arial" w:cs="Arial"/>
                <w:sz w:val="22"/>
                <w:szCs w:val="22"/>
              </w:rPr>
              <w:t>【</w:t>
            </w:r>
            <w:r>
              <w:rPr>
                <w:rFonts w:hint="eastAsia" w:ascii="Arial" w:hAnsi="Arial" w:cs="Arial"/>
                <w:sz w:val="22"/>
                <w:szCs w:val="22"/>
                <w:lang w:val="en-US" w:eastAsia="zh-CN"/>
              </w:rPr>
              <w:t>11</w:t>
            </w:r>
            <w:r>
              <w:rPr>
                <w:rFonts w:hint="eastAsia" w:ascii="Arial" w:hAnsi="Arial" w:cs="Arial"/>
                <w:sz w:val="22"/>
                <w:szCs w:val="22"/>
              </w:rPr>
              <w:t>】</w:t>
            </w:r>
            <w:r>
              <w:rPr>
                <w:rFonts w:ascii="Arial" w:hAnsi="Arial" w:cs="Arial"/>
                <w:sz w:val="22"/>
                <w:szCs w:val="22"/>
              </w:rPr>
              <w:t>月</w:t>
            </w:r>
            <w:r>
              <w:rPr>
                <w:rFonts w:hint="eastAsia" w:ascii="Arial" w:hAnsi="Arial" w:cs="Arial"/>
                <w:sz w:val="22"/>
                <w:szCs w:val="22"/>
              </w:rPr>
              <w:t>【</w:t>
            </w:r>
            <w:r>
              <w:rPr>
                <w:rFonts w:hint="eastAsia" w:ascii="Arial" w:hAnsi="Arial" w:cs="Arial"/>
                <w:sz w:val="22"/>
                <w:szCs w:val="22"/>
                <w:lang w:val="en-US" w:eastAsia="zh-CN"/>
              </w:rPr>
              <w:t>14</w:t>
            </w:r>
            <w:r>
              <w:rPr>
                <w:rFonts w:hint="eastAsia" w:ascii="Arial" w:hAnsi="Arial" w:cs="Arial"/>
                <w:sz w:val="22"/>
                <w:szCs w:val="22"/>
              </w:rPr>
              <w:t>】</w:t>
            </w:r>
            <w:r>
              <w:rPr>
                <w:rFonts w:ascii="Arial" w:hAnsi="Arial" w:cs="Arial"/>
                <w:sz w:val="22"/>
                <w:szCs w:val="22"/>
              </w:rPr>
              <w:t>日（如遇非交易日顺延到下一个交易日）。如产品认购期提前终止或延长，实际认购登记日以</w:t>
            </w:r>
            <w:r>
              <w:rPr>
                <w:rFonts w:hint="eastAsia" w:ascii="Arial" w:hAnsi="Arial" w:cs="Arial"/>
                <w:sz w:val="22"/>
                <w:szCs w:val="22"/>
              </w:rPr>
              <w:t>管理人</w:t>
            </w:r>
            <w:r>
              <w:rPr>
                <w:rFonts w:ascii="Arial" w:hAnsi="Arial" w:cs="Arial"/>
                <w:sz w:val="22"/>
                <w:szCs w:val="22"/>
              </w:rPr>
              <w:t>实际公告为准。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理财产品成立日</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【2</w:t>
            </w:r>
            <w:r>
              <w:rPr>
                <w:rFonts w:ascii="Arial" w:hAnsi="Arial" w:cs="Arial"/>
                <w:sz w:val="22"/>
                <w:szCs w:val="22"/>
              </w:rPr>
              <w:t>02</w:t>
            </w:r>
            <w:r>
              <w:rPr>
                <w:rFonts w:hint="eastAsia" w:ascii="Arial" w:hAnsi="Arial" w:cs="Arial"/>
                <w:sz w:val="22"/>
                <w:szCs w:val="22"/>
                <w:lang w:val="en-US" w:eastAsia="zh-CN"/>
              </w:rPr>
              <w:t>4</w:t>
            </w:r>
            <w:r>
              <w:rPr>
                <w:rFonts w:hint="eastAsia" w:ascii="Arial" w:hAnsi="Arial" w:cs="Arial"/>
                <w:sz w:val="22"/>
                <w:szCs w:val="22"/>
              </w:rPr>
              <w:t>】</w:t>
            </w:r>
            <w:r>
              <w:rPr>
                <w:rFonts w:ascii="Arial" w:hAnsi="Arial" w:cs="Arial"/>
                <w:sz w:val="22"/>
                <w:szCs w:val="22"/>
              </w:rPr>
              <w:t>年</w:t>
            </w:r>
            <w:r>
              <w:rPr>
                <w:rFonts w:hint="eastAsia" w:ascii="Arial" w:hAnsi="Arial" w:cs="Arial"/>
                <w:sz w:val="22"/>
                <w:szCs w:val="22"/>
              </w:rPr>
              <w:t>【</w:t>
            </w:r>
            <w:r>
              <w:rPr>
                <w:rFonts w:hint="eastAsia" w:ascii="Arial" w:hAnsi="Arial" w:cs="Arial"/>
                <w:sz w:val="22"/>
                <w:szCs w:val="22"/>
                <w:lang w:val="en-US" w:eastAsia="zh-CN"/>
              </w:rPr>
              <w:t>11</w:t>
            </w:r>
            <w:r>
              <w:rPr>
                <w:rFonts w:hint="eastAsia" w:ascii="Arial" w:hAnsi="Arial" w:cs="Arial"/>
                <w:sz w:val="22"/>
                <w:szCs w:val="22"/>
              </w:rPr>
              <w:t>】</w:t>
            </w:r>
            <w:r>
              <w:rPr>
                <w:rFonts w:ascii="Arial" w:hAnsi="Arial" w:cs="Arial"/>
                <w:sz w:val="22"/>
                <w:szCs w:val="22"/>
              </w:rPr>
              <w:t>月</w:t>
            </w:r>
            <w:r>
              <w:rPr>
                <w:rFonts w:hint="eastAsia" w:ascii="Arial" w:hAnsi="Arial" w:cs="Arial"/>
                <w:sz w:val="22"/>
                <w:szCs w:val="22"/>
              </w:rPr>
              <w:t>【</w:t>
            </w:r>
            <w:r>
              <w:rPr>
                <w:rFonts w:hint="eastAsia" w:ascii="Arial" w:hAnsi="Arial" w:cs="Arial"/>
                <w:sz w:val="22"/>
                <w:szCs w:val="22"/>
                <w:lang w:val="en-US" w:eastAsia="zh-CN"/>
              </w:rPr>
              <w:t>14</w:t>
            </w:r>
            <w:r>
              <w:rPr>
                <w:rFonts w:hint="eastAsia" w:ascii="Arial" w:hAnsi="Arial" w:cs="Arial"/>
                <w:sz w:val="22"/>
                <w:szCs w:val="22"/>
              </w:rPr>
              <w:t>】</w:t>
            </w:r>
            <w:r>
              <w:rPr>
                <w:rFonts w:ascii="Arial" w:hAnsi="Arial" w:cs="Arial"/>
                <w:sz w:val="22"/>
                <w:szCs w:val="22"/>
              </w:rPr>
              <w:t>日（如遇非交易日顺延到下一个交易日）。如产品认购期提前终止或延长，实际成立日以</w:t>
            </w:r>
            <w:r>
              <w:rPr>
                <w:rFonts w:hint="eastAsia" w:ascii="Arial" w:hAnsi="Arial" w:cs="Arial"/>
                <w:sz w:val="22"/>
                <w:szCs w:val="22"/>
              </w:rPr>
              <w:t>管理人</w:t>
            </w:r>
            <w:r>
              <w:rPr>
                <w:rFonts w:ascii="Arial" w:hAnsi="Arial" w:cs="Arial"/>
                <w:sz w:val="22"/>
                <w:szCs w:val="22"/>
              </w:rPr>
              <w:t>实际公告为准。产品管理人将在</w:t>
            </w:r>
            <w:r>
              <w:rPr>
                <w:rFonts w:hint="eastAsia" w:ascii="Arial" w:hAnsi="Arial" w:cs="Arial"/>
                <w:sz w:val="22"/>
                <w:szCs w:val="22"/>
              </w:rPr>
              <w:t>本</w:t>
            </w:r>
            <w:r>
              <w:rPr>
                <w:rFonts w:ascii="Arial" w:hAnsi="Arial" w:cs="Arial"/>
                <w:sz w:val="22"/>
                <w:szCs w:val="22"/>
              </w:rPr>
              <w:t>理财产品成立日之后5个工作日内披露成立公告。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认/申购、赎回</w:t>
            </w:r>
          </w:p>
          <w:p>
            <w:pPr>
              <w:spacing w:line="360" w:lineRule="auto"/>
              <w:jc w:val="center"/>
              <w:rPr>
                <w:rFonts w:ascii="Arial" w:hAnsi="Arial" w:cs="Arial"/>
                <w:b/>
                <w:sz w:val="22"/>
                <w:szCs w:val="22"/>
              </w:rPr>
            </w:pPr>
            <w:r>
              <w:rPr>
                <w:rFonts w:ascii="Arial" w:hAnsi="Arial" w:cs="Arial"/>
                <w:b/>
                <w:sz w:val="22"/>
                <w:szCs w:val="22"/>
              </w:rPr>
              <w:t>渠道</w:t>
            </w:r>
          </w:p>
        </w:tc>
        <w:tc>
          <w:tcPr>
            <w:tcW w:w="7088" w:type="dxa"/>
            <w:shd w:val="clear" w:color="auto" w:fill="auto"/>
            <w:tcMar>
              <w:top w:w="15" w:type="dxa"/>
              <w:left w:w="15" w:type="dxa"/>
              <w:bottom w:w="0" w:type="dxa"/>
              <w:right w:w="15" w:type="dxa"/>
            </w:tcMar>
            <w:vAlign w:val="center"/>
          </w:tcPr>
          <w:p>
            <w:pPr>
              <w:snapToGrid w:val="0"/>
              <w:spacing w:line="360" w:lineRule="auto"/>
              <w:ind w:left="105" w:leftChars="50" w:right="105" w:rightChars="50"/>
              <w:rPr>
                <w:rFonts w:ascii="Arial" w:hAnsi="Arial" w:cs="Arial"/>
                <w:spacing w:val="4"/>
                <w:sz w:val="22"/>
                <w:szCs w:val="22"/>
              </w:rPr>
            </w:pPr>
            <w:r>
              <w:rPr>
                <w:rFonts w:hint="eastAsia" w:ascii="Arial" w:hAnsi="Arial" w:cs="Arial"/>
                <w:spacing w:val="4"/>
                <w:sz w:val="22"/>
                <w:szCs w:val="22"/>
              </w:rPr>
              <w:t>投资者可通过销售服务机构手机银行APP或者管理人认可的其他方式办理认/申购、赎回本理财产品份额。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开放日</w:t>
            </w:r>
          </w:p>
        </w:tc>
        <w:tc>
          <w:tcPr>
            <w:tcW w:w="7088" w:type="dxa"/>
            <w:shd w:val="clear" w:color="auto" w:fill="auto"/>
            <w:tcMar>
              <w:top w:w="15" w:type="dxa"/>
              <w:left w:w="15" w:type="dxa"/>
              <w:bottom w:w="0" w:type="dxa"/>
              <w:right w:w="15" w:type="dxa"/>
            </w:tcMar>
          </w:tcPr>
          <w:p>
            <w:pPr>
              <w:snapToGrid w:val="0"/>
              <w:spacing w:line="360" w:lineRule="auto"/>
              <w:ind w:left="105" w:leftChars="50" w:right="105" w:rightChars="50"/>
              <w:rPr>
                <w:rFonts w:ascii="Arial" w:hAnsi="Arial" w:cs="Arial"/>
                <w:sz w:val="22"/>
                <w:szCs w:val="22"/>
              </w:rPr>
            </w:pPr>
            <w:r>
              <w:rPr>
                <w:rFonts w:ascii="Arial" w:hAnsi="Arial" w:cs="Arial"/>
                <w:b/>
                <w:sz w:val="22"/>
                <w:szCs w:val="22"/>
              </w:rPr>
              <w:t>本理财产品</w:t>
            </w:r>
            <w:r>
              <w:rPr>
                <w:rFonts w:hint="eastAsia" w:ascii="Arial" w:hAnsi="Arial" w:cs="Arial"/>
                <w:b/>
                <w:sz w:val="22"/>
                <w:szCs w:val="22"/>
              </w:rPr>
              <w:t>的</w:t>
            </w:r>
            <w:r>
              <w:rPr>
                <w:rFonts w:ascii="Arial" w:hAnsi="Arial" w:cs="Arial"/>
                <w:b/>
                <w:sz w:val="22"/>
                <w:szCs w:val="22"/>
              </w:rPr>
              <w:t>开放日为</w:t>
            </w:r>
            <w:r>
              <w:rPr>
                <w:rFonts w:hint="eastAsia" w:ascii="Arial" w:hAnsi="Arial" w:cs="Arial"/>
                <w:b/>
                <w:sz w:val="22"/>
                <w:szCs w:val="22"/>
              </w:rPr>
              <w:t>成立后（不含产品成立日）的每个交易日。</w:t>
            </w:r>
            <w:r>
              <w:rPr>
                <w:rFonts w:hint="eastAsia" w:ascii="Arial" w:hAnsi="Arial" w:cs="Arial"/>
                <w:sz w:val="22"/>
                <w:szCs w:val="22"/>
              </w:rPr>
              <w:t>产品管理人根据法律法规、监管规则规定或本理财产品说明书约定，对本理财产品临时暂停申购、赎回的情形除外。管理人</w:t>
            </w:r>
            <w:r>
              <w:rPr>
                <w:rFonts w:ascii="Arial" w:hAnsi="Arial" w:cs="Arial"/>
                <w:sz w:val="22"/>
                <w:szCs w:val="22"/>
              </w:rPr>
              <w:t>有权调整开放日</w:t>
            </w:r>
            <w:r>
              <w:rPr>
                <w:rFonts w:hint="eastAsia" w:ascii="Arial" w:hAnsi="Arial" w:cs="Arial"/>
                <w:sz w:val="22"/>
                <w:szCs w:val="22"/>
              </w:rPr>
              <w:t>的设置规则</w:t>
            </w:r>
            <w:r>
              <w:rPr>
                <w:rFonts w:ascii="Arial" w:hAnsi="Arial" w:cs="Arial"/>
                <w:sz w:val="22"/>
                <w:szCs w:val="22"/>
              </w:rPr>
              <w:t>并</w:t>
            </w:r>
            <w:r>
              <w:rPr>
                <w:rFonts w:hint="eastAsia" w:ascii="Arial" w:hAnsi="Arial" w:cs="Arial"/>
                <w:sz w:val="22"/>
                <w:szCs w:val="22"/>
              </w:rPr>
              <w:t>至少</w:t>
            </w:r>
            <w:r>
              <w:rPr>
                <w:rFonts w:ascii="Arial" w:hAnsi="Arial" w:cs="Arial"/>
                <w:sz w:val="22"/>
                <w:szCs w:val="22"/>
              </w:rPr>
              <w:t>提前3个交易日公告。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hint="eastAsia" w:ascii="Arial" w:hAnsi="Arial" w:cs="Arial"/>
                <w:b/>
                <w:sz w:val="22"/>
                <w:szCs w:val="22"/>
              </w:rPr>
              <w:t>最短持有期和最短持有期结束日</w:t>
            </w:r>
          </w:p>
        </w:tc>
        <w:tc>
          <w:tcPr>
            <w:tcW w:w="7088" w:type="dxa"/>
            <w:shd w:val="clear" w:color="auto" w:fill="auto"/>
            <w:tcMar>
              <w:top w:w="15" w:type="dxa"/>
              <w:left w:w="15" w:type="dxa"/>
              <w:bottom w:w="0" w:type="dxa"/>
              <w:right w:w="15" w:type="dxa"/>
            </w:tcMar>
          </w:tcPr>
          <w:p>
            <w:pPr>
              <w:snapToGrid w:val="0"/>
              <w:spacing w:line="360" w:lineRule="auto"/>
              <w:ind w:left="105" w:leftChars="50" w:right="105" w:rightChars="50"/>
              <w:rPr>
                <w:rFonts w:ascii="Arial" w:hAnsi="Arial" w:cs="Arial"/>
                <w:sz w:val="22"/>
                <w:szCs w:val="22"/>
              </w:rPr>
            </w:pPr>
            <w:r>
              <w:rPr>
                <w:rFonts w:hint="eastAsia" w:ascii="Arial" w:hAnsi="Arial" w:cs="Arial"/>
                <w:sz w:val="22"/>
                <w:szCs w:val="22"/>
              </w:rPr>
              <w:t>投资者每笔认/申购份额自产品成立日（对认购份额而言）或申购申请对应的开放日T日起，最短需持有</w:t>
            </w:r>
            <w:r>
              <w:rPr>
                <w:rFonts w:hint="eastAsia" w:ascii="Arial" w:hAnsi="Arial" w:cs="Arial"/>
                <w:sz w:val="22"/>
                <w:szCs w:val="22"/>
                <w:lang w:val="en-US" w:eastAsia="zh-CN"/>
              </w:rPr>
              <w:t>90</w:t>
            </w:r>
            <w:r>
              <w:rPr>
                <w:rFonts w:hint="eastAsia" w:ascii="Arial" w:hAnsi="Arial" w:cs="Arial"/>
                <w:sz w:val="22"/>
                <w:szCs w:val="22"/>
                <w:lang w:eastAsia="zh-CN"/>
              </w:rPr>
              <w:t>个自然日</w:t>
            </w:r>
            <w:r>
              <w:rPr>
                <w:rFonts w:hint="eastAsia" w:ascii="Arial" w:hAnsi="Arial" w:cs="Arial"/>
                <w:sz w:val="22"/>
                <w:szCs w:val="22"/>
              </w:rPr>
              <w:t>，最短持有期结束日为第T</w:t>
            </w:r>
            <w:r>
              <w:rPr>
                <w:rFonts w:ascii="Arial" w:hAnsi="Arial" w:cs="Arial"/>
                <w:sz w:val="22"/>
                <w:szCs w:val="22"/>
              </w:rPr>
              <w:t>+</w:t>
            </w:r>
            <w:r>
              <w:rPr>
                <w:rFonts w:hint="eastAsia" w:ascii="Arial" w:hAnsi="Arial" w:cs="Arial"/>
                <w:sz w:val="22"/>
                <w:szCs w:val="22"/>
                <w:lang w:val="en-US" w:eastAsia="zh-CN"/>
              </w:rPr>
              <w:t>90</w:t>
            </w:r>
            <w:r>
              <w:rPr>
                <w:rFonts w:hint="eastAsia" w:ascii="Arial" w:hAnsi="Arial" w:cs="Arial"/>
                <w:sz w:val="22"/>
                <w:szCs w:val="22"/>
                <w:lang w:eastAsia="zh-CN"/>
              </w:rPr>
              <w:t>个自然日</w:t>
            </w:r>
            <w:r>
              <w:rPr>
                <w:rFonts w:hint="eastAsia" w:ascii="Arial" w:hAnsi="Arial" w:cs="Arial"/>
                <w:sz w:val="22"/>
                <w:szCs w:val="22"/>
              </w:rPr>
              <w:t>，若第T</w:t>
            </w:r>
            <w:r>
              <w:rPr>
                <w:rFonts w:ascii="Arial" w:hAnsi="Arial" w:cs="Arial"/>
                <w:sz w:val="22"/>
                <w:szCs w:val="22"/>
              </w:rPr>
              <w:t>+</w:t>
            </w:r>
            <w:r>
              <w:rPr>
                <w:rFonts w:hint="eastAsia" w:ascii="Arial" w:hAnsi="Arial" w:cs="Arial"/>
                <w:sz w:val="22"/>
                <w:szCs w:val="22"/>
                <w:lang w:val="en-US" w:eastAsia="zh-CN"/>
              </w:rPr>
              <w:t>90</w:t>
            </w:r>
            <w:r>
              <w:rPr>
                <w:rFonts w:hint="eastAsia" w:ascii="Arial" w:hAnsi="Arial" w:cs="Arial"/>
                <w:sz w:val="22"/>
                <w:szCs w:val="22"/>
                <w:lang w:eastAsia="zh-CN"/>
              </w:rPr>
              <w:t>个自然日</w:t>
            </w:r>
            <w:r>
              <w:rPr>
                <w:rFonts w:hint="eastAsia" w:ascii="Arial" w:hAnsi="Arial" w:cs="Arial"/>
                <w:sz w:val="22"/>
                <w:szCs w:val="22"/>
              </w:rPr>
              <w:t>为非开放日则顺延至下一开放日。投资者可在认/申购的份额确认后于最短持有期结束日（含）及后续每个开放日申请赎回。</w:t>
            </w:r>
          </w:p>
          <w:p>
            <w:pPr>
              <w:snapToGrid w:val="0"/>
              <w:spacing w:line="360" w:lineRule="auto"/>
              <w:ind w:left="105" w:leftChars="50" w:right="105" w:rightChars="50"/>
              <w:rPr>
                <w:rFonts w:ascii="Arial" w:hAnsi="Arial" w:cs="Arial"/>
                <w:sz w:val="22"/>
                <w:szCs w:val="22"/>
              </w:rPr>
            </w:pPr>
            <w:r>
              <w:rPr>
                <w:rFonts w:hint="eastAsia" w:ascii="Arial" w:hAnsi="Arial" w:cs="Arial"/>
                <w:sz w:val="22"/>
                <w:szCs w:val="22"/>
              </w:rPr>
              <w:t>由于最短持有期结束日遇非开放日顺延至下一开放日等原因，投资者最短持有期实际上可能长于</w:t>
            </w:r>
            <w:r>
              <w:rPr>
                <w:rFonts w:hint="eastAsia" w:ascii="Arial" w:hAnsi="Arial" w:cs="Arial"/>
                <w:sz w:val="22"/>
                <w:szCs w:val="22"/>
                <w:lang w:val="en-US" w:eastAsia="zh-CN"/>
              </w:rPr>
              <w:t>90</w:t>
            </w:r>
            <w:r>
              <w:rPr>
                <w:rFonts w:hint="eastAsia" w:ascii="Arial" w:hAnsi="Arial" w:cs="Arial"/>
                <w:sz w:val="22"/>
                <w:szCs w:val="22"/>
                <w:lang w:eastAsia="zh-CN"/>
              </w:rPr>
              <w:t>个自然日</w:t>
            </w:r>
            <w:r>
              <w:rPr>
                <w:rFonts w:hint="eastAsia" w:ascii="Arial" w:hAnsi="Arial" w:cs="Arial"/>
                <w:sz w:val="22"/>
                <w:szCs w:val="22"/>
              </w:rPr>
              <w:t>。具体以产品说明书相关约定为准。</w:t>
            </w:r>
            <w:r>
              <w:rPr>
                <w:rFonts w:ascii="Arial" w:hAnsi="Arial" w:cs="Arial"/>
                <w:sz w:val="22"/>
                <w:szCs w:val="22"/>
              </w:rPr>
              <w:t>以上规则如有调整，以</w:t>
            </w:r>
            <w:r>
              <w:rPr>
                <w:rFonts w:hint="eastAsia" w:ascii="Arial" w:hAnsi="Arial" w:cs="Arial"/>
                <w:sz w:val="22"/>
                <w:szCs w:val="22"/>
              </w:rPr>
              <w:t>管理人</w:t>
            </w:r>
            <w:r>
              <w:rPr>
                <w:rFonts w:ascii="Arial" w:hAnsi="Arial" w:cs="Arial"/>
                <w:sz w:val="22"/>
                <w:szCs w:val="22"/>
              </w:rPr>
              <w:t>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申购、赎回方式</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投资者在首个开放日</w:t>
            </w:r>
            <w:r>
              <w:rPr>
                <w:rFonts w:ascii="Arial" w:hAnsi="Arial" w:cs="Arial"/>
                <w:sz w:val="22"/>
                <w:szCs w:val="22"/>
              </w:rPr>
              <w:t>9</w:t>
            </w:r>
            <w:r>
              <w:rPr>
                <w:rFonts w:hint="eastAsia" w:ascii="Arial" w:hAnsi="Arial" w:cs="Arial"/>
                <w:sz w:val="22"/>
                <w:szCs w:val="22"/>
              </w:rPr>
              <w:t>：</w:t>
            </w:r>
            <w:r>
              <w:rPr>
                <w:rFonts w:hint="eastAsia" w:ascii="Arial" w:hAnsi="Arial" w:cs="Arial"/>
                <w:sz w:val="22"/>
                <w:szCs w:val="22"/>
                <w:lang w:val="en-US" w:eastAsia="zh-CN"/>
              </w:rPr>
              <w:t>0</w:t>
            </w:r>
            <w:r>
              <w:rPr>
                <w:rFonts w:hint="eastAsia" w:ascii="Arial" w:hAnsi="Arial" w:cs="Arial"/>
                <w:sz w:val="22"/>
                <w:szCs w:val="22"/>
              </w:rPr>
              <w:t>0-</w:t>
            </w:r>
            <w:r>
              <w:rPr>
                <w:rFonts w:hint="eastAsia" w:ascii="Arial" w:hAnsi="Arial" w:cs="Arial"/>
                <w:sz w:val="22"/>
                <w:szCs w:val="22"/>
                <w:lang w:eastAsia="zh-CN"/>
              </w:rPr>
              <w:t>17：00</w:t>
            </w:r>
            <w:r>
              <w:rPr>
                <w:rFonts w:hint="eastAsia" w:ascii="Arial" w:hAnsi="Arial" w:cs="Arial"/>
                <w:sz w:val="22"/>
                <w:szCs w:val="22"/>
              </w:rPr>
              <w:t>（不含）提交的申请，视为该开放日的申请，管理人以该开放日份额净值进行确认。</w:t>
            </w:r>
          </w:p>
          <w:p>
            <w:pPr>
              <w:spacing w:line="360" w:lineRule="auto"/>
              <w:ind w:left="105" w:leftChars="50" w:right="105" w:rightChars="50"/>
              <w:rPr>
                <w:rFonts w:ascii="Arial" w:hAnsi="Arial" w:cs="Arial"/>
                <w:sz w:val="22"/>
                <w:szCs w:val="22"/>
              </w:rPr>
            </w:pPr>
            <w:r>
              <w:rPr>
                <w:rFonts w:hint="eastAsia" w:ascii="Arial" w:hAnsi="Arial" w:cs="Arial"/>
                <w:sz w:val="22"/>
                <w:szCs w:val="22"/>
              </w:rPr>
              <w:t>投资者在上一开放日</w:t>
            </w:r>
            <w:r>
              <w:rPr>
                <w:rFonts w:hint="eastAsia" w:ascii="Arial" w:hAnsi="Arial" w:cs="Arial"/>
                <w:sz w:val="22"/>
                <w:szCs w:val="22"/>
                <w:lang w:eastAsia="zh-CN"/>
              </w:rPr>
              <w:t>17：00</w:t>
            </w:r>
            <w:r>
              <w:rPr>
                <w:rFonts w:hint="eastAsia" w:ascii="Arial" w:hAnsi="Arial" w:cs="Arial"/>
                <w:sz w:val="22"/>
                <w:szCs w:val="22"/>
              </w:rPr>
              <w:t>至本开放日</w:t>
            </w:r>
            <w:r>
              <w:rPr>
                <w:rFonts w:hint="eastAsia" w:ascii="Arial" w:hAnsi="Arial" w:cs="Arial"/>
                <w:sz w:val="22"/>
                <w:szCs w:val="22"/>
                <w:lang w:eastAsia="zh-CN"/>
              </w:rPr>
              <w:t>17：00</w:t>
            </w:r>
            <w:r>
              <w:rPr>
                <w:rFonts w:hint="eastAsia" w:ascii="Arial" w:hAnsi="Arial" w:cs="Arial"/>
                <w:sz w:val="22"/>
                <w:szCs w:val="22"/>
              </w:rPr>
              <w:t>（不含）提交的申请，视为本开放日的申请，管理人以本开放日的份额净值进行确认；本开放日</w:t>
            </w:r>
            <w:r>
              <w:rPr>
                <w:rFonts w:hint="eastAsia" w:ascii="Arial" w:hAnsi="Arial" w:cs="Arial"/>
                <w:sz w:val="22"/>
                <w:szCs w:val="22"/>
                <w:lang w:eastAsia="zh-CN"/>
              </w:rPr>
              <w:t>17：00</w:t>
            </w:r>
            <w:r>
              <w:rPr>
                <w:rFonts w:hint="eastAsia" w:ascii="Arial" w:hAnsi="Arial" w:cs="Arial"/>
                <w:sz w:val="22"/>
                <w:szCs w:val="22"/>
              </w:rPr>
              <w:t>至下一开放日</w:t>
            </w:r>
            <w:r>
              <w:rPr>
                <w:rFonts w:hint="eastAsia" w:ascii="Arial" w:hAnsi="Arial" w:cs="Arial"/>
                <w:sz w:val="22"/>
                <w:szCs w:val="22"/>
                <w:lang w:eastAsia="zh-CN"/>
              </w:rPr>
              <w:t>17：00</w:t>
            </w:r>
            <w:r>
              <w:rPr>
                <w:rFonts w:hint="eastAsia" w:ascii="Arial" w:hAnsi="Arial" w:cs="Arial"/>
                <w:sz w:val="22"/>
                <w:szCs w:val="22"/>
              </w:rPr>
              <w:t>（不含）提交的申请，视为下一开放日的申请，管理人以下一开放日的份额净值进行确认。</w:t>
            </w:r>
          </w:p>
          <w:p>
            <w:pPr>
              <w:spacing w:line="360" w:lineRule="auto"/>
              <w:ind w:left="105" w:leftChars="50" w:right="105" w:rightChars="50"/>
              <w:rPr>
                <w:rFonts w:ascii="Arial" w:hAnsi="Arial" w:cs="Arial"/>
                <w:sz w:val="22"/>
                <w:szCs w:val="22"/>
              </w:rPr>
            </w:pPr>
            <w:r>
              <w:rPr>
                <w:rFonts w:hint="eastAsia" w:ascii="Arial" w:hAnsi="Arial" w:cs="Arial"/>
                <w:sz w:val="22"/>
                <w:szCs w:val="22"/>
              </w:rPr>
              <w:t>每笔申购、赎回申请在对应开放日的</w:t>
            </w:r>
            <w:r>
              <w:rPr>
                <w:rFonts w:hint="eastAsia" w:ascii="Arial" w:hAnsi="Arial" w:cs="Arial"/>
                <w:sz w:val="22"/>
                <w:szCs w:val="22"/>
                <w:lang w:eastAsia="zh-CN"/>
              </w:rPr>
              <w:t>17：00</w:t>
            </w:r>
            <w:r>
              <w:rPr>
                <w:rFonts w:hint="eastAsia" w:ascii="Arial" w:hAnsi="Arial" w:cs="Arial"/>
                <w:sz w:val="22"/>
                <w:szCs w:val="22"/>
              </w:rPr>
              <w:t>前允许撤单，管理人有权拒绝受理晚于对应开放日</w:t>
            </w:r>
            <w:r>
              <w:rPr>
                <w:rFonts w:hint="eastAsia" w:ascii="Arial" w:hAnsi="Arial" w:cs="Arial"/>
                <w:sz w:val="22"/>
                <w:szCs w:val="22"/>
                <w:lang w:eastAsia="zh-CN"/>
              </w:rPr>
              <w:t>17：00</w:t>
            </w:r>
            <w:r>
              <w:rPr>
                <w:rFonts w:hint="eastAsia" w:ascii="Arial" w:hAnsi="Arial" w:cs="Arial"/>
                <w:sz w:val="22"/>
                <w:szCs w:val="22"/>
              </w:rPr>
              <w:t>的申购、赎回撤单申请。</w:t>
            </w:r>
          </w:p>
          <w:p>
            <w:pPr>
              <w:spacing w:line="360" w:lineRule="auto"/>
              <w:ind w:left="105" w:leftChars="50" w:right="105" w:rightChars="50"/>
              <w:rPr>
                <w:rFonts w:ascii="Arial" w:hAnsi="Arial" w:cs="Arial"/>
                <w:sz w:val="22"/>
                <w:szCs w:val="22"/>
              </w:rPr>
            </w:pPr>
            <w:r>
              <w:rPr>
                <w:rFonts w:hint="eastAsia" w:ascii="Arial" w:hAnsi="Arial" w:cs="Arial"/>
                <w:b/>
                <w:sz w:val="22"/>
                <w:szCs w:val="22"/>
              </w:rPr>
              <w:t>投资者提交赎回申请需满足最短持有期的要求。</w:t>
            </w:r>
            <w:r>
              <w:rPr>
                <w:rFonts w:hint="eastAsia" w:ascii="Arial" w:hAnsi="Arial" w:cs="Arial"/>
                <w:sz w:val="22"/>
                <w:szCs w:val="22"/>
              </w:rPr>
              <w:t>赎回资金将于赎回份额确认日后的</w:t>
            </w:r>
            <w:r>
              <w:rPr>
                <w:rFonts w:hint="eastAsia" w:ascii="Arial" w:hAnsi="Arial" w:cs="Arial"/>
                <w:sz w:val="22"/>
                <w:szCs w:val="22"/>
                <w:lang w:val="en-US" w:eastAsia="zh-CN"/>
              </w:rPr>
              <w:t>2</w:t>
            </w:r>
            <w:r>
              <w:rPr>
                <w:rFonts w:hint="eastAsia" w:ascii="Arial" w:hAnsi="Arial" w:cs="Arial"/>
                <w:sz w:val="22"/>
                <w:szCs w:val="22"/>
              </w:rPr>
              <w:t>个交易日内转入投资者账户。详细内容见“四、</w:t>
            </w:r>
            <w:r>
              <w:rPr>
                <w:rFonts w:hint="eastAsia" w:asciiTheme="minorEastAsia" w:hAnsiTheme="minorEastAsia" w:eastAsiaTheme="minorEastAsia"/>
                <w:sz w:val="22"/>
                <w:szCs w:val="22"/>
              </w:rPr>
              <w:t>产品</w:t>
            </w:r>
            <w:r>
              <w:rPr>
                <w:rFonts w:hint="eastAsia" w:ascii="Arial" w:hAnsi="Arial" w:cs="Arial"/>
                <w:sz w:val="22"/>
                <w:szCs w:val="22"/>
              </w:rPr>
              <w:t>交易规则”。</w:t>
            </w:r>
          </w:p>
          <w:p>
            <w:pPr>
              <w:spacing w:line="360" w:lineRule="auto"/>
              <w:ind w:left="105" w:leftChars="50" w:right="105" w:rightChars="50"/>
              <w:rPr>
                <w:rFonts w:ascii="Arial" w:hAnsi="Arial" w:cs="Arial"/>
                <w:sz w:val="22"/>
                <w:szCs w:val="22"/>
              </w:rPr>
            </w:pPr>
            <w:r>
              <w:rPr>
                <w:rFonts w:ascii="Arial" w:hAnsi="Arial" w:cs="Arial"/>
                <w:sz w:val="22"/>
                <w:szCs w:val="22"/>
              </w:rPr>
              <w:t>以上规则如有调整，以</w:t>
            </w:r>
            <w:r>
              <w:rPr>
                <w:rFonts w:hint="eastAsia" w:ascii="Arial" w:hAnsi="Arial" w:cs="Arial"/>
                <w:sz w:val="22"/>
                <w:szCs w:val="22"/>
              </w:rPr>
              <w:t>管理人</w:t>
            </w:r>
            <w:r>
              <w:rPr>
                <w:rFonts w:ascii="Arial" w:hAnsi="Arial" w:cs="Arial"/>
                <w:sz w:val="22"/>
                <w:szCs w:val="22"/>
              </w:rPr>
              <w:t>公告为准。</w:t>
            </w:r>
          </w:p>
          <w:p>
            <w:pPr>
              <w:spacing w:line="360" w:lineRule="auto"/>
              <w:ind w:left="105" w:leftChars="50" w:right="105" w:rightChars="50"/>
              <w:rPr>
                <w:rFonts w:ascii="Arial" w:hAnsi="Arial" w:cs="Arial"/>
                <w:sz w:val="22"/>
                <w:szCs w:val="22"/>
              </w:rPr>
            </w:pPr>
            <w:r>
              <w:rPr>
                <w:rFonts w:hint="eastAsia" w:ascii="Arial" w:hAnsi="Arial" w:cs="Arial"/>
                <w:b/>
                <w:sz w:val="22"/>
                <w:szCs w:val="22"/>
              </w:rPr>
              <w:t>投资者通过销售服务机构认/申购或赎回理财产品的，还应按照销售服务机构对交易时间及交易申请的相关规定执行，但需于开放日当日受理的申购、赎回及撤单申请不得晚于</w:t>
            </w:r>
            <w:r>
              <w:rPr>
                <w:rFonts w:hint="eastAsia" w:ascii="Arial" w:hAnsi="Arial" w:cs="Arial"/>
                <w:b/>
                <w:bCs w:val="0"/>
                <w:sz w:val="22"/>
                <w:szCs w:val="22"/>
              </w:rPr>
              <w:t>1</w:t>
            </w:r>
            <w:r>
              <w:rPr>
                <w:rFonts w:hint="eastAsia" w:ascii="Arial" w:hAnsi="Arial" w:cs="Arial"/>
                <w:b/>
                <w:bCs w:val="0"/>
                <w:sz w:val="22"/>
                <w:szCs w:val="22"/>
                <w:lang w:val="en-US" w:eastAsia="zh-CN"/>
              </w:rPr>
              <w:t>7</w:t>
            </w:r>
            <w:r>
              <w:rPr>
                <w:rFonts w:hint="eastAsia" w:ascii="Arial" w:hAnsi="Arial" w:cs="Arial"/>
                <w:b/>
                <w:bCs w:val="0"/>
                <w:sz w:val="22"/>
                <w:szCs w:val="22"/>
                <w:lang w:eastAsia="zh-CN"/>
              </w:rPr>
              <w:t>：</w:t>
            </w:r>
            <w:r>
              <w:rPr>
                <w:rFonts w:hint="eastAsia" w:ascii="Arial" w:hAnsi="Arial" w:cs="Arial"/>
                <w:b/>
                <w:bCs w:val="0"/>
                <w:sz w:val="22"/>
                <w:szCs w:val="22"/>
              </w:rPr>
              <w:t>00</w:t>
            </w:r>
            <w:r>
              <w:rPr>
                <w:rFonts w:hint="eastAsia" w:ascii="Arial" w:hAnsi="Arial" w:cs="Arial"/>
                <w:b/>
                <w:sz w:val="22"/>
                <w:szCs w:val="22"/>
              </w:rPr>
              <w:t>。投资者通过不同销售服务机构办理申购、赎回业务的，可能会因不同销售服务机构的申购、赎回规则不同对权益产生影响。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申购、赎回确认日</w:t>
            </w:r>
          </w:p>
        </w:tc>
        <w:tc>
          <w:tcPr>
            <w:tcW w:w="7088" w:type="dxa"/>
            <w:shd w:val="clear" w:color="auto" w:fill="auto"/>
            <w:tcMar>
              <w:top w:w="15" w:type="dxa"/>
              <w:left w:w="15" w:type="dxa"/>
              <w:bottom w:w="0" w:type="dxa"/>
              <w:right w:w="15" w:type="dxa"/>
            </w:tcMar>
            <w:vAlign w:val="center"/>
          </w:tcPr>
          <w:p>
            <w:pPr>
              <w:snapToGrid w:val="0"/>
              <w:spacing w:line="360" w:lineRule="auto"/>
              <w:ind w:left="105" w:leftChars="50" w:right="105" w:rightChars="50"/>
              <w:rPr>
                <w:rFonts w:ascii="Arial" w:hAnsi="Arial" w:cs="Arial"/>
                <w:spacing w:val="4"/>
                <w:sz w:val="22"/>
                <w:szCs w:val="22"/>
              </w:rPr>
            </w:pPr>
            <w:r>
              <w:rPr>
                <w:rFonts w:hint="eastAsia" w:ascii="Arial" w:hAnsi="Arial" w:cs="Arial"/>
                <w:spacing w:val="4"/>
                <w:sz w:val="22"/>
                <w:szCs w:val="22"/>
              </w:rPr>
              <w:t>指申购、赎回申请有效性的确认日，即申购、赎回申请对应开放日后的第</w:t>
            </w:r>
            <w:r>
              <w:rPr>
                <w:rFonts w:hint="eastAsia" w:ascii="Arial" w:hAnsi="Arial" w:cs="Arial"/>
                <w:spacing w:val="4"/>
                <w:sz w:val="22"/>
                <w:szCs w:val="22"/>
                <w:lang w:val="en-US" w:eastAsia="zh-CN"/>
              </w:rPr>
              <w:t>1</w:t>
            </w:r>
            <w:r>
              <w:rPr>
                <w:rFonts w:hint="eastAsia" w:ascii="Arial" w:hAnsi="Arial" w:cs="Arial"/>
                <w:spacing w:val="4"/>
                <w:sz w:val="22"/>
                <w:szCs w:val="22"/>
              </w:rPr>
              <w:t>个交易日。</w:t>
            </w:r>
          </w:p>
          <w:p>
            <w:pPr>
              <w:snapToGrid w:val="0"/>
              <w:spacing w:line="360" w:lineRule="auto"/>
              <w:ind w:left="105" w:leftChars="50" w:right="105" w:rightChars="50"/>
              <w:rPr>
                <w:rFonts w:ascii="Arial" w:hAnsi="Arial" w:cs="Arial"/>
                <w:spacing w:val="4"/>
                <w:sz w:val="22"/>
                <w:szCs w:val="22"/>
              </w:rPr>
            </w:pPr>
            <w:r>
              <w:rPr>
                <w:rFonts w:hint="eastAsia" w:ascii="Arial" w:hAnsi="Arial" w:cs="Arial"/>
                <w:spacing w:val="4"/>
                <w:sz w:val="22"/>
                <w:szCs w:val="22"/>
              </w:rPr>
              <w:t>管理人有权根据实际情况公告调整申购、赎回确认日。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工作日</w:t>
            </w:r>
          </w:p>
        </w:tc>
        <w:tc>
          <w:tcPr>
            <w:tcW w:w="7088" w:type="dxa"/>
            <w:shd w:val="clear" w:color="auto" w:fill="auto"/>
            <w:tcMar>
              <w:top w:w="15" w:type="dxa"/>
              <w:left w:w="15" w:type="dxa"/>
              <w:bottom w:w="0" w:type="dxa"/>
              <w:right w:w="15" w:type="dxa"/>
            </w:tcMar>
            <w:vAlign w:val="center"/>
          </w:tcPr>
          <w:p>
            <w:pPr>
              <w:snapToGrid w:val="0"/>
              <w:ind w:left="105" w:leftChars="50" w:right="105" w:rightChars="50"/>
              <w:rPr>
                <w:rFonts w:ascii="Arial" w:hAnsi="Arial" w:cs="Arial"/>
                <w:spacing w:val="4"/>
                <w:sz w:val="22"/>
                <w:szCs w:val="22"/>
              </w:rPr>
            </w:pPr>
            <w:r>
              <w:rPr>
                <w:rFonts w:hint="eastAsia" w:ascii="Arial" w:hAnsi="Arial" w:cs="Arial"/>
                <w:spacing w:val="4"/>
                <w:sz w:val="22"/>
                <w:szCs w:val="22"/>
              </w:rPr>
              <w:t>指除周六、周日和中国的法定节假日外的其他日。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交易日</w:t>
            </w:r>
          </w:p>
        </w:tc>
        <w:tc>
          <w:tcPr>
            <w:tcW w:w="7088" w:type="dxa"/>
            <w:shd w:val="clear" w:color="auto" w:fill="auto"/>
            <w:tcMar>
              <w:top w:w="15" w:type="dxa"/>
              <w:left w:w="15" w:type="dxa"/>
              <w:bottom w:w="0" w:type="dxa"/>
              <w:right w:w="15" w:type="dxa"/>
            </w:tcMar>
            <w:vAlign w:val="center"/>
          </w:tcPr>
          <w:p>
            <w:pPr>
              <w:snapToGrid w:val="0"/>
              <w:spacing w:line="360" w:lineRule="auto"/>
              <w:ind w:left="105" w:leftChars="50" w:right="105" w:rightChars="50"/>
              <w:rPr>
                <w:rFonts w:ascii="Arial" w:hAnsi="Arial" w:cs="Arial"/>
                <w:spacing w:val="4"/>
                <w:sz w:val="22"/>
                <w:szCs w:val="22"/>
              </w:rPr>
            </w:pPr>
            <w:r>
              <w:rPr>
                <w:rFonts w:ascii="Arial" w:hAnsi="Arial" w:cs="Arial"/>
                <w:sz w:val="22"/>
                <w:szCs w:val="22"/>
              </w:rPr>
              <w:t>指上海证券交易所、深圳证券交易所及全国银行间债券市场同时开放交易的工作日。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估值日</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本理财产品存续期间，</w:t>
            </w:r>
            <w:r>
              <w:rPr>
                <w:rFonts w:hint="eastAsia" w:ascii="Arial" w:hAnsi="Arial" w:cs="Arial"/>
                <w:sz w:val="22"/>
                <w:szCs w:val="22"/>
              </w:rPr>
              <w:t>管理人</w:t>
            </w:r>
            <w:r>
              <w:rPr>
                <w:rFonts w:ascii="Arial" w:hAnsi="Arial" w:cs="Arial"/>
                <w:sz w:val="22"/>
                <w:szCs w:val="22"/>
              </w:rPr>
              <w:t>在每个交易日</w:t>
            </w:r>
            <w:r>
              <w:rPr>
                <w:rFonts w:hint="eastAsia" w:ascii="Arial" w:hAnsi="Arial" w:cs="Arial"/>
                <w:sz w:val="22"/>
                <w:szCs w:val="22"/>
              </w:rPr>
              <w:t>对本理财产品</w:t>
            </w:r>
            <w:r>
              <w:rPr>
                <w:rFonts w:ascii="Arial" w:hAnsi="Arial" w:cs="Arial"/>
                <w:sz w:val="22"/>
                <w:szCs w:val="22"/>
              </w:rPr>
              <w:t>进行估值，经产品托管人复核无误后，由</w:t>
            </w:r>
            <w:r>
              <w:rPr>
                <w:rFonts w:hint="eastAsia" w:ascii="Arial" w:hAnsi="Arial" w:cs="Arial"/>
                <w:sz w:val="22"/>
                <w:szCs w:val="22"/>
              </w:rPr>
              <w:t>管理人在每个开放日结束后2个工作日内，披露该开放日份额净值</w:t>
            </w:r>
            <w:r>
              <w:rPr>
                <w:rFonts w:ascii="Arial" w:hAnsi="Arial" w:cs="Arial"/>
                <w:sz w:val="22"/>
                <w:szCs w:val="22"/>
              </w:rPr>
              <w:t>。以上规则如有调整，以</w:t>
            </w:r>
            <w:r>
              <w:rPr>
                <w:rFonts w:hint="eastAsia" w:ascii="Arial" w:hAnsi="Arial" w:cs="Arial"/>
                <w:sz w:val="22"/>
                <w:szCs w:val="22"/>
              </w:rPr>
              <w:t>产品管理人</w:t>
            </w:r>
            <w:r>
              <w:rPr>
                <w:rFonts w:ascii="Arial" w:hAnsi="Arial" w:cs="Arial"/>
                <w:sz w:val="22"/>
                <w:szCs w:val="22"/>
              </w:rPr>
              <w:t>的公告为准。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巨额赎回</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在</w:t>
            </w:r>
            <w:r>
              <w:rPr>
                <w:rFonts w:hint="eastAsia" w:ascii="Arial" w:hAnsi="Arial" w:cs="Arial"/>
                <w:sz w:val="22"/>
                <w:szCs w:val="22"/>
              </w:rPr>
              <w:t>本</w:t>
            </w:r>
            <w:r>
              <w:rPr>
                <w:rFonts w:ascii="Arial" w:hAnsi="Arial" w:cs="Arial"/>
                <w:sz w:val="22"/>
                <w:szCs w:val="22"/>
              </w:rPr>
              <w:t>理财产品存续期内的每个开放日，若</w:t>
            </w:r>
            <w:r>
              <w:rPr>
                <w:rFonts w:hint="eastAsia" w:ascii="Arial" w:hAnsi="Arial" w:cs="Arial"/>
                <w:sz w:val="22"/>
                <w:szCs w:val="22"/>
              </w:rPr>
              <w:t>本</w:t>
            </w:r>
            <w:r>
              <w:rPr>
                <w:rFonts w:ascii="Arial" w:hAnsi="Arial" w:cs="Arial"/>
                <w:sz w:val="22"/>
                <w:szCs w:val="22"/>
              </w:rPr>
              <w:t>理财产品净赎回</w:t>
            </w:r>
            <w:r>
              <w:rPr>
                <w:rFonts w:hint="eastAsia" w:ascii="Arial" w:hAnsi="Arial" w:cs="Arial"/>
                <w:sz w:val="22"/>
                <w:szCs w:val="22"/>
              </w:rPr>
              <w:t>申请</w:t>
            </w:r>
            <w:r>
              <w:rPr>
                <w:rFonts w:ascii="Arial" w:hAnsi="Arial" w:cs="Arial"/>
                <w:sz w:val="22"/>
                <w:szCs w:val="22"/>
              </w:rPr>
              <w:t>份额（</w:t>
            </w:r>
            <w:r>
              <w:rPr>
                <w:rFonts w:hint="eastAsia" w:ascii="Arial" w:hAnsi="Arial" w:cs="Arial"/>
                <w:sz w:val="22"/>
                <w:szCs w:val="22"/>
              </w:rPr>
              <w:t>有效赎回申请份额总数扣除有效申购申请份额总数后的份额</w:t>
            </w:r>
            <w:r>
              <w:rPr>
                <w:rFonts w:ascii="Arial" w:hAnsi="Arial" w:cs="Arial"/>
                <w:sz w:val="22"/>
                <w:szCs w:val="22"/>
              </w:rPr>
              <w:t>）超过本理财产品开放日前一日份额的10%时</w:t>
            </w:r>
            <w:r>
              <w:rPr>
                <w:rFonts w:hint="eastAsia" w:ascii="Arial" w:hAnsi="Arial" w:cs="Arial"/>
                <w:sz w:val="22"/>
                <w:szCs w:val="22"/>
              </w:rPr>
              <w:t>，</w:t>
            </w:r>
            <w:r>
              <w:rPr>
                <w:rFonts w:ascii="Arial" w:hAnsi="Arial" w:cs="Arial"/>
                <w:sz w:val="22"/>
                <w:szCs w:val="22"/>
              </w:rPr>
              <w:t>则发生巨额赎回事件。发生巨额赎回时，</w:t>
            </w:r>
            <w:r>
              <w:rPr>
                <w:rFonts w:hint="eastAsia" w:ascii="Arial" w:hAnsi="Arial" w:cs="Arial"/>
                <w:sz w:val="22"/>
                <w:szCs w:val="22"/>
              </w:rPr>
              <w:t>管理人</w:t>
            </w:r>
            <w:r>
              <w:rPr>
                <w:rFonts w:ascii="Arial" w:hAnsi="Arial" w:cs="Arial"/>
                <w:sz w:val="22"/>
                <w:szCs w:val="22"/>
              </w:rPr>
              <w:t>有权</w:t>
            </w:r>
            <w:r>
              <w:rPr>
                <w:rFonts w:hint="eastAsia"/>
                <w:color w:val="000000"/>
                <w:sz w:val="22"/>
                <w:szCs w:val="22"/>
              </w:rPr>
              <w:t>依照本理财产品当时的资产组合状况决定全额赎回、部分赎回、暂停赎回或延缓支付。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理财产品</w:t>
            </w:r>
          </w:p>
          <w:p>
            <w:pPr>
              <w:spacing w:line="360" w:lineRule="auto"/>
              <w:jc w:val="center"/>
              <w:rPr>
                <w:rFonts w:ascii="Arial" w:hAnsi="Arial" w:cs="Arial"/>
                <w:b/>
                <w:sz w:val="22"/>
                <w:szCs w:val="22"/>
              </w:rPr>
            </w:pPr>
            <w:r>
              <w:rPr>
                <w:rFonts w:ascii="Arial" w:hAnsi="Arial" w:cs="Arial"/>
                <w:b/>
                <w:sz w:val="22"/>
                <w:szCs w:val="22"/>
              </w:rPr>
              <w:t>预计到期日</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本理财产品无特定存续期限，实际到期日以</w:t>
            </w:r>
            <w:r>
              <w:rPr>
                <w:rFonts w:hint="eastAsia" w:ascii="Arial" w:hAnsi="Arial" w:cs="Arial"/>
                <w:sz w:val="22"/>
                <w:szCs w:val="22"/>
              </w:rPr>
              <w:t>管理人</w:t>
            </w:r>
            <w:r>
              <w:rPr>
                <w:rFonts w:ascii="Arial" w:hAnsi="Arial" w:cs="Arial"/>
                <w:sz w:val="22"/>
                <w:szCs w:val="22"/>
              </w:rPr>
              <w:t>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理财产品终止</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在</w:t>
            </w:r>
            <w:r>
              <w:rPr>
                <w:rFonts w:hint="eastAsia" w:ascii="Arial" w:hAnsi="Arial" w:cs="Arial"/>
                <w:sz w:val="22"/>
                <w:szCs w:val="22"/>
              </w:rPr>
              <w:t>本</w:t>
            </w:r>
            <w:r>
              <w:rPr>
                <w:rFonts w:ascii="Arial" w:hAnsi="Arial" w:cs="Arial"/>
                <w:sz w:val="22"/>
                <w:szCs w:val="22"/>
              </w:rPr>
              <w:t>理财产品存续期间发生任一理财产品终止事件的，本理财产品有可能终止。详细内容见“</w:t>
            </w:r>
            <w:r>
              <w:rPr>
                <w:rFonts w:hint="eastAsia" w:ascii="Arial" w:hAnsi="Arial" w:cs="Arial"/>
                <w:sz w:val="22"/>
                <w:szCs w:val="22"/>
              </w:rPr>
              <w:t>八</w:t>
            </w:r>
            <w:r>
              <w:rPr>
                <w:rFonts w:ascii="Arial" w:hAnsi="Arial" w:cs="Arial"/>
                <w:sz w:val="22"/>
                <w:szCs w:val="22"/>
              </w:rPr>
              <w:t>、</w:t>
            </w:r>
            <w:r>
              <w:rPr>
                <w:rFonts w:hint="eastAsia" w:ascii="Arial" w:hAnsi="Arial" w:cs="Arial"/>
                <w:sz w:val="22"/>
                <w:szCs w:val="22"/>
              </w:rPr>
              <w:t>产品终止和清算</w:t>
            </w: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理财产品终止日</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指</w:t>
            </w:r>
            <w:r>
              <w:rPr>
                <w:rFonts w:hint="eastAsia" w:ascii="Arial" w:hAnsi="Arial" w:cs="Arial"/>
                <w:sz w:val="22"/>
                <w:szCs w:val="22"/>
              </w:rPr>
              <w:t>本</w:t>
            </w:r>
            <w:r>
              <w:rPr>
                <w:rFonts w:ascii="Arial" w:hAnsi="Arial" w:cs="Arial"/>
                <w:sz w:val="22"/>
                <w:szCs w:val="22"/>
              </w:rPr>
              <w:t>理财产品终止之日，根据实际情况，是指理财产品预计到期日，或管理人根据本《产品说明书》约定宣布本理财产品早于理财产品预计到期日而终止之日，或宣布本理财产品延长后的实际终止之日。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提前终止</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管理人</w:t>
            </w:r>
            <w:r>
              <w:rPr>
                <w:rFonts w:ascii="Arial" w:hAnsi="Arial" w:cs="Arial"/>
                <w:sz w:val="22"/>
                <w:szCs w:val="22"/>
              </w:rPr>
              <w:t>有权按照监管要求或</w:t>
            </w:r>
            <w:r>
              <w:rPr>
                <w:rFonts w:hint="eastAsia" w:ascii="Arial" w:hAnsi="Arial" w:cs="Arial"/>
                <w:sz w:val="22"/>
                <w:szCs w:val="22"/>
              </w:rPr>
              <w:t>产品</w:t>
            </w:r>
            <w:r>
              <w:rPr>
                <w:rFonts w:ascii="Arial" w:hAnsi="Arial" w:cs="Arial"/>
                <w:sz w:val="22"/>
                <w:szCs w:val="22"/>
              </w:rPr>
              <w:t>实际投资情况</w:t>
            </w:r>
            <w:r>
              <w:rPr>
                <w:rFonts w:hint="eastAsia" w:ascii="Arial" w:hAnsi="Arial" w:cs="Arial"/>
                <w:sz w:val="22"/>
                <w:szCs w:val="22"/>
              </w:rPr>
              <w:t>提前</w:t>
            </w:r>
            <w:r>
              <w:rPr>
                <w:rFonts w:ascii="Arial" w:hAnsi="Arial" w:cs="Arial"/>
                <w:sz w:val="22"/>
                <w:szCs w:val="22"/>
              </w:rPr>
              <w:t>终止本理财产品，并至少于终止</w:t>
            </w:r>
            <w:r>
              <w:rPr>
                <w:rFonts w:hint="eastAsia" w:ascii="Arial" w:hAnsi="Arial" w:cs="Arial"/>
                <w:sz w:val="22"/>
                <w:szCs w:val="22"/>
              </w:rPr>
              <w:t>日</w:t>
            </w:r>
            <w:r>
              <w:rPr>
                <w:rFonts w:ascii="Arial" w:hAnsi="Arial" w:cs="Arial"/>
                <w:sz w:val="22"/>
                <w:szCs w:val="22"/>
              </w:rPr>
              <w:t>前进行信息披露。原则上终止后5个工作日内将投资者理财资金划入投资者指定资金账户（如有延期，将在本</w:t>
            </w:r>
            <w:r>
              <w:rPr>
                <w:rFonts w:hint="eastAsia" w:ascii="Arial" w:hAnsi="Arial" w:cs="Arial"/>
                <w:sz w:val="22"/>
                <w:szCs w:val="22"/>
              </w:rPr>
              <w:t>理财产品</w:t>
            </w:r>
            <w:r>
              <w:rPr>
                <w:rFonts w:ascii="Arial" w:hAnsi="Arial" w:cs="Arial"/>
                <w:sz w:val="22"/>
                <w:szCs w:val="22"/>
              </w:rPr>
              <w:t>说明书约定渠道向</w:t>
            </w:r>
            <w:r>
              <w:rPr>
                <w:rFonts w:hint="eastAsia" w:ascii="Arial" w:hAnsi="Arial" w:cs="Arial"/>
                <w:sz w:val="22"/>
                <w:szCs w:val="22"/>
              </w:rPr>
              <w:t>本</w:t>
            </w:r>
            <w:r>
              <w:rPr>
                <w:rFonts w:ascii="Arial" w:hAnsi="Arial" w:cs="Arial"/>
                <w:sz w:val="22"/>
                <w:szCs w:val="22"/>
              </w:rPr>
              <w:t>理财产品投资者进行披露）。</w:t>
            </w:r>
            <w:r>
              <w:rPr>
                <w:rFonts w:hint="eastAsia" w:ascii="Arial" w:hAnsi="Arial" w:cs="Arial"/>
                <w:sz w:val="22"/>
                <w:szCs w:val="22"/>
              </w:rPr>
              <w:t>自</w:t>
            </w:r>
            <w:r>
              <w:rPr>
                <w:rFonts w:ascii="Arial" w:hAnsi="Arial" w:cs="Arial"/>
                <w:sz w:val="22"/>
                <w:szCs w:val="22"/>
              </w:rPr>
              <w:t>终止日</w:t>
            </w:r>
            <w:r>
              <w:rPr>
                <w:rFonts w:hint="eastAsia" w:ascii="Arial" w:hAnsi="Arial" w:cs="Arial"/>
                <w:sz w:val="22"/>
                <w:szCs w:val="22"/>
              </w:rPr>
              <w:t>起</w:t>
            </w:r>
            <w:r>
              <w:rPr>
                <w:rFonts w:ascii="Arial" w:hAnsi="Arial" w:cs="Arial"/>
                <w:sz w:val="22"/>
                <w:szCs w:val="22"/>
              </w:rPr>
              <w:t>资金不计</w:t>
            </w:r>
            <w:r>
              <w:rPr>
                <w:rFonts w:hint="eastAsia" w:ascii="Arial" w:hAnsi="Arial" w:cs="Arial"/>
                <w:sz w:val="22"/>
                <w:szCs w:val="22"/>
              </w:rPr>
              <w:t>付收益</w:t>
            </w: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税款</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根据中国增值税相关法律法规、税收政策等要求，</w:t>
            </w:r>
            <w:r>
              <w:rPr>
                <w:rFonts w:hint="eastAsia" w:ascii="Arial" w:hAnsi="Arial" w:cs="Arial"/>
                <w:sz w:val="22"/>
                <w:szCs w:val="22"/>
              </w:rPr>
              <w:t>本</w:t>
            </w:r>
            <w:r>
              <w:rPr>
                <w:rFonts w:ascii="Arial" w:hAnsi="Arial" w:cs="Arial"/>
                <w:sz w:val="22"/>
                <w:szCs w:val="22"/>
              </w:rPr>
              <w:t>理财产品运营过程中发生的增值税应税行为，以管理人为纳税人。签约各方同意本理财产品在运营过程中应缴纳的增值税及附加税费（包括但不限于城市维护建设税、教育费附加及地方教育附加等）由管理人从</w:t>
            </w:r>
            <w:r>
              <w:rPr>
                <w:rFonts w:hint="eastAsia" w:ascii="Arial" w:hAnsi="Arial" w:cs="Arial"/>
                <w:sz w:val="22"/>
                <w:szCs w:val="22"/>
              </w:rPr>
              <w:t>本</w:t>
            </w:r>
            <w:r>
              <w:rPr>
                <w:rFonts w:ascii="Arial" w:hAnsi="Arial" w:cs="Arial"/>
                <w:sz w:val="22"/>
                <w:szCs w:val="22"/>
              </w:rPr>
              <w:t>理财产品财产中支付，并依据中国税务机关要求，履行相关纳税申报义务。投资者从</w:t>
            </w:r>
            <w:r>
              <w:rPr>
                <w:rFonts w:hint="eastAsia" w:ascii="Arial" w:hAnsi="Arial" w:cs="Arial"/>
                <w:sz w:val="22"/>
                <w:szCs w:val="22"/>
              </w:rPr>
              <w:t>本</w:t>
            </w:r>
            <w:r>
              <w:rPr>
                <w:rFonts w:ascii="Arial" w:hAnsi="Arial" w:cs="Arial"/>
                <w:sz w:val="22"/>
                <w:szCs w:val="22"/>
              </w:rPr>
              <w:t>理财产品取得的收益应缴纳的税款，由投资者自行申报及缴纳。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1838" w:type="dxa"/>
            <w:shd w:val="clear" w:color="auto" w:fill="auto"/>
            <w:noWrap/>
            <w:tcMar>
              <w:top w:w="15" w:type="dxa"/>
              <w:left w:w="15" w:type="dxa"/>
              <w:bottom w:w="0" w:type="dxa"/>
              <w:right w:w="15" w:type="dxa"/>
            </w:tcMar>
            <w:vAlign w:val="center"/>
          </w:tcPr>
          <w:p>
            <w:pPr>
              <w:ind w:left="-140" w:leftChars="-74" w:right="141" w:hanging="15"/>
              <w:jc w:val="center"/>
              <w:rPr>
                <w:rFonts w:ascii="Arial" w:hAnsi="Arial" w:cs="Arial"/>
                <w:b/>
                <w:color w:val="000000"/>
                <w:sz w:val="22"/>
                <w:szCs w:val="22"/>
              </w:rPr>
            </w:pPr>
            <w:r>
              <w:rPr>
                <w:rFonts w:ascii="Arial" w:hAnsi="Arial" w:cs="Arial"/>
                <w:b/>
                <w:color w:val="000000"/>
                <w:sz w:val="22"/>
                <w:szCs w:val="22"/>
              </w:rPr>
              <w:t>追索条款</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sz w:val="22"/>
                <w:szCs w:val="22"/>
              </w:rPr>
            </w:pPr>
            <w:r>
              <w:rPr>
                <w:rFonts w:ascii="Arial" w:hAnsi="Arial" w:cs="Arial"/>
                <w:sz w:val="22"/>
                <w:szCs w:val="22"/>
              </w:rPr>
              <w:t>若本理财产品所投资的金融</w:t>
            </w:r>
            <w:r>
              <w:rPr>
                <w:rFonts w:hint="eastAsia" w:ascii="Arial" w:hAnsi="Arial" w:cs="Arial"/>
                <w:sz w:val="22"/>
                <w:szCs w:val="22"/>
              </w:rPr>
              <w:t>资产</w:t>
            </w:r>
            <w:r>
              <w:rPr>
                <w:rFonts w:ascii="Arial" w:hAnsi="Arial" w:cs="Arial"/>
                <w:sz w:val="22"/>
                <w:szCs w:val="22"/>
              </w:rPr>
              <w:t>到期不能全部偿付导致资产减值甚至本金大幅损失，</w:t>
            </w:r>
            <w:r>
              <w:rPr>
                <w:rFonts w:hint="eastAsia" w:ascii="Arial" w:hAnsi="Arial" w:cs="Arial"/>
                <w:sz w:val="22"/>
                <w:szCs w:val="22"/>
              </w:rPr>
              <w:t>管理人</w:t>
            </w:r>
            <w:r>
              <w:rPr>
                <w:rFonts w:ascii="Arial" w:hAnsi="Arial" w:cs="Arial"/>
                <w:sz w:val="22"/>
                <w:szCs w:val="22"/>
              </w:rPr>
              <w:t>将首先按照本理财产品投资的实际回收资金</w:t>
            </w:r>
            <w:r>
              <w:rPr>
                <w:rFonts w:hint="eastAsia" w:ascii="Arial" w:hAnsi="Arial" w:cs="Arial"/>
                <w:sz w:val="22"/>
                <w:szCs w:val="22"/>
              </w:rPr>
              <w:t>按照协议约定顺序支付</w:t>
            </w:r>
            <w:r>
              <w:rPr>
                <w:rFonts w:ascii="Arial" w:hAnsi="Arial" w:cs="Arial"/>
                <w:sz w:val="22"/>
                <w:szCs w:val="22"/>
              </w:rPr>
              <w:t>理财本金和收益（如有），差额部分向相关责任人</w:t>
            </w:r>
            <w:r>
              <w:rPr>
                <w:rFonts w:hint="eastAsia" w:ascii="Arial" w:hAnsi="Arial" w:cs="Arial"/>
                <w:sz w:val="22"/>
                <w:szCs w:val="22"/>
              </w:rPr>
              <w:t>追索</w:t>
            </w:r>
            <w:r>
              <w:rPr>
                <w:rFonts w:ascii="Arial" w:hAnsi="Arial" w:cs="Arial"/>
                <w:sz w:val="22"/>
                <w:szCs w:val="22"/>
              </w:rPr>
              <w:t>，</w:t>
            </w:r>
            <w:r>
              <w:rPr>
                <w:rFonts w:hint="eastAsia" w:ascii="Arial" w:hAnsi="Arial" w:cs="Arial"/>
                <w:sz w:val="22"/>
                <w:szCs w:val="22"/>
              </w:rPr>
              <w:t>管理人</w:t>
            </w:r>
            <w:r>
              <w:rPr>
                <w:rFonts w:ascii="Arial" w:hAnsi="Arial" w:cs="Arial"/>
                <w:sz w:val="22"/>
                <w:szCs w:val="22"/>
              </w:rPr>
              <w:t>将在</w:t>
            </w:r>
            <w:r>
              <w:rPr>
                <w:rFonts w:hint="eastAsia" w:ascii="Arial" w:hAnsi="Arial" w:cs="Arial"/>
                <w:sz w:val="22"/>
                <w:szCs w:val="22"/>
              </w:rPr>
              <w:t>取得追索</w:t>
            </w:r>
            <w:r>
              <w:rPr>
                <w:rFonts w:ascii="Arial" w:hAnsi="Arial" w:cs="Arial"/>
                <w:sz w:val="22"/>
                <w:szCs w:val="22"/>
              </w:rPr>
              <w:t>资金后5个交易日内扣除相关费用后向相关投资者进行支付。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ind w:left="-140" w:leftChars="-74" w:right="141" w:hanging="15"/>
              <w:jc w:val="center"/>
              <w:rPr>
                <w:rFonts w:ascii="Arial" w:hAnsi="Arial" w:cs="Arial"/>
                <w:b/>
                <w:color w:val="000000"/>
                <w:sz w:val="22"/>
                <w:szCs w:val="22"/>
              </w:rPr>
            </w:pPr>
            <w:r>
              <w:rPr>
                <w:rFonts w:ascii="Arial" w:hAnsi="Arial" w:cs="Arial"/>
                <w:b/>
                <w:color w:val="000000"/>
                <w:sz w:val="22"/>
                <w:szCs w:val="22"/>
              </w:rPr>
              <w:t>不可抗力</w:t>
            </w:r>
          </w:p>
        </w:tc>
        <w:tc>
          <w:tcPr>
            <w:tcW w:w="7088" w:type="dxa"/>
            <w:shd w:val="clear" w:color="auto" w:fill="auto"/>
            <w:tcMar>
              <w:top w:w="15" w:type="dxa"/>
              <w:left w:w="15" w:type="dxa"/>
              <w:bottom w:w="0" w:type="dxa"/>
              <w:right w:w="15" w:type="dxa"/>
            </w:tcMar>
            <w:vAlign w:val="center"/>
          </w:tcPr>
          <w:p>
            <w:pPr>
              <w:spacing w:line="360" w:lineRule="auto"/>
              <w:ind w:left="122" w:leftChars="50" w:right="105" w:rightChars="50" w:hanging="17"/>
              <w:rPr>
                <w:rFonts w:ascii="Arial" w:hAnsi="Arial" w:cs="Arial"/>
                <w:sz w:val="22"/>
                <w:szCs w:val="22"/>
              </w:rPr>
            </w:pPr>
            <w:r>
              <w:rPr>
                <w:rFonts w:ascii="Arial" w:hAnsi="Arial" w:cs="Arial"/>
                <w:color w:val="000000"/>
                <w:sz w:val="22"/>
                <w:szCs w:val="22"/>
              </w:rPr>
              <w:t>指本</w:t>
            </w:r>
            <w:r>
              <w:rPr>
                <w:rFonts w:hint="eastAsia" w:ascii="Arial" w:hAnsi="Arial" w:cs="Arial"/>
                <w:color w:val="000000"/>
                <w:sz w:val="22"/>
                <w:szCs w:val="22"/>
              </w:rPr>
              <w:t>理财产品销售文件</w:t>
            </w:r>
            <w:r>
              <w:rPr>
                <w:rFonts w:ascii="Arial" w:hAnsi="Arial" w:cs="Arial"/>
                <w:color w:val="000000"/>
                <w:sz w:val="22"/>
                <w:szCs w:val="22"/>
              </w:rPr>
              <w:t>当事人不能预见、不能避免且不能克服的客观情况。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ind w:left="-140" w:leftChars="-74" w:right="141" w:hanging="15"/>
              <w:jc w:val="center"/>
              <w:rPr>
                <w:rFonts w:ascii="Arial" w:hAnsi="Arial" w:cs="Arial"/>
                <w:b/>
                <w:color w:val="000000"/>
                <w:sz w:val="22"/>
                <w:szCs w:val="22"/>
              </w:rPr>
            </w:pPr>
            <w:r>
              <w:rPr>
                <w:rFonts w:ascii="Arial" w:hAnsi="Arial" w:cs="Arial"/>
                <w:b/>
                <w:color w:val="000000"/>
                <w:sz w:val="22"/>
                <w:szCs w:val="22"/>
              </w:rPr>
              <w:t>其他规定</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sz w:val="22"/>
                <w:szCs w:val="22"/>
              </w:rPr>
            </w:pPr>
            <w:r>
              <w:rPr>
                <w:rFonts w:ascii="Arial" w:hAnsi="Arial" w:cs="Arial"/>
                <w:sz w:val="22"/>
                <w:szCs w:val="22"/>
              </w:rPr>
              <w:t>产品认购期、认购登记日、产品成立日、产品开放日、提前终止日等日期，</w:t>
            </w:r>
            <w:r>
              <w:rPr>
                <w:rFonts w:hint="eastAsia" w:ascii="Arial" w:hAnsi="Arial" w:cs="Arial"/>
                <w:sz w:val="22"/>
                <w:szCs w:val="22"/>
              </w:rPr>
              <w:t>管理人</w:t>
            </w:r>
            <w:r>
              <w:rPr>
                <w:rFonts w:ascii="Arial" w:hAnsi="Arial" w:cs="Arial"/>
                <w:sz w:val="22"/>
                <w:szCs w:val="22"/>
              </w:rPr>
              <w:t>有权根据节假日进行调整，并以实际公</w:t>
            </w:r>
            <w:r>
              <w:rPr>
                <w:rFonts w:hint="eastAsia" w:ascii="Arial" w:hAnsi="Arial" w:cs="Arial"/>
                <w:sz w:val="22"/>
                <w:szCs w:val="22"/>
              </w:rPr>
              <w:t>告</w:t>
            </w:r>
            <w:r>
              <w:rPr>
                <w:rFonts w:ascii="Arial" w:hAnsi="Arial" w:cs="Arial"/>
                <w:sz w:val="22"/>
                <w:szCs w:val="22"/>
              </w:rPr>
              <w:t>为准。</w:t>
            </w:r>
          </w:p>
          <w:p>
            <w:pPr>
              <w:spacing w:line="360" w:lineRule="auto"/>
              <w:ind w:left="105" w:leftChars="50" w:right="105" w:rightChars="50"/>
              <w:rPr>
                <w:rFonts w:ascii="Arial" w:hAnsi="Arial" w:cs="Arial"/>
                <w:sz w:val="22"/>
                <w:szCs w:val="22"/>
              </w:rPr>
            </w:pPr>
            <w:r>
              <w:rPr>
                <w:rFonts w:ascii="Arial" w:hAnsi="Arial" w:cs="Arial"/>
                <w:sz w:val="22"/>
                <w:szCs w:val="22"/>
              </w:rPr>
              <w:t>认购登记日至产品成立日为认购清算期，产品</w:t>
            </w:r>
            <w:r>
              <w:rPr>
                <w:rFonts w:hint="eastAsia" w:ascii="Arial" w:hAnsi="Arial" w:cs="Arial"/>
                <w:sz w:val="22"/>
                <w:szCs w:val="22"/>
              </w:rPr>
              <w:t>开放日</w:t>
            </w:r>
            <w:r>
              <w:rPr>
                <w:rFonts w:ascii="Arial" w:hAnsi="Arial" w:cs="Arial"/>
                <w:sz w:val="22"/>
                <w:szCs w:val="22"/>
              </w:rPr>
              <w:t>至资金到账日为赎回清算期，提前终止日至资金到账日为终止清算期（若</w:t>
            </w:r>
            <w:r>
              <w:rPr>
                <w:rFonts w:hint="eastAsia" w:ascii="Arial" w:hAnsi="Arial" w:cs="Arial"/>
                <w:sz w:val="22"/>
                <w:szCs w:val="22"/>
              </w:rPr>
              <w:t>管理人</w:t>
            </w:r>
            <w:r>
              <w:rPr>
                <w:rFonts w:ascii="Arial" w:hAnsi="Arial" w:cs="Arial"/>
                <w:sz w:val="22"/>
                <w:szCs w:val="22"/>
              </w:rPr>
              <w:t>提前终止</w:t>
            </w:r>
            <w:r>
              <w:rPr>
                <w:rFonts w:hint="eastAsia" w:ascii="Arial" w:hAnsi="Arial" w:cs="Arial"/>
                <w:sz w:val="22"/>
                <w:szCs w:val="22"/>
              </w:rPr>
              <w:t>本</w:t>
            </w:r>
            <w:r>
              <w:rPr>
                <w:rFonts w:ascii="Arial" w:hAnsi="Arial" w:cs="Arial"/>
                <w:sz w:val="22"/>
                <w:szCs w:val="22"/>
              </w:rPr>
              <w:t>理财</w:t>
            </w:r>
            <w:r>
              <w:rPr>
                <w:rFonts w:hint="eastAsia" w:ascii="Arial" w:hAnsi="Arial" w:cs="Arial"/>
                <w:sz w:val="22"/>
                <w:szCs w:val="22"/>
              </w:rPr>
              <w:t>产品</w:t>
            </w:r>
            <w:r>
              <w:rPr>
                <w:rFonts w:ascii="Arial" w:hAnsi="Arial" w:cs="Arial"/>
                <w:sz w:val="22"/>
                <w:szCs w:val="22"/>
              </w:rPr>
              <w:t>），上述清算期内均不计付收益。</w:t>
            </w:r>
            <w:r>
              <w:rPr>
                <w:rFonts w:hint="eastAsia" w:ascii="Arial" w:hAnsi="Arial" w:cs="Arial"/>
                <w:sz w:val="22"/>
                <w:szCs w:val="22"/>
              </w:rPr>
              <w:t>清算期最后一日逢非交易日则顺延至下一个交易日。</w:t>
            </w:r>
          </w:p>
          <w:p>
            <w:pPr>
              <w:spacing w:line="360" w:lineRule="auto"/>
              <w:ind w:left="105" w:leftChars="50" w:right="105" w:rightChars="50"/>
              <w:rPr>
                <w:rFonts w:ascii="Arial" w:hAnsi="Arial" w:cs="Arial"/>
                <w:sz w:val="22"/>
                <w:szCs w:val="22"/>
              </w:rPr>
            </w:pPr>
            <w:r>
              <w:rPr>
                <w:rFonts w:ascii="Arial" w:hAnsi="Arial" w:cs="Arial"/>
                <w:sz w:val="22"/>
                <w:szCs w:val="22"/>
              </w:rPr>
              <w:t>发生暂停认购/申购，</w:t>
            </w:r>
            <w:r>
              <w:rPr>
                <w:rFonts w:hint="eastAsia" w:ascii="Arial" w:hAnsi="Arial" w:cs="Arial"/>
                <w:sz w:val="22"/>
                <w:szCs w:val="22"/>
              </w:rPr>
              <w:t>本</w:t>
            </w:r>
            <w:r>
              <w:rPr>
                <w:rFonts w:ascii="Arial" w:hAnsi="Arial" w:cs="Arial"/>
                <w:sz w:val="22"/>
                <w:szCs w:val="22"/>
              </w:rPr>
              <w:t>理财产品宣布不成立等情形时，</w:t>
            </w:r>
            <w:r>
              <w:rPr>
                <w:rFonts w:hint="eastAsia" w:ascii="Arial" w:hAnsi="Arial" w:cs="Arial"/>
                <w:sz w:val="22"/>
                <w:szCs w:val="22"/>
              </w:rPr>
              <w:t>管理人</w:t>
            </w:r>
            <w:r>
              <w:rPr>
                <w:rFonts w:ascii="Arial" w:hAnsi="Arial" w:cs="Arial"/>
                <w:sz w:val="22"/>
                <w:szCs w:val="22"/>
              </w:rPr>
              <w:t>将按照本</w:t>
            </w:r>
            <w:r>
              <w:rPr>
                <w:rFonts w:hint="eastAsia" w:ascii="Arial" w:hAnsi="Arial" w:cs="Arial"/>
                <w:sz w:val="22"/>
                <w:szCs w:val="22"/>
              </w:rPr>
              <w:t>理财产品</w:t>
            </w:r>
            <w:r>
              <w:rPr>
                <w:rFonts w:ascii="Arial" w:hAnsi="Arial" w:cs="Arial"/>
                <w:sz w:val="22"/>
                <w:szCs w:val="22"/>
              </w:rPr>
              <w:t>说明书约定的信息披露方式进行公告。如果因发生前述情形导致投资者的认购/申购申请被拒绝，被拒绝的认购/申购款项将退还给投资者，</w:t>
            </w:r>
            <w:r>
              <w:rPr>
                <w:rFonts w:hint="eastAsia" w:ascii="Arial" w:hAnsi="Arial" w:cs="Arial"/>
                <w:sz w:val="22"/>
                <w:szCs w:val="22"/>
              </w:rPr>
              <w:t>管理人</w:t>
            </w:r>
            <w:r>
              <w:rPr>
                <w:rFonts w:ascii="Arial" w:hAnsi="Arial" w:cs="Arial"/>
                <w:sz w:val="22"/>
                <w:szCs w:val="22"/>
              </w:rPr>
              <w:t>不负责承担投资者由此产生的利息等损失。在暂停认购</w:t>
            </w:r>
            <w:r>
              <w:rPr>
                <w:rFonts w:hint="eastAsia" w:ascii="Arial" w:hAnsi="Arial" w:cs="Arial"/>
                <w:sz w:val="22"/>
                <w:szCs w:val="22"/>
              </w:rPr>
              <w:t>/申购</w:t>
            </w:r>
            <w:r>
              <w:rPr>
                <w:rFonts w:ascii="Arial" w:hAnsi="Arial" w:cs="Arial"/>
                <w:sz w:val="22"/>
                <w:szCs w:val="22"/>
              </w:rPr>
              <w:t>的情况消除时，</w:t>
            </w:r>
            <w:r>
              <w:rPr>
                <w:rFonts w:hint="eastAsia" w:ascii="Arial" w:hAnsi="Arial" w:cs="Arial"/>
                <w:sz w:val="22"/>
                <w:szCs w:val="22"/>
              </w:rPr>
              <w:t>管理人</w:t>
            </w:r>
            <w:r>
              <w:rPr>
                <w:rFonts w:ascii="Arial" w:hAnsi="Arial" w:cs="Arial"/>
                <w:sz w:val="22"/>
                <w:szCs w:val="22"/>
              </w:rPr>
              <w:t>将及时恢复认购</w:t>
            </w:r>
            <w:r>
              <w:rPr>
                <w:rFonts w:hint="eastAsia" w:ascii="Arial" w:hAnsi="Arial" w:cs="Arial"/>
                <w:sz w:val="22"/>
                <w:szCs w:val="22"/>
              </w:rPr>
              <w:t>/申购</w:t>
            </w:r>
            <w:r>
              <w:rPr>
                <w:rFonts w:ascii="Arial" w:hAnsi="Arial" w:cs="Arial"/>
                <w:sz w:val="22"/>
                <w:szCs w:val="22"/>
              </w:rPr>
              <w:t>业务的办理。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ind w:left="-140" w:leftChars="-74" w:right="141" w:hanging="15"/>
              <w:jc w:val="center"/>
              <w:rPr>
                <w:rFonts w:ascii="Arial" w:hAnsi="Arial" w:cs="Arial"/>
                <w:b/>
                <w:color w:val="000000"/>
                <w:sz w:val="22"/>
                <w:szCs w:val="22"/>
              </w:rPr>
            </w:pPr>
            <w:r>
              <w:rPr>
                <w:rFonts w:hint="eastAsia" w:ascii="Arial" w:hAnsi="Arial" w:cs="Arial"/>
                <w:b/>
                <w:color w:val="000000"/>
                <w:sz w:val="22"/>
                <w:szCs w:val="22"/>
              </w:rPr>
              <w:t>其他释义</w:t>
            </w:r>
          </w:p>
        </w:tc>
        <w:tc>
          <w:tcPr>
            <w:tcW w:w="7088" w:type="dxa"/>
            <w:shd w:val="clear" w:color="auto" w:fill="auto"/>
            <w:tcMar>
              <w:top w:w="15" w:type="dxa"/>
              <w:left w:w="15" w:type="dxa"/>
              <w:bottom w:w="0" w:type="dxa"/>
              <w:right w:w="15" w:type="dxa"/>
            </w:tcMar>
            <w:vAlign w:val="center"/>
          </w:tcPr>
          <w:p>
            <w:pPr>
              <w:pStyle w:val="20"/>
              <w:numPr>
                <w:ilvl w:val="0"/>
                <w:numId w:val="5"/>
              </w:numPr>
              <w:spacing w:line="360" w:lineRule="auto"/>
              <w:ind w:left="0" w:right="105" w:rightChars="50" w:firstLine="0" w:firstLineChars="0"/>
              <w:rPr>
                <w:rFonts w:ascii="Arial" w:hAnsi="Arial" w:cs="Arial"/>
                <w:sz w:val="22"/>
                <w:szCs w:val="22"/>
              </w:rPr>
            </w:pPr>
            <w:r>
              <w:rPr>
                <w:rFonts w:hint="eastAsia" w:ascii="Arial" w:hAnsi="Arial" w:cs="Arial"/>
                <w:sz w:val="22"/>
                <w:szCs w:val="22"/>
              </w:rPr>
              <w:t>流动性受限资产，是指由于法律法规、监管、合同或操作障碍等原因无法以合理价格予以变现的资产，包括到期日在</w:t>
            </w:r>
            <w:r>
              <w:rPr>
                <w:rFonts w:ascii="Arial" w:hAnsi="Arial" w:cs="Arial"/>
                <w:sz w:val="22"/>
                <w:szCs w:val="22"/>
              </w:rPr>
              <w:t>10</w:t>
            </w:r>
            <w:r>
              <w:rPr>
                <w:rFonts w:hint="eastAsia" w:ascii="Arial" w:hAnsi="Arial" w:cs="Arial"/>
                <w:sz w:val="22"/>
                <w:szCs w:val="22"/>
              </w:rPr>
              <w:t>个交易日以上的逆回购与银行定期存款（含协议约定有条件提前支取的银行存款）、距可赎回日在</w:t>
            </w:r>
            <w:r>
              <w:rPr>
                <w:rFonts w:ascii="Arial" w:hAnsi="Arial" w:cs="Arial"/>
                <w:sz w:val="22"/>
                <w:szCs w:val="22"/>
              </w:rPr>
              <w:t>10</w:t>
            </w:r>
            <w:r>
              <w:rPr>
                <w:rFonts w:hint="eastAsia" w:ascii="Arial" w:hAnsi="Arial" w:cs="Arial"/>
                <w:sz w:val="22"/>
                <w:szCs w:val="22"/>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20"/>
              <w:numPr>
                <w:ilvl w:val="0"/>
                <w:numId w:val="5"/>
              </w:numPr>
              <w:spacing w:line="360" w:lineRule="auto"/>
              <w:ind w:left="0" w:right="105" w:rightChars="50" w:firstLine="0" w:firstLineChars="0"/>
              <w:rPr>
                <w:rFonts w:ascii="Arial" w:hAnsi="Arial" w:cs="Arial"/>
                <w:sz w:val="22"/>
                <w:szCs w:val="22"/>
              </w:rPr>
            </w:pPr>
            <w:r>
              <w:rPr>
                <w:rFonts w:ascii="Arial" w:hAnsi="Arial" w:cs="Arial"/>
                <w:sz w:val="22"/>
                <w:szCs w:val="22"/>
              </w:rPr>
              <w:t>7</w:t>
            </w:r>
            <w:r>
              <w:rPr>
                <w:rFonts w:hint="eastAsia" w:ascii="Arial" w:hAnsi="Arial" w:cs="Arial"/>
                <w:sz w:val="22"/>
                <w:szCs w:val="22"/>
              </w:rPr>
              <w:t>个工作日可变现资产，包括可在交易所、银行间市场正常交易的股票、债券、非金融企业债务融资工具、期货及期权合约以及同业存单，</w:t>
            </w:r>
            <w:r>
              <w:rPr>
                <w:rFonts w:ascii="Arial" w:hAnsi="Arial" w:cs="Arial"/>
                <w:sz w:val="22"/>
                <w:szCs w:val="22"/>
              </w:rPr>
              <w:t>7</w:t>
            </w:r>
            <w:r>
              <w:rPr>
                <w:rFonts w:hint="eastAsia" w:ascii="Arial" w:hAnsi="Arial" w:cs="Arial"/>
                <w:sz w:val="22"/>
                <w:szCs w:val="22"/>
              </w:rPr>
              <w:t>个工作日内到期或可支取的买入返售、银行存款，</w:t>
            </w:r>
            <w:r>
              <w:rPr>
                <w:rFonts w:ascii="Arial" w:hAnsi="Arial" w:cs="Arial"/>
                <w:sz w:val="22"/>
                <w:szCs w:val="22"/>
              </w:rPr>
              <w:t>7</w:t>
            </w:r>
            <w:r>
              <w:rPr>
                <w:rFonts w:hint="eastAsia" w:ascii="Arial" w:hAnsi="Arial" w:cs="Arial"/>
                <w:sz w:val="22"/>
                <w:szCs w:val="22"/>
              </w:rPr>
              <w:t>个工作日内能够确认收到的各类应收款项等。</w:t>
            </w:r>
          </w:p>
          <w:p>
            <w:pPr>
              <w:pStyle w:val="20"/>
              <w:numPr>
                <w:ilvl w:val="0"/>
                <w:numId w:val="5"/>
              </w:numPr>
              <w:spacing w:line="360" w:lineRule="auto"/>
              <w:ind w:left="0" w:right="105" w:rightChars="50" w:firstLine="0" w:firstLineChars="0"/>
              <w:rPr>
                <w:rFonts w:ascii="Arial" w:hAnsi="Arial" w:cs="Arial"/>
                <w:sz w:val="22"/>
                <w:szCs w:val="22"/>
              </w:rPr>
            </w:pPr>
            <w:r>
              <w:rPr>
                <w:rFonts w:hint="eastAsia" w:ascii="Arial" w:hAnsi="Arial" w:cs="Arial"/>
                <w:sz w:val="22"/>
                <w:szCs w:val="22"/>
              </w:rPr>
              <w:t>摆动定价机制，是指当本理财产品遭遇大额认购或赎回时，通过调整理财产品份额净值的方式，将理财产品调整投资组合的市场冲击成本分配给实际认购、赎回的投资者，从而减少对存量理财产品份额持有人利益的不利影响。</w:t>
            </w:r>
          </w:p>
        </w:tc>
      </w:tr>
    </w:tbl>
    <w:p>
      <w:pPr>
        <w:spacing w:line="360" w:lineRule="auto"/>
        <w:ind w:firstLine="458" w:firstLineChars="200"/>
        <w:rPr>
          <w:rFonts w:ascii="Arial" w:hAnsi="Arial" w:cs="Arial"/>
          <w:color w:val="000000"/>
          <w:spacing w:val="4"/>
          <w:sz w:val="22"/>
          <w:szCs w:val="22"/>
        </w:rPr>
      </w:pPr>
      <w:r>
        <w:rPr>
          <w:rFonts w:hint="eastAsia" w:ascii="Arial" w:hAnsi="Arial" w:cs="Arial"/>
          <w:b/>
          <w:color w:val="000000"/>
          <w:spacing w:val="4"/>
          <w:sz w:val="22"/>
          <w:szCs w:val="22"/>
        </w:rPr>
        <w:t>在本理财产品存续期内，如因监管政策与规定发生变化，</w:t>
      </w:r>
      <w:r>
        <w:rPr>
          <w:rFonts w:hint="eastAsia" w:ascii="Arial" w:hAnsi="Arial" w:cs="Arial"/>
          <w:b/>
          <w:bCs/>
          <w:color w:val="000000"/>
          <w:spacing w:val="4"/>
          <w:sz w:val="22"/>
          <w:szCs w:val="22"/>
        </w:rPr>
        <w:t>管理人</w:t>
      </w:r>
      <w:r>
        <w:rPr>
          <w:rFonts w:hint="eastAsia" w:ascii="Arial" w:hAnsi="Arial" w:cs="Arial"/>
          <w:b/>
          <w:color w:val="000000"/>
          <w:spacing w:val="4"/>
          <w:sz w:val="22"/>
          <w:szCs w:val="22"/>
        </w:rPr>
        <w:t>有权单方对本理财产品销售文件条款进行修改。</w:t>
      </w:r>
      <w:r>
        <w:rPr>
          <w:rFonts w:hint="eastAsia" w:ascii="Arial" w:hAnsi="Arial" w:cs="Arial"/>
          <w:b/>
          <w:bCs/>
          <w:color w:val="000000"/>
          <w:spacing w:val="4"/>
          <w:sz w:val="22"/>
          <w:szCs w:val="22"/>
        </w:rPr>
        <w:t>管理人对于本理财产品销售文件条款的修改对投资者权益产生重大影响的，应当按照本理财产品说明书约定开设临时开放期，以供投资者提前赎回本理财产品。</w:t>
      </w:r>
    </w:p>
    <w:p>
      <w:pPr>
        <w:pStyle w:val="2"/>
        <w:numPr>
          <w:ilvl w:val="0"/>
          <w:numId w:val="3"/>
        </w:numPr>
        <w:tabs>
          <w:tab w:val="left" w:pos="426"/>
        </w:tabs>
        <w:spacing w:line="240" w:lineRule="auto"/>
        <w:rPr>
          <w:rFonts w:ascii="Arial" w:hAnsi="Arial" w:cs="Arial"/>
          <w:color w:val="000000"/>
          <w:sz w:val="22"/>
          <w:szCs w:val="22"/>
        </w:rPr>
      </w:pPr>
      <w:r>
        <w:rPr>
          <w:rFonts w:ascii="Arial" w:hAnsi="Arial" w:cs="Arial"/>
          <w:color w:val="000000"/>
          <w:sz w:val="22"/>
          <w:szCs w:val="22"/>
        </w:rPr>
        <w:t>产品投资</w:t>
      </w:r>
    </w:p>
    <w:p>
      <w:pPr>
        <w:pStyle w:val="20"/>
        <w:numPr>
          <w:ilvl w:val="0"/>
          <w:numId w:val="6"/>
        </w:numPr>
        <w:snapToGrid w:val="0"/>
        <w:spacing w:line="360" w:lineRule="auto"/>
        <w:ind w:firstLineChars="0"/>
        <w:rPr>
          <w:rFonts w:ascii="Arial" w:hAnsi="Arial" w:cs="Arial"/>
          <w:b/>
          <w:color w:val="000000"/>
          <w:spacing w:val="-2"/>
          <w:sz w:val="22"/>
          <w:szCs w:val="22"/>
        </w:rPr>
      </w:pPr>
      <w:r>
        <w:rPr>
          <w:rFonts w:hint="eastAsia" w:ascii="Arial" w:hAnsi="Arial" w:cs="Arial"/>
          <w:b/>
          <w:color w:val="000000"/>
          <w:spacing w:val="-2"/>
          <w:sz w:val="22"/>
          <w:szCs w:val="22"/>
        </w:rPr>
        <w:t>投资目标</w:t>
      </w:r>
    </w:p>
    <w:p>
      <w:pPr>
        <w:snapToGrid w:val="0"/>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本产品主要投资于固定收益类资产，在严格控制投资组合风险的前提下，谨慎投资，力争实现投资组合的稳健增值。</w:t>
      </w:r>
    </w:p>
    <w:p>
      <w:pPr>
        <w:snapToGrid w:val="0"/>
        <w:spacing w:line="360" w:lineRule="auto"/>
        <w:ind w:firstLine="434" w:firstLineChars="200"/>
        <w:rPr>
          <w:rFonts w:ascii="Arial" w:hAnsi="Arial" w:cs="Arial"/>
          <w:b/>
          <w:color w:val="000000"/>
          <w:spacing w:val="-2"/>
          <w:sz w:val="22"/>
          <w:szCs w:val="22"/>
        </w:rPr>
      </w:pPr>
      <w:r>
        <w:rPr>
          <w:rFonts w:hint="eastAsia" w:ascii="Arial" w:hAnsi="Arial" w:cs="Arial"/>
          <w:b/>
          <w:color w:val="000000"/>
          <w:spacing w:val="-2"/>
          <w:sz w:val="22"/>
          <w:szCs w:val="22"/>
        </w:rPr>
        <w:t>（二）投资范围</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1、直接或通过资产管理产品投资债权类资产，包括但不限于银行存款、结构性存款、同业存款、债券回购；同业存单、国债、政策性金融债、地方政府债、短期融资券、超短期融资券、中期票据（包括永续中票）、企业债、公司债（包含可续期公司债）、非公开定向债务融资工具、资产支持证券、次级债（包括二级资本债）、可转换公司债券和可交换公司债券等银行间市场、证券交易所市场及经国务院同意设立的其他交易市场的债券及债务融资工具；境外发行的货币市场工具、债券、资产支持证券、票据；境内外发行的货币型公募证券投资基金、债券型公募证券投资基金等。</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2、直接或通过资产管理产品投资权益类资产，包括但不限于境内外发行的优先股、公开募集基础设施证券投资基金（公募REITs），以及权益类、混合类资产管理产品等。</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3、直接或通过资产管理产品投资金融衍生品类资产包括国债期货、利率互换、收益互换、债券借贷等。</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（本理财产品管理人在直接投资于金融衍生品类资产或上述境外发行资产前，需先获得相应的交易资格）。</w:t>
      </w:r>
    </w:p>
    <w:p>
      <w:pPr>
        <w:spacing w:line="360" w:lineRule="auto"/>
        <w:ind w:firstLine="456" w:firstLineChars="200"/>
        <w:rPr>
          <w:rFonts w:ascii="Arial" w:hAnsi="Arial" w:cs="Arial"/>
          <w:color w:val="000000"/>
          <w:spacing w:val="4"/>
          <w:sz w:val="22"/>
          <w:szCs w:val="22"/>
        </w:rPr>
      </w:pPr>
      <w:r>
        <w:rPr>
          <w:rFonts w:ascii="Arial" w:hAnsi="Arial" w:cs="Arial"/>
          <w:color w:val="000000"/>
          <w:spacing w:val="4"/>
          <w:sz w:val="22"/>
          <w:szCs w:val="22"/>
        </w:rPr>
        <w:t>本理财产品的投资范围将有可能随国家法律法规及监管政策的变化而产生变化，如投资范围等发生变化，产品管理人将于新的投资范围开始实施日前5个工作日公告。投资者若对此有异议，可申请赎回。投资者在公告后5个工作日内未提出赎回申请的视同无异议，继续持有本理财产品。</w:t>
      </w:r>
    </w:p>
    <w:p>
      <w:pPr>
        <w:spacing w:line="360" w:lineRule="auto"/>
        <w:ind w:firstLine="458" w:firstLineChars="200"/>
        <w:rPr>
          <w:rFonts w:ascii="Arial" w:hAnsi="Arial" w:cs="Arial"/>
          <w:b/>
          <w:color w:val="000000"/>
          <w:spacing w:val="4"/>
          <w:sz w:val="22"/>
          <w:szCs w:val="22"/>
        </w:rPr>
      </w:pPr>
      <w:r>
        <w:rPr>
          <w:rFonts w:hint="eastAsia" w:ascii="Arial" w:hAnsi="Arial" w:cs="Arial"/>
          <w:b/>
          <w:color w:val="000000"/>
          <w:spacing w:val="4"/>
          <w:sz w:val="22"/>
          <w:szCs w:val="22"/>
        </w:rPr>
        <w:t>（三）投资比例</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本理财产品投资于债权类资产的比例不低于80%，投资于权益类资产的比例不高于20%，投资于商品及金融衍生品类资产的比例合计不高于20%。</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产品管理人应当自产品成立日起3个月内使产品的投资组合比例符合本说明书的有关约定。非因产品管理人主观因素导致突破前述比例限制的，产品管理人将尽力在流动性受限资产可出售、可转让或者恢复交易的15个交易日内将理财产品投资比例调整至符合相关要求，国务院银行业监督管理机构规定的特殊情形除外。</w:t>
      </w:r>
    </w:p>
    <w:p>
      <w:pPr>
        <w:spacing w:line="360" w:lineRule="auto"/>
        <w:ind w:firstLine="458" w:firstLineChars="200"/>
        <w:rPr>
          <w:rFonts w:ascii="Arial" w:hAnsi="Arial" w:cs="Arial"/>
          <w:b/>
          <w:color w:val="000000"/>
          <w:spacing w:val="4"/>
          <w:sz w:val="22"/>
          <w:szCs w:val="22"/>
        </w:rPr>
      </w:pPr>
      <w:r>
        <w:rPr>
          <w:rFonts w:hint="eastAsia" w:ascii="Arial" w:hAnsi="Arial" w:cs="Arial"/>
          <w:b/>
          <w:color w:val="000000"/>
          <w:spacing w:val="4"/>
          <w:sz w:val="22"/>
          <w:szCs w:val="22"/>
        </w:rPr>
        <w:t>（四）投资策略</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本理财产品将密切关注债券市场的运行状况与风险收益特征，分析宏观经济运行状况和金融市场运行趋势，自上而下决定类属资产配置及组合久期，投资策略主要包括类属资产配置策略、利率策略、信用策略、期限结构配置策略、个券选择策略等。在谨慎投资的基础上，力争实现组合的稳健增值。</w:t>
      </w:r>
    </w:p>
    <w:p>
      <w:pPr>
        <w:spacing w:line="360" w:lineRule="auto"/>
        <w:ind w:firstLine="458" w:firstLineChars="200"/>
        <w:rPr>
          <w:rFonts w:ascii="Arial" w:hAnsi="Arial" w:cs="Arial"/>
          <w:b/>
          <w:color w:val="000000"/>
          <w:spacing w:val="4"/>
          <w:sz w:val="22"/>
          <w:szCs w:val="22"/>
        </w:rPr>
      </w:pPr>
      <w:r>
        <w:rPr>
          <w:rFonts w:hint="eastAsia" w:ascii="Arial" w:hAnsi="Arial" w:cs="Arial"/>
          <w:b/>
          <w:color w:val="000000"/>
          <w:spacing w:val="4"/>
          <w:sz w:val="22"/>
          <w:szCs w:val="22"/>
        </w:rPr>
        <w:t>（五）投资限制</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1、本理财产品的杠杆水平不得超过140%。</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2、持续保持投资于现金或到期日在一年以内的国债、中央银行票据和政策性金融债券的比例不低于5%。</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3、本理财产品投资于单只证券、单只公募证券投资基金的市值不超过本产品净资产的 10%。本理财产品投资于国债、地方政府债券、中央银行票据、政府机构债券、政策性金融债券的除外。</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4、本理财产品直接投资于流动性受限资产的市值在开放日不得超过该产品资产净值的15%。因证券市场波动、上市公司股票停牌、理财产品规模变动等因素导致本理财产品不符合本条规定比例限制的，本理财产品不得主动新增投资流动性受限资产。</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5、本理财产品计划投资不存在活跃交易市场，并且需要采用估值技术确定公允价值的资产不得达到净资产50%。非因管理人主观因素导致突破前款规定比例限制的，本理财产品不得新增投资上述资产。</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6、本理财产品在开放日前一工作日内，持有的7个工作日可变现资产的可变现价值不低于该产品资产净值的10%。</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非因管理人主观因素致使不符合前述第3条比例限制的，管理人将在流动性受限资产可出售、可转让或者恢复交易的 10 个交易日内调整至符合相关要求，国务院银行业监督管理机构规定的特殊情形除外。</w:t>
      </w:r>
    </w:p>
    <w:p>
      <w:pPr>
        <w:pStyle w:val="2"/>
        <w:numPr>
          <w:ilvl w:val="0"/>
          <w:numId w:val="3"/>
        </w:numPr>
        <w:tabs>
          <w:tab w:val="left" w:pos="426"/>
        </w:tabs>
        <w:spacing w:line="240" w:lineRule="auto"/>
        <w:rPr>
          <w:rFonts w:ascii="Arial" w:hAnsi="Arial" w:cs="Arial"/>
          <w:color w:val="000000"/>
          <w:sz w:val="22"/>
          <w:szCs w:val="22"/>
        </w:rPr>
      </w:pPr>
      <w:r>
        <w:rPr>
          <w:rFonts w:ascii="Arial" w:hAnsi="Arial" w:cs="Arial"/>
          <w:color w:val="000000"/>
          <w:sz w:val="22"/>
          <w:szCs w:val="22"/>
        </w:rPr>
        <w:t>产品管理人、托管人和销售服务机构</w:t>
      </w:r>
    </w:p>
    <w:p>
      <w:pPr>
        <w:widowControl/>
        <w:numPr>
          <w:ilvl w:val="0"/>
          <w:numId w:val="7"/>
        </w:numPr>
        <w:spacing w:line="360" w:lineRule="auto"/>
        <w:ind w:firstLine="442" w:firstLineChars="200"/>
        <w:rPr>
          <w:rFonts w:ascii="Arial" w:hAnsi="Arial" w:cs="Arial"/>
          <w:b/>
          <w:bCs/>
          <w:color w:val="000000"/>
          <w:sz w:val="22"/>
          <w:szCs w:val="22"/>
        </w:rPr>
      </w:pPr>
      <w:r>
        <w:rPr>
          <w:rFonts w:ascii="Arial" w:hAnsi="Arial" w:cs="Arial"/>
          <w:b/>
          <w:bCs/>
          <w:color w:val="000000"/>
          <w:sz w:val="22"/>
          <w:szCs w:val="22"/>
        </w:rPr>
        <w:t>产品管理人：平安理财有限责任公司。</w:t>
      </w:r>
      <w:r>
        <w:rPr>
          <w:rFonts w:hint="eastAsia" w:ascii="Arial" w:hAnsi="Arial" w:cs="Arial"/>
          <w:sz w:val="22"/>
          <w:szCs w:val="22"/>
        </w:rPr>
        <w:t>管理人</w:t>
      </w:r>
      <w:r>
        <w:rPr>
          <w:rFonts w:ascii="Arial" w:hAnsi="Arial" w:cs="Arial"/>
          <w:sz w:val="22"/>
          <w:szCs w:val="22"/>
        </w:rPr>
        <w:t>负责本理财产品的投资运作和产品管理，投资者在此授权并同意</w:t>
      </w:r>
      <w:r>
        <w:rPr>
          <w:rFonts w:hint="eastAsia" w:ascii="Arial" w:hAnsi="Arial" w:cs="Arial"/>
          <w:sz w:val="22"/>
          <w:szCs w:val="22"/>
        </w:rPr>
        <w:t>管理人</w:t>
      </w:r>
      <w:r>
        <w:rPr>
          <w:rFonts w:ascii="Arial" w:hAnsi="Arial" w:cs="Arial"/>
          <w:sz w:val="22"/>
          <w:szCs w:val="22"/>
        </w:rPr>
        <w:t>享有以下权利：</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按照本理财产品</w:t>
      </w:r>
      <w:r>
        <w:rPr>
          <w:rFonts w:hint="eastAsia" w:ascii="Arial" w:hAnsi="Arial" w:cs="Arial"/>
          <w:sz w:val="22"/>
          <w:szCs w:val="22"/>
        </w:rPr>
        <w:t>销售</w:t>
      </w:r>
      <w:r>
        <w:rPr>
          <w:rFonts w:ascii="Arial" w:hAnsi="Arial" w:cs="Arial"/>
          <w:sz w:val="22"/>
          <w:szCs w:val="22"/>
        </w:rPr>
        <w:t>文件的约定，管理、运用和处分</w:t>
      </w:r>
      <w:r>
        <w:rPr>
          <w:rFonts w:hint="eastAsia" w:ascii="Arial" w:hAnsi="Arial" w:cs="Arial"/>
          <w:sz w:val="22"/>
          <w:szCs w:val="22"/>
        </w:rPr>
        <w:t>本</w:t>
      </w:r>
      <w:r>
        <w:rPr>
          <w:rFonts w:ascii="Arial" w:hAnsi="Arial" w:cs="Arial"/>
          <w:sz w:val="22"/>
          <w:szCs w:val="22"/>
        </w:rPr>
        <w:t>理财产品资金；</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按照本理财产品</w:t>
      </w:r>
      <w:r>
        <w:rPr>
          <w:rFonts w:hint="eastAsia" w:ascii="Arial" w:hAnsi="Arial" w:cs="Arial"/>
          <w:sz w:val="22"/>
          <w:szCs w:val="22"/>
        </w:rPr>
        <w:t>销售</w:t>
      </w:r>
      <w:r>
        <w:rPr>
          <w:rFonts w:ascii="Arial" w:hAnsi="Arial" w:cs="Arial"/>
          <w:sz w:val="22"/>
          <w:szCs w:val="22"/>
        </w:rPr>
        <w:t>文件的约定，及时、足额获得管理费和本理财产品说明书约定的其他费用（如有）；管理人以其固有财产先行垫付因处理本理财产品相关事务所支出的</w:t>
      </w:r>
      <w:r>
        <w:rPr>
          <w:rFonts w:hint="eastAsia" w:ascii="Arial" w:hAnsi="Arial" w:cs="Arial"/>
          <w:sz w:val="22"/>
          <w:szCs w:val="22"/>
        </w:rPr>
        <w:t>本</w:t>
      </w:r>
      <w:r>
        <w:rPr>
          <w:rFonts w:ascii="Arial" w:hAnsi="Arial" w:cs="Arial"/>
          <w:sz w:val="22"/>
          <w:szCs w:val="22"/>
        </w:rPr>
        <w:t>理财产品费用及税费的，对</w:t>
      </w:r>
      <w:r>
        <w:rPr>
          <w:rFonts w:hint="eastAsia" w:ascii="Arial" w:hAnsi="Arial" w:cs="Arial"/>
          <w:sz w:val="22"/>
          <w:szCs w:val="22"/>
        </w:rPr>
        <w:t>本</w:t>
      </w:r>
      <w:r>
        <w:rPr>
          <w:rFonts w:ascii="Arial" w:hAnsi="Arial" w:cs="Arial"/>
          <w:sz w:val="22"/>
          <w:szCs w:val="22"/>
        </w:rPr>
        <w:t>理财产品资金享有优先受偿的权利；</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管理人有权根据本理财产品</w:t>
      </w:r>
      <w:r>
        <w:rPr>
          <w:rFonts w:hint="eastAsia" w:ascii="Arial" w:hAnsi="Arial" w:cs="Arial"/>
          <w:sz w:val="22"/>
          <w:szCs w:val="22"/>
        </w:rPr>
        <w:t>销售</w:t>
      </w:r>
      <w:r>
        <w:rPr>
          <w:rFonts w:ascii="Arial" w:hAnsi="Arial" w:cs="Arial"/>
          <w:sz w:val="22"/>
          <w:szCs w:val="22"/>
        </w:rPr>
        <w:t>文件的约定提前终止或延长本理财产品的期限；</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管理人有权调整本理财产品的认</w:t>
      </w:r>
      <w:r>
        <w:rPr>
          <w:rFonts w:hint="eastAsia" w:ascii="Arial" w:hAnsi="Arial" w:cs="Arial"/>
          <w:sz w:val="22"/>
          <w:szCs w:val="22"/>
        </w:rPr>
        <w:t>/申购</w:t>
      </w:r>
      <w:r>
        <w:rPr>
          <w:rFonts w:ascii="Arial" w:hAnsi="Arial" w:cs="Arial"/>
          <w:sz w:val="22"/>
          <w:szCs w:val="22"/>
        </w:rPr>
        <w:t>起点、单笔认</w:t>
      </w:r>
      <w:r>
        <w:rPr>
          <w:rFonts w:hint="eastAsia" w:ascii="Arial" w:hAnsi="Arial" w:cs="Arial"/>
          <w:sz w:val="22"/>
          <w:szCs w:val="22"/>
        </w:rPr>
        <w:t>/申购</w:t>
      </w:r>
      <w:r>
        <w:rPr>
          <w:rFonts w:ascii="Arial" w:hAnsi="Arial" w:cs="Arial"/>
          <w:sz w:val="22"/>
          <w:szCs w:val="22"/>
        </w:rPr>
        <w:t>上限等要素；</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管理人有权按照法律规定和监管机构的要求将投资者的信息向有权部门或相关机构披露；</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以产品管理人的名义，依照法律法规相关规定、</w:t>
      </w:r>
      <w:r>
        <w:rPr>
          <w:rFonts w:hint="eastAsia" w:ascii="Arial" w:hAnsi="Arial" w:cs="Arial"/>
          <w:sz w:val="22"/>
          <w:szCs w:val="22"/>
        </w:rPr>
        <w:t>本</w:t>
      </w:r>
      <w:r>
        <w:rPr>
          <w:rFonts w:ascii="Arial" w:hAnsi="Arial" w:cs="Arial"/>
          <w:sz w:val="22"/>
          <w:szCs w:val="22"/>
        </w:rPr>
        <w:t>理财产品</w:t>
      </w:r>
      <w:r>
        <w:rPr>
          <w:rFonts w:hint="eastAsia" w:ascii="Arial" w:hAnsi="Arial" w:cs="Arial"/>
          <w:sz w:val="22"/>
          <w:szCs w:val="22"/>
        </w:rPr>
        <w:t>销售文件</w:t>
      </w:r>
      <w:r>
        <w:rPr>
          <w:rFonts w:ascii="Arial" w:hAnsi="Arial" w:cs="Arial"/>
          <w:sz w:val="22"/>
          <w:szCs w:val="22"/>
        </w:rPr>
        <w:t>的约定以及为</w:t>
      </w:r>
      <w:r>
        <w:rPr>
          <w:rFonts w:hint="eastAsia" w:ascii="Arial" w:hAnsi="Arial" w:cs="Arial"/>
          <w:sz w:val="22"/>
          <w:szCs w:val="22"/>
        </w:rPr>
        <w:t>本</w:t>
      </w:r>
      <w:r>
        <w:rPr>
          <w:rFonts w:ascii="Arial" w:hAnsi="Arial" w:cs="Arial"/>
          <w:sz w:val="22"/>
          <w:szCs w:val="22"/>
        </w:rPr>
        <w:t>理财产品的利益，对被投资的资管计划/产品、各类基金、公司/企业等行使出资人/投资者权利（包括但不限于表决投票的权利）以及行使因</w:t>
      </w:r>
      <w:r>
        <w:rPr>
          <w:rFonts w:hint="eastAsia" w:ascii="Arial" w:hAnsi="Arial" w:cs="Arial"/>
          <w:sz w:val="22"/>
          <w:szCs w:val="22"/>
        </w:rPr>
        <w:t>本</w:t>
      </w:r>
      <w:r>
        <w:rPr>
          <w:rFonts w:ascii="Arial" w:hAnsi="Arial" w:cs="Arial"/>
          <w:sz w:val="22"/>
          <w:szCs w:val="22"/>
        </w:rPr>
        <w:t>理财产品财产投资于证券类基础资产（含债券、股票等）或其他基础资产（包括但不限于债权类资产）所产生的相关权利</w:t>
      </w:r>
      <w:r>
        <w:rPr>
          <w:rFonts w:hint="eastAsia" w:ascii="Arial" w:hAnsi="Arial" w:cs="Arial"/>
          <w:sz w:val="22"/>
          <w:szCs w:val="22"/>
        </w:rPr>
        <w:t>；</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以产品管理人的名义，依照法律法规相关规定、</w:t>
      </w:r>
      <w:r>
        <w:rPr>
          <w:rFonts w:hint="eastAsia" w:ascii="Arial" w:hAnsi="Arial" w:cs="Arial"/>
          <w:sz w:val="22"/>
          <w:szCs w:val="22"/>
        </w:rPr>
        <w:t>本</w:t>
      </w:r>
      <w:r>
        <w:rPr>
          <w:rFonts w:ascii="Arial" w:hAnsi="Arial" w:cs="Arial"/>
          <w:sz w:val="22"/>
          <w:szCs w:val="22"/>
        </w:rPr>
        <w:t>理财产品</w:t>
      </w:r>
      <w:r>
        <w:rPr>
          <w:rFonts w:hint="eastAsia" w:ascii="Arial" w:hAnsi="Arial" w:cs="Arial"/>
          <w:sz w:val="22"/>
          <w:szCs w:val="22"/>
        </w:rPr>
        <w:t>销售文件</w:t>
      </w:r>
      <w:r>
        <w:rPr>
          <w:rFonts w:ascii="Arial" w:hAnsi="Arial" w:cs="Arial"/>
          <w:sz w:val="22"/>
          <w:szCs w:val="22"/>
        </w:rPr>
        <w:t>的约定以及代表</w:t>
      </w:r>
      <w:r>
        <w:rPr>
          <w:rFonts w:hint="eastAsia" w:ascii="Arial" w:hAnsi="Arial" w:cs="Arial"/>
          <w:sz w:val="22"/>
          <w:szCs w:val="22"/>
        </w:rPr>
        <w:t>本</w:t>
      </w:r>
      <w:r>
        <w:rPr>
          <w:rFonts w:ascii="Arial" w:hAnsi="Arial" w:cs="Arial"/>
          <w:sz w:val="22"/>
          <w:szCs w:val="22"/>
        </w:rPr>
        <w:t>理财产品份额持有人的利益行使代为追索的权利（包括但不限于提起诉讼/仲裁、申请保全/执行的权利）或者实施其他风险处置，行使、放弃、变更相关权利义务等法律行为</w:t>
      </w:r>
      <w:r>
        <w:rPr>
          <w:rFonts w:hint="eastAsia" w:ascii="Arial" w:hAnsi="Arial" w:cs="Arial"/>
          <w:sz w:val="22"/>
          <w:szCs w:val="22"/>
        </w:rPr>
        <w:t>；</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在法律法规、监管政策允许的前提下调整估值日</w:t>
      </w:r>
      <w:r>
        <w:rPr>
          <w:rFonts w:hint="eastAsia" w:ascii="Arial" w:hAnsi="Arial" w:cs="Arial"/>
          <w:sz w:val="22"/>
          <w:szCs w:val="22"/>
        </w:rPr>
        <w:t>；</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法律法规、监管规则规定及</w:t>
      </w:r>
      <w:r>
        <w:rPr>
          <w:rFonts w:hint="eastAsia" w:ascii="Arial" w:hAnsi="Arial" w:cs="Arial"/>
          <w:sz w:val="22"/>
          <w:szCs w:val="22"/>
        </w:rPr>
        <w:t>本理财</w:t>
      </w:r>
      <w:r>
        <w:rPr>
          <w:rFonts w:ascii="Arial" w:hAnsi="Arial" w:cs="Arial"/>
          <w:sz w:val="22"/>
          <w:szCs w:val="22"/>
        </w:rPr>
        <w:t>产品</w:t>
      </w:r>
      <w:r>
        <w:rPr>
          <w:rFonts w:hint="eastAsia" w:ascii="Arial" w:hAnsi="Arial" w:cs="Arial"/>
          <w:sz w:val="22"/>
          <w:szCs w:val="22"/>
        </w:rPr>
        <w:t>销售文件</w:t>
      </w:r>
      <w:r>
        <w:rPr>
          <w:rFonts w:ascii="Arial" w:hAnsi="Arial" w:cs="Arial"/>
          <w:sz w:val="22"/>
          <w:szCs w:val="22"/>
        </w:rPr>
        <w:t>约定赋予管理人的其他权利。</w:t>
      </w:r>
    </w:p>
    <w:p>
      <w:pPr>
        <w:widowControl/>
        <w:numPr>
          <w:ilvl w:val="0"/>
          <w:numId w:val="7"/>
        </w:numPr>
        <w:spacing w:line="360" w:lineRule="auto"/>
        <w:ind w:firstLine="442" w:firstLineChars="200"/>
        <w:rPr>
          <w:rFonts w:ascii="Arial" w:hAnsi="Arial" w:cs="Arial"/>
          <w:sz w:val="22"/>
          <w:szCs w:val="22"/>
        </w:rPr>
      </w:pPr>
      <w:r>
        <w:rPr>
          <w:rFonts w:ascii="Arial" w:hAnsi="Arial" w:cs="Arial"/>
          <w:b/>
          <w:bCs/>
          <w:color w:val="000000"/>
          <w:sz w:val="22"/>
          <w:szCs w:val="22"/>
        </w:rPr>
        <w:t>产品</w:t>
      </w:r>
      <w:r>
        <w:rPr>
          <w:rFonts w:ascii="Arial" w:hAnsi="Arial" w:cs="Arial"/>
          <w:b/>
          <w:sz w:val="22"/>
          <w:szCs w:val="22"/>
        </w:rPr>
        <w:t>托管人：平安银行股份有限公司</w:t>
      </w:r>
      <w:r>
        <w:rPr>
          <w:rFonts w:ascii="Arial" w:hAnsi="Arial" w:cs="Arial"/>
          <w:sz w:val="22"/>
          <w:szCs w:val="22"/>
        </w:rPr>
        <w:t>。</w:t>
      </w:r>
      <w:r>
        <w:rPr>
          <w:rFonts w:hint="eastAsia" w:ascii="Arial" w:hAnsi="Arial" w:cs="Arial"/>
          <w:sz w:val="22"/>
          <w:szCs w:val="22"/>
        </w:rPr>
        <w:t>产品托管人基本信息及主要职责如下：</w:t>
      </w:r>
    </w:p>
    <w:tbl>
      <w:tblPr>
        <w:tblStyle w:val="9"/>
        <w:tblW w:w="0" w:type="auto"/>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widowControl/>
              <w:spacing w:line="360" w:lineRule="auto"/>
              <w:rPr>
                <w:rFonts w:ascii="Arial" w:hAnsi="Arial" w:cs="Arial"/>
                <w:b/>
                <w:kern w:val="0"/>
                <w:sz w:val="22"/>
                <w:szCs w:val="22"/>
              </w:rPr>
            </w:pPr>
            <w:r>
              <w:rPr>
                <w:rFonts w:hint="eastAsia" w:ascii="Arial" w:hAnsi="Arial" w:cs="Arial"/>
                <w:b/>
                <w:kern w:val="0"/>
                <w:sz w:val="22"/>
                <w:szCs w:val="22"/>
              </w:rPr>
              <w:t>产品托管人</w:t>
            </w:r>
          </w:p>
        </w:tc>
        <w:tc>
          <w:tcPr>
            <w:tcW w:w="6656" w:type="dxa"/>
          </w:tcPr>
          <w:p>
            <w:pPr>
              <w:widowControl/>
              <w:spacing w:line="360" w:lineRule="auto"/>
              <w:rPr>
                <w:rFonts w:ascii="Arial" w:hAnsi="Arial" w:cs="Arial"/>
                <w:kern w:val="0"/>
                <w:sz w:val="22"/>
                <w:szCs w:val="22"/>
              </w:rPr>
            </w:pPr>
            <w:r>
              <w:rPr>
                <w:rFonts w:hint="eastAsia" w:ascii="Arial" w:hAnsi="Arial" w:cs="Arial"/>
                <w:kern w:val="0"/>
                <w:sz w:val="22"/>
                <w:szCs w:val="22"/>
              </w:rPr>
              <w:t>平安银行股份有限公司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widowControl/>
              <w:spacing w:line="360" w:lineRule="auto"/>
              <w:rPr>
                <w:rFonts w:ascii="Arial" w:hAnsi="Arial" w:cs="Arial"/>
                <w:b/>
                <w:kern w:val="0"/>
                <w:sz w:val="22"/>
                <w:szCs w:val="22"/>
              </w:rPr>
            </w:pPr>
            <w:r>
              <w:rPr>
                <w:rFonts w:hint="eastAsia" w:ascii="Arial" w:hAnsi="Arial" w:cs="Arial"/>
                <w:b/>
                <w:kern w:val="0"/>
                <w:sz w:val="22"/>
                <w:szCs w:val="22"/>
              </w:rPr>
              <w:t>成立时间</w:t>
            </w:r>
          </w:p>
        </w:tc>
        <w:tc>
          <w:tcPr>
            <w:tcW w:w="6656" w:type="dxa"/>
          </w:tcPr>
          <w:p>
            <w:pPr>
              <w:widowControl/>
              <w:spacing w:line="360" w:lineRule="auto"/>
              <w:rPr>
                <w:rFonts w:ascii="Arial" w:hAnsi="Arial" w:cs="Arial"/>
                <w:kern w:val="0"/>
                <w:sz w:val="22"/>
                <w:szCs w:val="22"/>
              </w:rPr>
            </w:pPr>
            <w:r>
              <w:rPr>
                <w:rFonts w:ascii="Arial" w:hAnsi="Arial" w:cs="Arial"/>
                <w:kern w:val="0"/>
                <w:sz w:val="22"/>
                <w:szCs w:val="22"/>
              </w:rPr>
              <w:t>1987</w:t>
            </w:r>
            <w:r>
              <w:rPr>
                <w:rFonts w:hint="eastAsia" w:ascii="Arial" w:hAnsi="Arial" w:cs="Arial"/>
                <w:kern w:val="0"/>
                <w:sz w:val="22"/>
                <w:szCs w:val="22"/>
              </w:rPr>
              <w:t>年</w:t>
            </w:r>
            <w:r>
              <w:rPr>
                <w:rFonts w:ascii="Arial" w:hAnsi="Arial" w:cs="Arial"/>
                <w:kern w:val="0"/>
                <w:sz w:val="22"/>
                <w:szCs w:val="22"/>
              </w:rPr>
              <w:t>12</w:t>
            </w:r>
            <w:r>
              <w:rPr>
                <w:rFonts w:hint="eastAsia" w:ascii="Arial" w:hAnsi="Arial" w:cs="Arial"/>
                <w:kern w:val="0"/>
                <w:sz w:val="22"/>
                <w:szCs w:val="22"/>
              </w:rPr>
              <w:t>月</w:t>
            </w:r>
            <w:r>
              <w:rPr>
                <w:rFonts w:ascii="Arial" w:hAnsi="Arial" w:cs="Arial"/>
                <w:kern w:val="0"/>
                <w:sz w:val="22"/>
                <w:szCs w:val="22"/>
              </w:rPr>
              <w:t>22</w:t>
            </w:r>
            <w:r>
              <w:rPr>
                <w:rFonts w:hint="eastAsia" w:ascii="Arial" w:hAnsi="Arial" w:cs="Arial"/>
                <w:kern w:val="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widowControl/>
              <w:spacing w:line="360" w:lineRule="auto"/>
              <w:rPr>
                <w:rFonts w:ascii="Arial" w:hAnsi="Arial" w:cs="Arial"/>
                <w:kern w:val="0"/>
                <w:sz w:val="22"/>
                <w:szCs w:val="22"/>
              </w:rPr>
            </w:pPr>
            <w:r>
              <w:rPr>
                <w:rFonts w:hint="eastAsia" w:ascii="Arial" w:hAnsi="Arial" w:cs="Arial"/>
                <w:b/>
                <w:kern w:val="0"/>
                <w:sz w:val="22"/>
                <w:szCs w:val="22"/>
              </w:rPr>
              <w:t>住所</w:t>
            </w:r>
          </w:p>
        </w:tc>
        <w:tc>
          <w:tcPr>
            <w:tcW w:w="6656" w:type="dxa"/>
          </w:tcPr>
          <w:p>
            <w:pPr>
              <w:widowControl/>
              <w:spacing w:line="360" w:lineRule="auto"/>
              <w:rPr>
                <w:rFonts w:ascii="Arial" w:hAnsi="Arial" w:cs="Arial"/>
                <w:kern w:val="0"/>
                <w:sz w:val="22"/>
                <w:szCs w:val="22"/>
              </w:rPr>
            </w:pPr>
            <w:r>
              <w:rPr>
                <w:rFonts w:hint="eastAsia" w:ascii="Arial" w:hAnsi="Arial" w:cs="Arial"/>
                <w:kern w:val="0"/>
                <w:sz w:val="22"/>
                <w:szCs w:val="22"/>
              </w:rPr>
              <w:t>深圳市罗湖区深南东路5047号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widowControl/>
              <w:spacing w:line="360" w:lineRule="auto"/>
              <w:rPr>
                <w:rFonts w:ascii="Arial" w:hAnsi="Arial" w:cs="Arial"/>
                <w:b/>
                <w:kern w:val="0"/>
                <w:sz w:val="22"/>
                <w:szCs w:val="22"/>
              </w:rPr>
            </w:pPr>
            <w:r>
              <w:rPr>
                <w:rFonts w:hint="eastAsia" w:ascii="Arial" w:hAnsi="Arial" w:cs="Arial"/>
                <w:b/>
                <w:kern w:val="0"/>
                <w:sz w:val="22"/>
                <w:szCs w:val="22"/>
              </w:rPr>
              <w:t>主要职责</w:t>
            </w:r>
          </w:p>
        </w:tc>
        <w:tc>
          <w:tcPr>
            <w:tcW w:w="6656" w:type="dxa"/>
          </w:tcPr>
          <w:p>
            <w:pPr>
              <w:widowControl/>
              <w:spacing w:line="360" w:lineRule="auto"/>
              <w:rPr>
                <w:rFonts w:ascii="Arial" w:hAnsi="Arial" w:cs="Arial"/>
                <w:kern w:val="0"/>
                <w:sz w:val="22"/>
                <w:szCs w:val="22"/>
              </w:rPr>
            </w:pPr>
            <w:r>
              <w:rPr>
                <w:rFonts w:hint="eastAsia" w:ascii="Arial" w:hAnsi="Arial" w:cs="Arial"/>
                <w:kern w:val="0"/>
                <w:sz w:val="22"/>
                <w:szCs w:val="22"/>
              </w:rPr>
              <w:t>提供包括账户开立、资金保管、资金清算、估值核算等理财产品托管服务。</w:t>
            </w:r>
          </w:p>
        </w:tc>
      </w:tr>
    </w:tbl>
    <w:p>
      <w:pPr>
        <w:spacing w:line="360" w:lineRule="auto"/>
        <w:ind w:firstLine="440" w:firstLineChars="200"/>
        <w:rPr>
          <w:rFonts w:ascii="Arial" w:hAnsi="Arial" w:cs="Arial"/>
          <w:sz w:val="22"/>
          <w:szCs w:val="22"/>
        </w:rPr>
      </w:pPr>
      <w:r>
        <w:rPr>
          <w:rFonts w:ascii="Arial" w:hAnsi="Arial" w:cs="Arial"/>
          <w:sz w:val="22"/>
          <w:szCs w:val="22"/>
        </w:rPr>
        <w:t>管理人为</w:t>
      </w:r>
      <w:r>
        <w:rPr>
          <w:rFonts w:hint="eastAsia" w:ascii="Arial" w:hAnsi="Arial" w:cs="Arial"/>
          <w:sz w:val="22"/>
          <w:szCs w:val="22"/>
        </w:rPr>
        <w:t>本</w:t>
      </w:r>
      <w:r>
        <w:rPr>
          <w:rFonts w:ascii="Arial" w:hAnsi="Arial" w:cs="Arial"/>
          <w:sz w:val="22"/>
          <w:szCs w:val="22"/>
        </w:rPr>
        <w:t>理财产品资金管理之目的，以本理财产品的名义在托管人处单独开立资金账户，</w:t>
      </w:r>
      <w:r>
        <w:rPr>
          <w:rFonts w:hint="eastAsia" w:ascii="Arial" w:hAnsi="Arial" w:cs="Arial"/>
          <w:sz w:val="22"/>
          <w:szCs w:val="22"/>
        </w:rPr>
        <w:t>本</w:t>
      </w:r>
      <w:r>
        <w:rPr>
          <w:rFonts w:ascii="Arial" w:hAnsi="Arial" w:cs="Arial"/>
          <w:sz w:val="22"/>
          <w:szCs w:val="22"/>
        </w:rPr>
        <w:t>理财产品资金的一切收支活动，包括但不限于接收募集资金、划付对外投资资金、缴纳</w:t>
      </w:r>
      <w:r>
        <w:rPr>
          <w:rFonts w:hint="eastAsia" w:ascii="Arial" w:hAnsi="Arial" w:cs="Arial"/>
          <w:sz w:val="22"/>
          <w:szCs w:val="22"/>
        </w:rPr>
        <w:t>本</w:t>
      </w:r>
      <w:r>
        <w:rPr>
          <w:rFonts w:ascii="Arial" w:hAnsi="Arial" w:cs="Arial"/>
          <w:sz w:val="22"/>
          <w:szCs w:val="22"/>
        </w:rPr>
        <w:t>理财产品税费、接收</w:t>
      </w:r>
      <w:r>
        <w:rPr>
          <w:rFonts w:hint="eastAsia" w:ascii="Arial" w:hAnsi="Arial" w:cs="Arial"/>
          <w:sz w:val="22"/>
          <w:szCs w:val="22"/>
        </w:rPr>
        <w:t>本</w:t>
      </w:r>
      <w:r>
        <w:rPr>
          <w:rFonts w:ascii="Arial" w:hAnsi="Arial" w:cs="Arial"/>
          <w:sz w:val="22"/>
          <w:szCs w:val="22"/>
        </w:rPr>
        <w:t>理财产品回收资金、支付</w:t>
      </w:r>
      <w:r>
        <w:rPr>
          <w:rFonts w:hint="eastAsia" w:ascii="Arial" w:hAnsi="Arial" w:cs="Arial"/>
          <w:sz w:val="22"/>
          <w:szCs w:val="22"/>
        </w:rPr>
        <w:t>本</w:t>
      </w:r>
      <w:r>
        <w:rPr>
          <w:rFonts w:ascii="Arial" w:hAnsi="Arial" w:cs="Arial"/>
          <w:sz w:val="22"/>
          <w:szCs w:val="22"/>
        </w:rPr>
        <w:t>理财产品费用以及向份额持有人划付</w:t>
      </w:r>
      <w:r>
        <w:rPr>
          <w:rFonts w:hint="eastAsia" w:ascii="Arial" w:hAnsi="Arial" w:cs="Arial"/>
          <w:sz w:val="22"/>
          <w:szCs w:val="22"/>
        </w:rPr>
        <w:t>本</w:t>
      </w:r>
      <w:r>
        <w:rPr>
          <w:rFonts w:ascii="Arial" w:hAnsi="Arial" w:cs="Arial"/>
          <w:sz w:val="22"/>
          <w:szCs w:val="22"/>
        </w:rPr>
        <w:t>理财产品利益分配款项，均必须通过该账户进行。</w:t>
      </w:r>
    </w:p>
    <w:p>
      <w:pPr>
        <w:widowControl/>
        <w:numPr>
          <w:ilvl w:val="0"/>
          <w:numId w:val="7"/>
        </w:numPr>
        <w:spacing w:line="360" w:lineRule="auto"/>
        <w:ind w:firstLine="424" w:firstLineChars="192"/>
        <w:rPr>
          <w:rFonts w:ascii="Arial" w:hAnsi="Arial" w:cs="Arial"/>
          <w:b/>
          <w:sz w:val="22"/>
          <w:szCs w:val="22"/>
        </w:rPr>
      </w:pPr>
      <w:r>
        <w:rPr>
          <w:rFonts w:ascii="Arial" w:hAnsi="Arial" w:cs="Arial"/>
          <w:b/>
          <w:sz w:val="22"/>
          <w:szCs w:val="22"/>
        </w:rPr>
        <w:t>销售服务机构：</w:t>
      </w:r>
      <w:r>
        <w:rPr>
          <w:rFonts w:hint="eastAsia" w:ascii="Arial" w:hAnsi="Arial" w:cs="Arial"/>
          <w:b/>
          <w:sz w:val="22"/>
          <w:szCs w:val="22"/>
        </w:rPr>
        <w:t>指产品管理人以及符合《理财公司理财产品销售管理暂行办法》和</w:t>
      </w:r>
      <w:r>
        <w:rPr>
          <w:rFonts w:hint="eastAsia" w:ascii="Arial" w:hAnsi="Arial" w:cs="Arial"/>
          <w:b/>
          <w:color w:val="000000"/>
          <w:sz w:val="22"/>
          <w:szCs w:val="22"/>
        </w:rPr>
        <w:t>国家金融监督管理总局</w:t>
      </w:r>
      <w:r>
        <w:rPr>
          <w:rFonts w:hint="eastAsia" w:ascii="Arial" w:hAnsi="Arial" w:cs="Arial"/>
          <w:b/>
          <w:sz w:val="22"/>
          <w:szCs w:val="22"/>
        </w:rPr>
        <w:t>规定，办理理财产品销售业务的机构。</w:t>
      </w:r>
      <w:r>
        <w:rPr>
          <w:rFonts w:hint="eastAsia" w:ascii="Arial" w:hAnsi="Arial" w:cs="Arial"/>
          <w:sz w:val="22"/>
          <w:szCs w:val="22"/>
        </w:rPr>
        <w:t>销售服务机构的主要职责为提供包括本理财产品宣传推广；投资者风险承受能力评估和投资者适当性管理，客户身份识别、尽职调查等反洗钱、反恐怖融资、反扩散融资及非居民金融账户涉税信息尽职调查等；份额认购/申购/赎回、协助管理人与投资者签署本理财产品销售文件、协助投资者与管理人沟通和客户维护等销售服务。</w:t>
      </w:r>
    </w:p>
    <w:p>
      <w:pPr>
        <w:pStyle w:val="20"/>
        <w:widowControl/>
        <w:spacing w:line="360" w:lineRule="auto"/>
        <w:ind w:firstLine="424" w:firstLineChars="193"/>
        <w:rPr>
          <w:rFonts w:ascii="Arial" w:hAnsi="Arial" w:cs="Arial"/>
          <w:b/>
          <w:sz w:val="22"/>
          <w:szCs w:val="22"/>
        </w:rPr>
      </w:pPr>
      <w:r>
        <w:rPr>
          <w:rFonts w:hint="eastAsia" w:ascii="Arial" w:hAnsi="Arial" w:cs="Arial"/>
          <w:sz w:val="22"/>
          <w:szCs w:val="22"/>
        </w:rPr>
        <w:t>本理财产品销售服务机构的基本信息详见本理财产品管理人公告。</w:t>
      </w:r>
    </w:p>
    <w:p>
      <w:pPr>
        <w:spacing w:line="360" w:lineRule="auto"/>
        <w:ind w:firstLine="440" w:firstLineChars="200"/>
        <w:rPr>
          <w:rFonts w:ascii="Arial" w:hAnsi="Arial" w:cs="Arial"/>
          <w:sz w:val="22"/>
          <w:szCs w:val="22"/>
        </w:rPr>
      </w:pPr>
      <w:r>
        <w:rPr>
          <w:rFonts w:ascii="Arial" w:hAnsi="Arial" w:cs="Arial"/>
          <w:sz w:val="22"/>
          <w:szCs w:val="22"/>
        </w:rPr>
        <w:t>如有新增销售服务机构，</w:t>
      </w:r>
      <w:r>
        <w:rPr>
          <w:rFonts w:hint="eastAsia" w:ascii="Arial" w:hAnsi="Arial" w:cs="Arial"/>
          <w:sz w:val="22"/>
          <w:szCs w:val="22"/>
        </w:rPr>
        <w:t>新增销售服务机构的基本信息</w:t>
      </w:r>
      <w:r>
        <w:rPr>
          <w:rFonts w:ascii="Arial" w:hAnsi="Arial" w:cs="Arial"/>
          <w:sz w:val="22"/>
          <w:szCs w:val="22"/>
        </w:rPr>
        <w:t>以管理人公告为准。</w:t>
      </w:r>
    </w:p>
    <w:p>
      <w:pPr>
        <w:pStyle w:val="2"/>
        <w:numPr>
          <w:ilvl w:val="0"/>
          <w:numId w:val="3"/>
        </w:numPr>
        <w:tabs>
          <w:tab w:val="left" w:pos="426"/>
        </w:tabs>
        <w:spacing w:line="240" w:lineRule="auto"/>
        <w:rPr>
          <w:rFonts w:ascii="Arial" w:hAnsi="Arial" w:cs="Arial"/>
          <w:color w:val="000000"/>
          <w:sz w:val="22"/>
          <w:szCs w:val="22"/>
        </w:rPr>
      </w:pPr>
      <w:r>
        <w:rPr>
          <w:rFonts w:hint="eastAsia" w:ascii="Arial" w:hAnsi="Arial" w:cs="Arial"/>
          <w:color w:val="000000"/>
          <w:sz w:val="22"/>
          <w:szCs w:val="22"/>
        </w:rPr>
        <w:t>产品</w:t>
      </w:r>
      <w:r>
        <w:rPr>
          <w:rFonts w:ascii="Arial" w:hAnsi="Arial" w:cs="Arial"/>
          <w:color w:val="000000"/>
          <w:sz w:val="22"/>
          <w:szCs w:val="22"/>
        </w:rPr>
        <w:t>交易规则</w:t>
      </w:r>
    </w:p>
    <w:p>
      <w:pPr>
        <w:numPr>
          <w:ilvl w:val="1"/>
          <w:numId w:val="9"/>
        </w:numPr>
        <w:autoSpaceDE w:val="0"/>
        <w:autoSpaceDN w:val="0"/>
        <w:adjustRightInd w:val="0"/>
        <w:spacing w:line="360" w:lineRule="auto"/>
        <w:ind w:left="0" w:firstLine="442" w:firstLineChars="200"/>
        <w:rPr>
          <w:rFonts w:ascii="Arial" w:hAnsi="Arial" w:cs="Arial"/>
          <w:b/>
          <w:snapToGrid w:val="0"/>
          <w:color w:val="000000"/>
          <w:sz w:val="22"/>
          <w:szCs w:val="22"/>
        </w:rPr>
      </w:pPr>
      <w:r>
        <w:rPr>
          <w:rFonts w:ascii="Arial" w:hAnsi="Arial" w:cs="Arial"/>
          <w:b/>
          <w:snapToGrid w:val="0"/>
          <w:color w:val="000000"/>
          <w:sz w:val="22"/>
          <w:szCs w:val="22"/>
        </w:rPr>
        <w:t>理财产品认购</w:t>
      </w:r>
    </w:p>
    <w:p>
      <w:pPr>
        <w:numPr>
          <w:ilvl w:val="0"/>
          <w:numId w:val="10"/>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认购份额：本理财产品份额以“份”为单位，认购期每份理财产品份额面值为人民币1元。</w:t>
      </w:r>
    </w:p>
    <w:p>
      <w:pPr>
        <w:numPr>
          <w:ilvl w:val="0"/>
          <w:numId w:val="10"/>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认购期：</w:t>
      </w:r>
      <w:r>
        <w:rPr>
          <w:rFonts w:hint="eastAsia" w:ascii="Arial" w:hAnsi="Arial" w:cs="Arial"/>
          <w:color w:val="000000"/>
          <w:sz w:val="22"/>
          <w:szCs w:val="22"/>
        </w:rPr>
        <w:t>管理人保留延长或提前终止产品认购期的权利。如有变动，产品实际认购期以管理人公告为准。</w:t>
      </w:r>
      <w:r>
        <w:rPr>
          <w:rFonts w:hint="eastAsia" w:ascii="Arial" w:hAnsi="Arial" w:cs="Arial"/>
          <w:spacing w:val="4"/>
          <w:sz w:val="22"/>
          <w:szCs w:val="22"/>
        </w:rPr>
        <w:t>投资者可通过销售服务机构手机银行APP或者管理人认可的其他方式参与认购</w:t>
      </w:r>
      <w:r>
        <w:rPr>
          <w:rFonts w:ascii="Arial" w:hAnsi="Arial" w:cs="Arial"/>
          <w:snapToGrid w:val="0"/>
          <w:color w:val="000000"/>
          <w:sz w:val="22"/>
          <w:szCs w:val="22"/>
        </w:rPr>
        <w:t>。</w:t>
      </w:r>
    </w:p>
    <w:p>
      <w:pPr>
        <w:numPr>
          <w:ilvl w:val="0"/>
          <w:numId w:val="10"/>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认购撤单：认购期内允许撤单。</w:t>
      </w:r>
    </w:p>
    <w:p>
      <w:pPr>
        <w:numPr>
          <w:ilvl w:val="0"/>
          <w:numId w:val="10"/>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认购</w:t>
      </w:r>
      <w:r>
        <w:rPr>
          <w:rFonts w:hint="eastAsia" w:ascii="Arial" w:hAnsi="Arial" w:cs="Arial"/>
          <w:snapToGrid w:val="0"/>
          <w:color w:val="000000"/>
          <w:sz w:val="22"/>
          <w:szCs w:val="22"/>
        </w:rPr>
        <w:t>起点</w:t>
      </w:r>
      <w:r>
        <w:rPr>
          <w:rFonts w:ascii="Arial" w:hAnsi="Arial" w:cs="Arial"/>
          <w:snapToGrid w:val="0"/>
          <w:color w:val="000000"/>
          <w:sz w:val="22"/>
          <w:szCs w:val="22"/>
        </w:rPr>
        <w:t>：认购期内，</w:t>
      </w:r>
      <w:r>
        <w:rPr>
          <w:rFonts w:hint="eastAsia" w:ascii="Arial" w:hAnsi="Arial" w:cs="Arial"/>
          <w:snapToGrid w:val="0"/>
          <w:color w:val="000000"/>
          <w:sz w:val="22"/>
          <w:szCs w:val="22"/>
        </w:rPr>
        <w:t>各类份额的认购起点以管理人公布的份额公告为准。管理人有权以公告形式调整上述规则。</w:t>
      </w:r>
    </w:p>
    <w:p>
      <w:pPr>
        <w:numPr>
          <w:ilvl w:val="0"/>
          <w:numId w:val="10"/>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单笔认购上限：</w:t>
      </w:r>
      <w:r>
        <w:rPr>
          <w:rFonts w:hint="eastAsia" w:ascii="Arial" w:hAnsi="Arial" w:cs="Arial"/>
          <w:snapToGrid w:val="0"/>
          <w:color w:val="000000"/>
          <w:sz w:val="22"/>
          <w:szCs w:val="22"/>
        </w:rPr>
        <w:t>本理财产品各类份额的</w:t>
      </w:r>
      <w:r>
        <w:rPr>
          <w:rFonts w:ascii="Arial" w:hAnsi="Arial" w:cs="Arial"/>
          <w:snapToGrid w:val="0"/>
          <w:color w:val="000000"/>
          <w:sz w:val="22"/>
          <w:szCs w:val="22"/>
        </w:rPr>
        <w:t>投资者单笔认购上限</w:t>
      </w:r>
      <w:r>
        <w:rPr>
          <w:rFonts w:hint="eastAsia" w:ascii="Arial" w:hAnsi="Arial" w:cs="Arial"/>
          <w:snapToGrid w:val="0"/>
          <w:color w:val="000000"/>
          <w:sz w:val="22"/>
          <w:szCs w:val="22"/>
        </w:rPr>
        <w:t>以管理人公布的份额公告为准。如发生超额申请，管理人有权根据实际情况决定拒绝或受理</w:t>
      </w:r>
      <w:r>
        <w:rPr>
          <w:rFonts w:ascii="Arial" w:hAnsi="Arial" w:cs="Arial"/>
          <w:snapToGrid w:val="0"/>
          <w:color w:val="000000"/>
          <w:sz w:val="22"/>
          <w:szCs w:val="22"/>
        </w:rPr>
        <w:t>。管理人有权以公告形式调整单笔认购上限。在认购期内，投资者可多次认购。</w:t>
      </w:r>
    </w:p>
    <w:p>
      <w:pPr>
        <w:numPr>
          <w:ilvl w:val="0"/>
          <w:numId w:val="10"/>
        </w:numPr>
        <w:tabs>
          <w:tab w:val="left" w:pos="851"/>
        </w:tabs>
        <w:autoSpaceDE w:val="0"/>
        <w:autoSpaceDN w:val="0"/>
        <w:adjustRightInd w:val="0"/>
        <w:spacing w:line="360" w:lineRule="auto"/>
        <w:ind w:left="0" w:firstLine="284"/>
        <w:rPr>
          <w:rFonts w:ascii="Arial" w:hAnsi="Arial" w:cs="Arial"/>
          <w:sz w:val="22"/>
          <w:szCs w:val="22"/>
        </w:rPr>
      </w:pPr>
      <w:r>
        <w:rPr>
          <w:rFonts w:ascii="Arial" w:hAnsi="Arial" w:cs="Arial"/>
          <w:sz w:val="22"/>
          <w:szCs w:val="22"/>
        </w:rPr>
        <w:t>单一投资者持有上限：</w:t>
      </w:r>
      <w:r>
        <w:rPr>
          <w:rFonts w:hint="eastAsia" w:ascii="Arial" w:hAnsi="Arial" w:cs="Arial"/>
          <w:sz w:val="22"/>
          <w:szCs w:val="22"/>
        </w:rPr>
        <w:t>本理财产品各类份额的单一投资者持有上限以管理人公布的份额公告为准（在产品运作过程中因收益分配、净值波动等被动超上限的情形除外）</w:t>
      </w:r>
      <w:r>
        <w:rPr>
          <w:rFonts w:hint="eastAsia" w:ascii="Arial" w:hAnsi="Arial" w:cs="Arial"/>
          <w:snapToGrid w:val="0"/>
          <w:color w:val="000000"/>
          <w:sz w:val="22"/>
          <w:szCs w:val="22"/>
        </w:rPr>
        <w:t>，管理人有权以公告形式调整单一投资者持有上限。如发生超额申请，管理人有权根据实际情况决定拒绝或受理</w:t>
      </w:r>
      <w:r>
        <w:rPr>
          <w:rFonts w:ascii="Arial" w:hAnsi="Arial" w:cs="Arial"/>
          <w:snapToGrid w:val="0"/>
          <w:color w:val="000000"/>
          <w:sz w:val="22"/>
          <w:szCs w:val="22"/>
        </w:rPr>
        <w:t>。</w:t>
      </w:r>
      <w:r>
        <w:rPr>
          <w:rFonts w:hint="eastAsia" w:ascii="Arial" w:hAnsi="Arial" w:cs="Arial"/>
          <w:snapToGrid w:val="0"/>
          <w:color w:val="000000"/>
          <w:sz w:val="22"/>
          <w:szCs w:val="22"/>
        </w:rPr>
        <w:t>管理人不得接受单一投资者购买超过产品份额总数50%的申请（在产品运作过程中因份额赎回、收益结转等情形导致持有份额被动超过此规则的情形除外）。</w:t>
      </w:r>
    </w:p>
    <w:p>
      <w:pPr>
        <w:numPr>
          <w:ilvl w:val="0"/>
          <w:numId w:val="10"/>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hint="eastAsia" w:ascii="Arial" w:hAnsi="Arial" w:cs="Arial"/>
          <w:snapToGrid w:val="0"/>
          <w:color w:val="000000"/>
          <w:sz w:val="22"/>
          <w:szCs w:val="22"/>
        </w:rPr>
        <w:t>管理人、销售</w:t>
      </w:r>
      <w:r>
        <w:rPr>
          <w:rFonts w:ascii="宋体" w:hAnsi="宋体"/>
          <w:sz w:val="22"/>
          <w:szCs w:val="22"/>
        </w:rPr>
        <w:t>服务机构受理认购申请并不表示对该申请成功的确认，而仅代表收到了认购申请，申请是否成功应以</w:t>
      </w:r>
      <w:r>
        <w:rPr>
          <w:rFonts w:hint="eastAsia" w:ascii="宋体" w:hAnsi="宋体"/>
          <w:sz w:val="22"/>
          <w:szCs w:val="22"/>
        </w:rPr>
        <w:t>管理人</w:t>
      </w:r>
      <w:r>
        <w:rPr>
          <w:rFonts w:ascii="宋体" w:hAnsi="宋体"/>
          <w:sz w:val="22"/>
          <w:szCs w:val="22"/>
        </w:rPr>
        <w:t>的确认为准。如</w:t>
      </w:r>
      <w:r>
        <w:rPr>
          <w:rFonts w:hint="eastAsia" w:ascii="宋体" w:hAnsi="宋体"/>
          <w:sz w:val="22"/>
          <w:szCs w:val="22"/>
        </w:rPr>
        <w:t>管理人</w:t>
      </w:r>
      <w:r>
        <w:rPr>
          <w:rFonts w:ascii="宋体" w:hAnsi="宋体"/>
          <w:sz w:val="22"/>
          <w:szCs w:val="22"/>
        </w:rPr>
        <w:t>在认购登记日根据投资者的认购申请为投资者成功登记认购份额，则视为投资者的认购申请成功，并以</w:t>
      </w:r>
      <w:r>
        <w:rPr>
          <w:rFonts w:hint="eastAsia" w:ascii="宋体" w:hAnsi="宋体"/>
          <w:sz w:val="22"/>
          <w:szCs w:val="22"/>
        </w:rPr>
        <w:t>管理人</w:t>
      </w:r>
      <w:r>
        <w:rPr>
          <w:rFonts w:ascii="宋体" w:hAnsi="宋体"/>
          <w:sz w:val="22"/>
          <w:szCs w:val="22"/>
        </w:rPr>
        <w:t>的登记结果为准。投资者应在本理财产品成立后及时查询最终成交确认情况及认购的份额</w:t>
      </w:r>
      <w:r>
        <w:rPr>
          <w:rFonts w:hint="eastAsia" w:ascii="宋体" w:hAnsi="宋体"/>
          <w:sz w:val="22"/>
          <w:szCs w:val="22"/>
        </w:rPr>
        <w:t>。</w:t>
      </w:r>
    </w:p>
    <w:p>
      <w:pPr>
        <w:numPr>
          <w:ilvl w:val="0"/>
          <w:numId w:val="10"/>
        </w:numPr>
        <w:tabs>
          <w:tab w:val="left" w:pos="851"/>
        </w:tabs>
        <w:autoSpaceDE w:val="0"/>
        <w:autoSpaceDN w:val="0"/>
        <w:adjustRightInd w:val="0"/>
        <w:spacing w:line="360" w:lineRule="auto"/>
        <w:ind w:left="0" w:firstLine="440" w:firstLineChars="200"/>
        <w:rPr>
          <w:rFonts w:ascii="Arial" w:hAnsi="Arial" w:cs="Arial"/>
          <w:sz w:val="22"/>
          <w:szCs w:val="22"/>
        </w:rPr>
      </w:pPr>
      <w:r>
        <w:rPr>
          <w:rFonts w:hint="eastAsia" w:ascii="Arial" w:hAnsi="Arial" w:cs="Arial"/>
          <w:sz w:val="22"/>
          <w:szCs w:val="22"/>
        </w:rPr>
        <w:t>认购费：</w:t>
      </w:r>
      <w:r>
        <w:rPr>
          <w:rFonts w:ascii="Arial" w:hAnsi="Arial" w:cs="Arial"/>
          <w:sz w:val="22"/>
          <w:szCs w:val="22"/>
        </w:rPr>
        <w:t>本理财产品</w:t>
      </w:r>
      <w:r>
        <w:rPr>
          <w:rFonts w:hint="eastAsia" w:ascii="Arial" w:hAnsi="Arial" w:cs="Arial"/>
          <w:sz w:val="22"/>
          <w:szCs w:val="22"/>
        </w:rPr>
        <w:t>不收取</w:t>
      </w:r>
      <w:r>
        <w:rPr>
          <w:rFonts w:ascii="Arial" w:hAnsi="Arial" w:cs="Arial"/>
          <w:sz w:val="22"/>
          <w:szCs w:val="22"/>
        </w:rPr>
        <w:t>认购费</w:t>
      </w:r>
      <w:r>
        <w:rPr>
          <w:rFonts w:hint="eastAsia" w:ascii="Arial" w:hAnsi="Arial" w:cs="Arial"/>
          <w:sz w:val="22"/>
          <w:szCs w:val="22"/>
        </w:rPr>
        <w:t>。</w:t>
      </w:r>
    </w:p>
    <w:p>
      <w:pPr>
        <w:numPr>
          <w:ilvl w:val="1"/>
          <w:numId w:val="9"/>
        </w:numPr>
        <w:autoSpaceDE w:val="0"/>
        <w:autoSpaceDN w:val="0"/>
        <w:adjustRightInd w:val="0"/>
        <w:spacing w:line="360" w:lineRule="auto"/>
        <w:ind w:left="0" w:firstLine="442" w:firstLineChars="200"/>
        <w:rPr>
          <w:rFonts w:ascii="Arial" w:hAnsi="Arial" w:cs="Arial"/>
          <w:b/>
          <w:snapToGrid w:val="0"/>
          <w:color w:val="000000"/>
          <w:sz w:val="22"/>
          <w:szCs w:val="22"/>
        </w:rPr>
      </w:pPr>
      <w:r>
        <w:rPr>
          <w:rFonts w:ascii="Arial" w:hAnsi="Arial" w:cs="Arial"/>
          <w:b/>
          <w:snapToGrid w:val="0"/>
          <w:color w:val="000000"/>
          <w:sz w:val="22"/>
          <w:szCs w:val="22"/>
        </w:rPr>
        <w:t>申购/赎回期、开放日及交易时段</w:t>
      </w:r>
    </w:p>
    <w:p>
      <w:pPr>
        <w:numPr>
          <w:ilvl w:val="0"/>
          <w:numId w:val="11"/>
        </w:numPr>
        <w:autoSpaceDE w:val="0"/>
        <w:autoSpaceDN w:val="0"/>
        <w:adjustRightInd w:val="0"/>
        <w:spacing w:line="360" w:lineRule="auto"/>
        <w:ind w:left="0" w:firstLine="440" w:firstLineChars="200"/>
        <w:rPr>
          <w:rFonts w:ascii="Arial" w:hAnsi="Arial" w:cs="Arial"/>
          <w:snapToGrid w:val="0"/>
          <w:color w:val="000000"/>
          <w:sz w:val="22"/>
          <w:szCs w:val="22"/>
        </w:rPr>
      </w:pPr>
      <w:r>
        <w:rPr>
          <w:rFonts w:hint="eastAsia" w:ascii="Arial" w:hAnsi="Arial" w:cs="Arial"/>
          <w:snapToGrid w:val="0"/>
          <w:color w:val="000000"/>
          <w:sz w:val="22"/>
          <w:szCs w:val="22"/>
        </w:rPr>
        <w:t>开放日：</w:t>
      </w:r>
      <w:r>
        <w:rPr>
          <w:rFonts w:ascii="Arial" w:hAnsi="Arial" w:cs="Arial"/>
          <w:snapToGrid w:val="0"/>
          <w:color w:val="000000"/>
          <w:sz w:val="22"/>
          <w:szCs w:val="22"/>
        </w:rPr>
        <w:t>本理财产品</w:t>
      </w:r>
      <w:r>
        <w:rPr>
          <w:rFonts w:hint="eastAsia" w:ascii="Arial" w:hAnsi="Arial" w:cs="Arial"/>
          <w:snapToGrid w:val="0"/>
          <w:color w:val="000000"/>
          <w:sz w:val="22"/>
          <w:szCs w:val="22"/>
        </w:rPr>
        <w:t>的</w:t>
      </w:r>
      <w:r>
        <w:rPr>
          <w:rFonts w:ascii="Arial" w:hAnsi="Arial" w:cs="Arial"/>
          <w:snapToGrid w:val="0"/>
          <w:color w:val="000000"/>
          <w:sz w:val="22"/>
          <w:szCs w:val="22"/>
        </w:rPr>
        <w:t>开放日为</w:t>
      </w:r>
      <w:r>
        <w:rPr>
          <w:rFonts w:hint="eastAsia" w:ascii="Arial" w:hAnsi="Arial" w:cs="Arial"/>
          <w:snapToGrid w:val="0"/>
          <w:color w:val="000000"/>
          <w:sz w:val="22"/>
          <w:szCs w:val="22"/>
        </w:rPr>
        <w:t>成立后（不含产品成立日）的每个交易日。产品管理人根据法律法规、监管规则规定或本理财产品说明书约定，对本理财产品临时暂停申购、赎回的情形除外。管理人</w:t>
      </w:r>
      <w:r>
        <w:rPr>
          <w:rFonts w:ascii="Arial" w:hAnsi="Arial" w:cs="Arial"/>
          <w:snapToGrid w:val="0"/>
          <w:color w:val="000000"/>
          <w:sz w:val="22"/>
          <w:szCs w:val="22"/>
        </w:rPr>
        <w:t>有权调整开放日</w:t>
      </w:r>
      <w:r>
        <w:rPr>
          <w:rFonts w:hint="eastAsia" w:ascii="Arial" w:hAnsi="Arial" w:cs="Arial"/>
          <w:snapToGrid w:val="0"/>
          <w:color w:val="000000"/>
          <w:sz w:val="22"/>
          <w:szCs w:val="22"/>
        </w:rPr>
        <w:t>规则的设置</w:t>
      </w:r>
      <w:r>
        <w:rPr>
          <w:rFonts w:ascii="Arial" w:hAnsi="Arial" w:cs="Arial"/>
          <w:snapToGrid w:val="0"/>
          <w:color w:val="000000"/>
          <w:sz w:val="22"/>
          <w:szCs w:val="22"/>
        </w:rPr>
        <w:t>并</w:t>
      </w:r>
      <w:r>
        <w:rPr>
          <w:rFonts w:hint="eastAsia" w:ascii="Arial" w:hAnsi="Arial" w:cs="Arial"/>
          <w:snapToGrid w:val="0"/>
          <w:color w:val="000000"/>
          <w:sz w:val="22"/>
          <w:szCs w:val="22"/>
        </w:rPr>
        <w:t>至少</w:t>
      </w:r>
      <w:r>
        <w:rPr>
          <w:rFonts w:ascii="Arial" w:hAnsi="Arial" w:cs="Arial"/>
          <w:snapToGrid w:val="0"/>
          <w:color w:val="000000"/>
          <w:sz w:val="22"/>
          <w:szCs w:val="22"/>
        </w:rPr>
        <w:t>提前3个交易日公告。</w:t>
      </w:r>
    </w:p>
    <w:p>
      <w:pPr>
        <w:numPr>
          <w:ilvl w:val="0"/>
          <w:numId w:val="11"/>
        </w:numPr>
        <w:autoSpaceDE w:val="0"/>
        <w:autoSpaceDN w:val="0"/>
        <w:adjustRightInd w:val="0"/>
        <w:spacing w:line="360" w:lineRule="auto"/>
        <w:ind w:left="0" w:firstLine="426"/>
        <w:rPr>
          <w:rFonts w:ascii="Arial" w:hAnsi="Arial" w:cs="Arial"/>
          <w:b/>
          <w:snapToGrid w:val="0"/>
          <w:color w:val="000000"/>
          <w:sz w:val="22"/>
          <w:szCs w:val="22"/>
        </w:rPr>
      </w:pPr>
      <w:r>
        <w:rPr>
          <w:rFonts w:hint="eastAsia" w:ascii="Arial" w:hAnsi="Arial" w:cs="Arial"/>
          <w:snapToGrid w:val="0"/>
          <w:color w:val="000000"/>
          <w:sz w:val="22"/>
          <w:szCs w:val="22"/>
        </w:rPr>
        <w:t>最短持有期和最短持有期结束日：投资者每笔认/申购份额自产品成立日（对认购份额而言）或申购申请对应的开放日T日起，最短需持有</w:t>
      </w:r>
      <w:bookmarkStart w:id="4" w:name="_GoBack"/>
      <w:r>
        <w:rPr>
          <w:rFonts w:hint="eastAsia" w:ascii="Arial" w:hAnsi="Arial" w:cs="Arial"/>
          <w:snapToGrid w:val="0"/>
          <w:color w:val="000000"/>
          <w:sz w:val="22"/>
          <w:szCs w:val="22"/>
          <w:lang w:val="en-US" w:eastAsia="zh-CN"/>
        </w:rPr>
        <w:t>90</w:t>
      </w:r>
      <w:bookmarkEnd w:id="4"/>
      <w:r>
        <w:rPr>
          <w:rFonts w:hint="eastAsia" w:ascii="Arial" w:hAnsi="Arial" w:cs="Arial"/>
          <w:snapToGrid w:val="0"/>
          <w:color w:val="000000"/>
          <w:sz w:val="22"/>
          <w:szCs w:val="22"/>
          <w:lang w:eastAsia="zh-CN"/>
        </w:rPr>
        <w:t>个自然日</w:t>
      </w:r>
      <w:r>
        <w:rPr>
          <w:rFonts w:hint="eastAsia" w:ascii="Arial" w:hAnsi="Arial" w:cs="Arial"/>
          <w:snapToGrid w:val="0"/>
          <w:color w:val="000000"/>
          <w:sz w:val="22"/>
          <w:szCs w:val="22"/>
        </w:rPr>
        <w:t>，最短持有期结束日为第T</w:t>
      </w:r>
      <w:r>
        <w:rPr>
          <w:rFonts w:ascii="Arial" w:hAnsi="Arial" w:cs="Arial"/>
          <w:snapToGrid w:val="0"/>
          <w:color w:val="000000"/>
          <w:sz w:val="22"/>
          <w:szCs w:val="22"/>
        </w:rPr>
        <w:t>+</w:t>
      </w:r>
      <w:r>
        <w:rPr>
          <w:rFonts w:hint="eastAsia" w:ascii="Arial" w:hAnsi="Arial" w:cs="Arial"/>
          <w:snapToGrid w:val="0"/>
          <w:color w:val="000000"/>
          <w:sz w:val="22"/>
          <w:szCs w:val="22"/>
          <w:lang w:val="en-US" w:eastAsia="zh-CN"/>
        </w:rPr>
        <w:t>90</w:t>
      </w:r>
      <w:r>
        <w:rPr>
          <w:rFonts w:hint="eastAsia" w:ascii="Arial" w:hAnsi="Arial" w:cs="Arial"/>
          <w:snapToGrid w:val="0"/>
          <w:color w:val="000000"/>
          <w:sz w:val="22"/>
          <w:szCs w:val="22"/>
          <w:lang w:eastAsia="zh-CN"/>
        </w:rPr>
        <w:t>个自然日</w:t>
      </w:r>
      <w:r>
        <w:rPr>
          <w:rFonts w:hint="eastAsia" w:ascii="Arial" w:hAnsi="Arial" w:cs="Arial"/>
          <w:snapToGrid w:val="0"/>
          <w:color w:val="000000"/>
          <w:sz w:val="22"/>
          <w:szCs w:val="22"/>
        </w:rPr>
        <w:t>，若第T</w:t>
      </w:r>
      <w:r>
        <w:rPr>
          <w:rFonts w:ascii="Arial" w:hAnsi="Arial" w:cs="Arial"/>
          <w:snapToGrid w:val="0"/>
          <w:color w:val="000000"/>
          <w:sz w:val="22"/>
          <w:szCs w:val="22"/>
        </w:rPr>
        <w:t>+</w:t>
      </w:r>
      <w:r>
        <w:rPr>
          <w:rFonts w:hint="eastAsia" w:ascii="Arial" w:hAnsi="Arial" w:cs="Arial"/>
          <w:snapToGrid w:val="0"/>
          <w:color w:val="000000"/>
          <w:sz w:val="22"/>
          <w:szCs w:val="22"/>
          <w:lang w:val="en-US" w:eastAsia="zh-CN"/>
        </w:rPr>
        <w:t>90</w:t>
      </w:r>
      <w:r>
        <w:rPr>
          <w:rFonts w:hint="eastAsia" w:ascii="Arial" w:hAnsi="Arial" w:cs="Arial"/>
          <w:snapToGrid w:val="0"/>
          <w:color w:val="000000"/>
          <w:sz w:val="22"/>
          <w:szCs w:val="22"/>
          <w:lang w:eastAsia="zh-CN"/>
        </w:rPr>
        <w:t>个自然日</w:t>
      </w:r>
      <w:r>
        <w:rPr>
          <w:rFonts w:hint="eastAsia" w:ascii="Arial" w:hAnsi="Arial" w:cs="Arial"/>
          <w:snapToGrid w:val="0"/>
          <w:color w:val="000000"/>
          <w:sz w:val="22"/>
          <w:szCs w:val="22"/>
        </w:rPr>
        <w:t>为非开放日则顺延至下一开放日。投资者可在认/申购的份额确认后于最短持有期结束日（含）及后续每个开放日申请赎回。</w:t>
      </w:r>
      <w:r>
        <w:rPr>
          <w:rFonts w:hint="eastAsia" w:ascii="Arial" w:hAnsi="Arial" w:cs="Arial"/>
          <w:sz w:val="22"/>
          <w:szCs w:val="22"/>
        </w:rPr>
        <w:t>由于最短持有期结束日遇非开放日顺延至下一开放日等原因，投资者最短持有期实际上可能长于</w:t>
      </w:r>
      <w:r>
        <w:rPr>
          <w:rFonts w:hint="eastAsia" w:ascii="Arial" w:hAnsi="Arial" w:cs="Arial"/>
          <w:snapToGrid w:val="0"/>
          <w:color w:val="000000"/>
          <w:sz w:val="22"/>
          <w:szCs w:val="22"/>
          <w:lang w:val="en-US" w:eastAsia="zh-CN"/>
        </w:rPr>
        <w:t>90</w:t>
      </w:r>
      <w:r>
        <w:rPr>
          <w:rFonts w:hint="eastAsia" w:ascii="Arial" w:hAnsi="Arial" w:cs="Arial"/>
          <w:snapToGrid w:val="0"/>
          <w:color w:val="000000"/>
          <w:sz w:val="22"/>
          <w:szCs w:val="22"/>
          <w:lang w:eastAsia="zh-CN"/>
        </w:rPr>
        <w:t>个自然日</w:t>
      </w:r>
      <w:r>
        <w:rPr>
          <w:rFonts w:hint="eastAsia" w:ascii="Arial" w:hAnsi="Arial" w:cs="Arial"/>
          <w:sz w:val="22"/>
          <w:szCs w:val="22"/>
        </w:rPr>
        <w:t>。具体以产品说明书相关约定为准。</w:t>
      </w:r>
      <w:r>
        <w:rPr>
          <w:rFonts w:ascii="Arial" w:hAnsi="Arial" w:cs="Arial"/>
          <w:sz w:val="22"/>
          <w:szCs w:val="22"/>
        </w:rPr>
        <w:t>以上规则如有调整，以</w:t>
      </w:r>
      <w:r>
        <w:rPr>
          <w:rFonts w:hint="eastAsia" w:ascii="Arial" w:hAnsi="Arial" w:cs="Arial"/>
          <w:sz w:val="22"/>
          <w:szCs w:val="22"/>
        </w:rPr>
        <w:t>管理人</w:t>
      </w:r>
      <w:r>
        <w:rPr>
          <w:rFonts w:ascii="Arial" w:hAnsi="Arial" w:cs="Arial"/>
          <w:sz w:val="22"/>
          <w:szCs w:val="22"/>
        </w:rPr>
        <w:t>公告为准。</w:t>
      </w:r>
    </w:p>
    <w:p>
      <w:pPr>
        <w:numPr>
          <w:ilvl w:val="0"/>
          <w:numId w:val="11"/>
        </w:numPr>
        <w:autoSpaceDE w:val="0"/>
        <w:autoSpaceDN w:val="0"/>
        <w:adjustRightInd w:val="0"/>
        <w:spacing w:line="360" w:lineRule="auto"/>
        <w:ind w:left="0" w:firstLine="426"/>
        <w:rPr>
          <w:rFonts w:ascii="Arial" w:hAnsi="Arial" w:cs="Arial"/>
          <w:snapToGrid w:val="0"/>
          <w:color w:val="000000"/>
          <w:sz w:val="22"/>
          <w:szCs w:val="22"/>
        </w:rPr>
      </w:pPr>
      <w:r>
        <w:rPr>
          <w:rFonts w:ascii="Arial" w:hAnsi="Arial" w:cs="Arial"/>
          <w:snapToGrid w:val="0"/>
          <w:color w:val="000000"/>
          <w:sz w:val="22"/>
          <w:szCs w:val="22"/>
        </w:rPr>
        <w:t>申购、赎回</w:t>
      </w:r>
      <w:r>
        <w:rPr>
          <w:rFonts w:hint="eastAsia" w:ascii="Arial" w:hAnsi="Arial" w:cs="Arial"/>
          <w:snapToGrid w:val="0"/>
          <w:color w:val="000000"/>
          <w:sz w:val="22"/>
          <w:szCs w:val="22"/>
        </w:rPr>
        <w:t>方式</w:t>
      </w:r>
      <w:r>
        <w:rPr>
          <w:rFonts w:ascii="Arial" w:hAnsi="Arial" w:cs="Arial"/>
          <w:snapToGrid w:val="0"/>
          <w:color w:val="000000"/>
          <w:sz w:val="22"/>
          <w:szCs w:val="22"/>
        </w:rPr>
        <w:t>：</w:t>
      </w:r>
      <w:r>
        <w:rPr>
          <w:rFonts w:hint="eastAsia" w:ascii="Arial" w:hAnsi="Arial" w:cs="Arial"/>
          <w:snapToGrid w:val="0"/>
          <w:color w:val="000000"/>
          <w:sz w:val="22"/>
          <w:szCs w:val="22"/>
        </w:rPr>
        <w:t>投资者在首个开放日</w:t>
      </w:r>
      <w:r>
        <w:rPr>
          <w:rFonts w:ascii="Arial" w:hAnsi="Arial" w:cs="Arial"/>
          <w:snapToGrid w:val="0"/>
          <w:color w:val="000000"/>
          <w:sz w:val="22"/>
          <w:szCs w:val="22"/>
        </w:rPr>
        <w:t>9</w:t>
      </w:r>
      <w:r>
        <w:rPr>
          <w:rFonts w:hint="eastAsia" w:ascii="Arial" w:hAnsi="Arial" w:cs="Arial"/>
          <w:snapToGrid w:val="0"/>
          <w:color w:val="000000"/>
          <w:sz w:val="22"/>
          <w:szCs w:val="22"/>
        </w:rPr>
        <w:t>：</w:t>
      </w:r>
      <w:r>
        <w:rPr>
          <w:rFonts w:hint="eastAsia" w:ascii="Arial" w:hAnsi="Arial" w:cs="Arial"/>
          <w:snapToGrid w:val="0"/>
          <w:color w:val="000000"/>
          <w:sz w:val="22"/>
          <w:szCs w:val="22"/>
          <w:lang w:val="en-US" w:eastAsia="zh-CN"/>
        </w:rPr>
        <w:t>0</w:t>
      </w:r>
      <w:r>
        <w:rPr>
          <w:rFonts w:hint="eastAsia" w:ascii="Arial" w:hAnsi="Arial" w:cs="Arial"/>
          <w:snapToGrid w:val="0"/>
          <w:color w:val="000000"/>
          <w:sz w:val="22"/>
          <w:szCs w:val="22"/>
        </w:rPr>
        <w:t>0-</w:t>
      </w:r>
      <w:r>
        <w:rPr>
          <w:rFonts w:ascii="Arial" w:hAnsi="Arial" w:cs="Arial"/>
          <w:sz w:val="22"/>
          <w:szCs w:val="22"/>
        </w:rPr>
        <w:t>1</w:t>
      </w:r>
      <w:r>
        <w:rPr>
          <w:rFonts w:hint="eastAsia" w:ascii="Arial" w:hAnsi="Arial" w:cs="Arial"/>
          <w:sz w:val="22"/>
          <w:szCs w:val="22"/>
          <w:lang w:val="en-US" w:eastAsia="zh-CN"/>
        </w:rPr>
        <w:t>7</w:t>
      </w:r>
      <w:r>
        <w:rPr>
          <w:rFonts w:hint="eastAsia" w:ascii="Arial" w:hAnsi="Arial" w:cs="Arial"/>
          <w:sz w:val="22"/>
          <w:szCs w:val="22"/>
        </w:rPr>
        <w:t>：0</w:t>
      </w:r>
      <w:r>
        <w:rPr>
          <w:rFonts w:ascii="Arial" w:hAnsi="Arial" w:cs="Arial"/>
          <w:sz w:val="22"/>
          <w:szCs w:val="22"/>
        </w:rPr>
        <w:t>0</w:t>
      </w:r>
      <w:r>
        <w:rPr>
          <w:rFonts w:hint="eastAsia" w:ascii="Arial" w:hAnsi="Arial" w:cs="Arial"/>
          <w:snapToGrid w:val="0"/>
          <w:color w:val="000000"/>
          <w:sz w:val="22"/>
          <w:szCs w:val="22"/>
        </w:rPr>
        <w:t>（不含）提交的申请，视为该开放日的申请，管理人以该开放日份额净值进行确认。投资者在上一开放日</w:t>
      </w:r>
      <w:r>
        <w:rPr>
          <w:rFonts w:ascii="Arial" w:hAnsi="Arial" w:cs="Arial"/>
          <w:sz w:val="22"/>
          <w:szCs w:val="22"/>
        </w:rPr>
        <w:t>1</w:t>
      </w:r>
      <w:r>
        <w:rPr>
          <w:rFonts w:hint="eastAsia" w:ascii="Arial" w:hAnsi="Arial" w:cs="Arial"/>
          <w:sz w:val="22"/>
          <w:szCs w:val="22"/>
          <w:lang w:val="en-US" w:eastAsia="zh-CN"/>
        </w:rPr>
        <w:t>7</w:t>
      </w:r>
      <w:r>
        <w:rPr>
          <w:rFonts w:hint="eastAsia" w:ascii="Arial" w:hAnsi="Arial" w:cs="Arial"/>
          <w:sz w:val="22"/>
          <w:szCs w:val="22"/>
        </w:rPr>
        <w:t>：0</w:t>
      </w:r>
      <w:r>
        <w:rPr>
          <w:rFonts w:ascii="Arial" w:hAnsi="Arial" w:cs="Arial"/>
          <w:sz w:val="22"/>
          <w:szCs w:val="22"/>
        </w:rPr>
        <w:t>0</w:t>
      </w:r>
      <w:r>
        <w:rPr>
          <w:rFonts w:hint="eastAsia" w:ascii="Arial" w:hAnsi="Arial" w:cs="Arial"/>
          <w:snapToGrid w:val="0"/>
          <w:color w:val="000000"/>
          <w:sz w:val="22"/>
          <w:szCs w:val="22"/>
        </w:rPr>
        <w:t>至本开放日</w:t>
      </w:r>
      <w:r>
        <w:rPr>
          <w:rFonts w:ascii="Arial" w:hAnsi="Arial" w:cs="Arial"/>
          <w:sz w:val="22"/>
          <w:szCs w:val="22"/>
        </w:rPr>
        <w:t>1</w:t>
      </w:r>
      <w:r>
        <w:rPr>
          <w:rFonts w:hint="eastAsia" w:ascii="Arial" w:hAnsi="Arial" w:cs="Arial"/>
          <w:sz w:val="22"/>
          <w:szCs w:val="22"/>
          <w:lang w:val="en-US" w:eastAsia="zh-CN"/>
        </w:rPr>
        <w:t>7</w:t>
      </w:r>
      <w:r>
        <w:rPr>
          <w:rFonts w:hint="eastAsia" w:ascii="Arial" w:hAnsi="Arial" w:cs="Arial"/>
          <w:sz w:val="22"/>
          <w:szCs w:val="22"/>
        </w:rPr>
        <w:t>：0</w:t>
      </w:r>
      <w:r>
        <w:rPr>
          <w:rFonts w:ascii="Arial" w:hAnsi="Arial" w:cs="Arial"/>
          <w:sz w:val="22"/>
          <w:szCs w:val="22"/>
        </w:rPr>
        <w:t>0</w:t>
      </w:r>
      <w:r>
        <w:rPr>
          <w:rFonts w:hint="eastAsia" w:ascii="Arial" w:hAnsi="Arial" w:cs="Arial"/>
          <w:snapToGrid w:val="0"/>
          <w:color w:val="000000"/>
          <w:sz w:val="22"/>
          <w:szCs w:val="22"/>
        </w:rPr>
        <w:t>（不含）提交的申请，视为本开放日的申请，管理人以本开放日的份额净值进行确认；本开放日</w:t>
      </w:r>
      <w:r>
        <w:rPr>
          <w:rFonts w:ascii="Arial" w:hAnsi="Arial" w:cs="Arial"/>
          <w:sz w:val="22"/>
          <w:szCs w:val="22"/>
        </w:rPr>
        <w:t>1</w:t>
      </w:r>
      <w:r>
        <w:rPr>
          <w:rFonts w:hint="eastAsia" w:ascii="Arial" w:hAnsi="Arial" w:cs="Arial"/>
          <w:sz w:val="22"/>
          <w:szCs w:val="22"/>
          <w:lang w:val="en-US" w:eastAsia="zh-CN"/>
        </w:rPr>
        <w:t>7</w:t>
      </w:r>
      <w:r>
        <w:rPr>
          <w:rFonts w:hint="eastAsia" w:ascii="Arial" w:hAnsi="Arial" w:cs="Arial"/>
          <w:sz w:val="22"/>
          <w:szCs w:val="22"/>
        </w:rPr>
        <w:t>：0</w:t>
      </w:r>
      <w:r>
        <w:rPr>
          <w:rFonts w:ascii="Arial" w:hAnsi="Arial" w:cs="Arial"/>
          <w:sz w:val="22"/>
          <w:szCs w:val="22"/>
        </w:rPr>
        <w:t>0</w:t>
      </w:r>
      <w:r>
        <w:rPr>
          <w:rFonts w:hint="eastAsia" w:ascii="Arial" w:hAnsi="Arial" w:cs="Arial"/>
          <w:snapToGrid w:val="0"/>
          <w:color w:val="000000"/>
          <w:sz w:val="22"/>
          <w:szCs w:val="22"/>
        </w:rPr>
        <w:t>至下一开放日</w:t>
      </w:r>
      <w:r>
        <w:rPr>
          <w:rFonts w:ascii="Arial" w:hAnsi="Arial" w:cs="Arial"/>
          <w:sz w:val="22"/>
          <w:szCs w:val="22"/>
        </w:rPr>
        <w:t>1</w:t>
      </w:r>
      <w:r>
        <w:rPr>
          <w:rFonts w:hint="eastAsia" w:ascii="Arial" w:hAnsi="Arial" w:cs="Arial"/>
          <w:sz w:val="22"/>
          <w:szCs w:val="22"/>
          <w:lang w:val="en-US" w:eastAsia="zh-CN"/>
        </w:rPr>
        <w:t>7</w:t>
      </w:r>
      <w:r>
        <w:rPr>
          <w:rFonts w:hint="eastAsia" w:ascii="Arial" w:hAnsi="Arial" w:cs="Arial"/>
          <w:sz w:val="22"/>
          <w:szCs w:val="22"/>
        </w:rPr>
        <w:t>：0</w:t>
      </w:r>
      <w:r>
        <w:rPr>
          <w:rFonts w:ascii="Arial" w:hAnsi="Arial" w:cs="Arial"/>
          <w:sz w:val="22"/>
          <w:szCs w:val="22"/>
        </w:rPr>
        <w:t>0</w:t>
      </w:r>
      <w:r>
        <w:rPr>
          <w:rFonts w:hint="eastAsia" w:ascii="Arial" w:hAnsi="Arial" w:cs="Arial"/>
          <w:snapToGrid w:val="0"/>
          <w:color w:val="000000"/>
          <w:sz w:val="22"/>
          <w:szCs w:val="22"/>
        </w:rPr>
        <w:t>（不含）提交的申请，视为下一开放日的申请，管理人以下一开放日的份额净值进行确认。每笔申购、赎回申请在对应开放日的</w:t>
      </w:r>
      <w:r>
        <w:rPr>
          <w:rFonts w:ascii="Arial" w:hAnsi="Arial" w:cs="Arial"/>
          <w:sz w:val="22"/>
          <w:szCs w:val="22"/>
        </w:rPr>
        <w:t>1</w:t>
      </w:r>
      <w:r>
        <w:rPr>
          <w:rFonts w:hint="eastAsia" w:ascii="Arial" w:hAnsi="Arial" w:cs="Arial"/>
          <w:sz w:val="22"/>
          <w:szCs w:val="22"/>
          <w:lang w:val="en-US" w:eastAsia="zh-CN"/>
        </w:rPr>
        <w:t>7</w:t>
      </w:r>
      <w:r>
        <w:rPr>
          <w:rFonts w:hint="eastAsia" w:ascii="Arial" w:hAnsi="Arial" w:cs="Arial"/>
          <w:sz w:val="22"/>
          <w:szCs w:val="22"/>
        </w:rPr>
        <w:t>：0</w:t>
      </w:r>
      <w:r>
        <w:rPr>
          <w:rFonts w:ascii="Arial" w:hAnsi="Arial" w:cs="Arial"/>
          <w:sz w:val="22"/>
          <w:szCs w:val="22"/>
        </w:rPr>
        <w:t>0</w:t>
      </w:r>
      <w:r>
        <w:rPr>
          <w:rFonts w:hint="eastAsia" w:ascii="Arial" w:hAnsi="Arial" w:cs="Arial"/>
          <w:snapToGrid w:val="0"/>
          <w:color w:val="000000"/>
          <w:sz w:val="22"/>
          <w:szCs w:val="22"/>
        </w:rPr>
        <w:t>前允许撤单，管理人有权拒绝受理晚于对应开放日</w:t>
      </w:r>
      <w:r>
        <w:rPr>
          <w:rFonts w:ascii="Arial" w:hAnsi="Arial" w:cs="Arial"/>
          <w:sz w:val="22"/>
          <w:szCs w:val="22"/>
        </w:rPr>
        <w:t>1</w:t>
      </w:r>
      <w:r>
        <w:rPr>
          <w:rFonts w:hint="eastAsia" w:ascii="Arial" w:hAnsi="Arial" w:cs="Arial"/>
          <w:sz w:val="22"/>
          <w:szCs w:val="22"/>
          <w:lang w:val="en-US" w:eastAsia="zh-CN"/>
        </w:rPr>
        <w:t>7</w:t>
      </w:r>
      <w:r>
        <w:rPr>
          <w:rFonts w:hint="eastAsia" w:ascii="Arial" w:hAnsi="Arial" w:cs="Arial"/>
          <w:sz w:val="22"/>
          <w:szCs w:val="22"/>
        </w:rPr>
        <w:t>：0</w:t>
      </w:r>
      <w:r>
        <w:rPr>
          <w:rFonts w:ascii="Arial" w:hAnsi="Arial" w:cs="Arial"/>
          <w:sz w:val="22"/>
          <w:szCs w:val="22"/>
        </w:rPr>
        <w:t>0</w:t>
      </w:r>
      <w:r>
        <w:rPr>
          <w:rFonts w:hint="eastAsia" w:ascii="Arial" w:hAnsi="Arial" w:cs="Arial"/>
          <w:snapToGrid w:val="0"/>
          <w:color w:val="000000"/>
          <w:sz w:val="22"/>
          <w:szCs w:val="22"/>
        </w:rPr>
        <w:t>的申购、赎回撤单申请。</w:t>
      </w:r>
      <w:r>
        <w:rPr>
          <w:rFonts w:hint="eastAsia" w:ascii="Arial" w:hAnsi="Arial" w:cs="Arial"/>
          <w:b/>
          <w:snapToGrid w:val="0"/>
          <w:color w:val="000000"/>
          <w:sz w:val="22"/>
          <w:szCs w:val="22"/>
        </w:rPr>
        <w:t>投资者提交赎回申请需满足最短持有期的要求。</w:t>
      </w:r>
      <w:r>
        <w:rPr>
          <w:rFonts w:hint="eastAsia" w:ascii="Arial" w:hAnsi="Arial" w:cs="Arial"/>
          <w:snapToGrid w:val="0"/>
          <w:color w:val="000000"/>
          <w:sz w:val="22"/>
          <w:szCs w:val="22"/>
        </w:rPr>
        <w:t>赎回资金将于赎回份额确认日后的</w:t>
      </w:r>
      <w:r>
        <w:rPr>
          <w:rFonts w:hint="eastAsia" w:ascii="Arial" w:hAnsi="Arial" w:cs="Arial"/>
          <w:snapToGrid w:val="0"/>
          <w:color w:val="000000"/>
          <w:sz w:val="22"/>
          <w:szCs w:val="22"/>
          <w:lang w:val="en-US" w:eastAsia="zh-CN"/>
        </w:rPr>
        <w:t>2</w:t>
      </w:r>
      <w:r>
        <w:rPr>
          <w:rFonts w:hint="eastAsia" w:ascii="Arial" w:hAnsi="Arial" w:cs="Arial"/>
          <w:snapToGrid w:val="0"/>
          <w:color w:val="000000"/>
          <w:sz w:val="22"/>
          <w:szCs w:val="22"/>
        </w:rPr>
        <w:t>个交易日内转入投资者账户。</w:t>
      </w:r>
      <w:r>
        <w:rPr>
          <w:rFonts w:ascii="Arial" w:hAnsi="Arial" w:cs="Arial"/>
          <w:snapToGrid w:val="0"/>
          <w:color w:val="000000"/>
          <w:sz w:val="22"/>
          <w:szCs w:val="22"/>
        </w:rPr>
        <w:t>以上规则如有调整，以</w:t>
      </w:r>
      <w:r>
        <w:rPr>
          <w:rFonts w:hint="eastAsia" w:ascii="Arial" w:hAnsi="Arial" w:cs="Arial"/>
          <w:snapToGrid w:val="0"/>
          <w:color w:val="000000"/>
          <w:sz w:val="22"/>
          <w:szCs w:val="22"/>
        </w:rPr>
        <w:t>管理人</w:t>
      </w:r>
      <w:r>
        <w:rPr>
          <w:rFonts w:ascii="Arial" w:hAnsi="Arial" w:cs="Arial"/>
          <w:snapToGrid w:val="0"/>
          <w:color w:val="000000"/>
          <w:sz w:val="22"/>
          <w:szCs w:val="22"/>
        </w:rPr>
        <w:t>公告为准。</w:t>
      </w:r>
    </w:p>
    <w:p>
      <w:pPr>
        <w:numPr>
          <w:ilvl w:val="0"/>
          <w:numId w:val="11"/>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申购、赎回确认日：</w:t>
      </w:r>
      <w:r>
        <w:rPr>
          <w:rFonts w:hint="eastAsia" w:ascii="Arial" w:hAnsi="Arial" w:cs="Arial"/>
          <w:spacing w:val="4"/>
          <w:sz w:val="22"/>
          <w:szCs w:val="22"/>
        </w:rPr>
        <w:t>指申购、赎回申请有效性的确认日，即申购、赎回申请对应开放日后的第</w:t>
      </w:r>
      <w:r>
        <w:rPr>
          <w:rFonts w:hint="eastAsia" w:ascii="Arial" w:hAnsi="Arial" w:cs="Arial"/>
          <w:spacing w:val="4"/>
          <w:sz w:val="22"/>
          <w:szCs w:val="22"/>
          <w:lang w:val="en-US" w:eastAsia="zh-CN"/>
        </w:rPr>
        <w:t>1</w:t>
      </w:r>
      <w:r>
        <w:rPr>
          <w:rFonts w:hint="eastAsia" w:ascii="Arial" w:hAnsi="Arial" w:cs="Arial"/>
          <w:spacing w:val="4"/>
          <w:sz w:val="22"/>
          <w:szCs w:val="22"/>
        </w:rPr>
        <w:t>个交易日。管理人有权根据实际情况公告调整申购、赎回确认日。</w:t>
      </w:r>
    </w:p>
    <w:p>
      <w:pPr>
        <w:numPr>
          <w:ilvl w:val="1"/>
          <w:numId w:val="9"/>
        </w:numPr>
        <w:autoSpaceDE w:val="0"/>
        <w:autoSpaceDN w:val="0"/>
        <w:adjustRightInd w:val="0"/>
        <w:spacing w:line="360" w:lineRule="auto"/>
        <w:ind w:left="0" w:firstLine="442" w:firstLineChars="200"/>
        <w:rPr>
          <w:rFonts w:ascii="Arial" w:hAnsi="Arial" w:cs="Arial"/>
          <w:b/>
          <w:snapToGrid w:val="0"/>
          <w:color w:val="000000"/>
          <w:sz w:val="22"/>
          <w:szCs w:val="22"/>
        </w:rPr>
      </w:pPr>
      <w:r>
        <w:rPr>
          <w:rFonts w:ascii="Arial" w:hAnsi="Arial" w:cs="Arial"/>
          <w:b/>
          <w:snapToGrid w:val="0"/>
          <w:color w:val="000000"/>
          <w:sz w:val="22"/>
          <w:szCs w:val="22"/>
        </w:rPr>
        <w:t>申购及赎回的原则</w:t>
      </w:r>
    </w:p>
    <w:p>
      <w:pPr>
        <w:numPr>
          <w:ilvl w:val="0"/>
          <w:numId w:val="12"/>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“未知价”原则，</w:t>
      </w:r>
      <w:r>
        <w:rPr>
          <w:rFonts w:hint="eastAsia" w:ascii="Arial" w:hAnsi="Arial" w:cs="Arial"/>
          <w:snapToGrid w:val="0"/>
          <w:color w:val="000000"/>
          <w:sz w:val="22"/>
          <w:szCs w:val="22"/>
        </w:rPr>
        <w:t>申购、赎回</w:t>
      </w:r>
      <w:r>
        <w:rPr>
          <w:rFonts w:ascii="Arial" w:hAnsi="Arial" w:cs="Arial"/>
          <w:snapToGrid w:val="0"/>
          <w:color w:val="000000"/>
          <w:sz w:val="22"/>
          <w:szCs w:val="22"/>
        </w:rPr>
        <w:t>确认日确认的申购、赎回申请以开放日的</w:t>
      </w:r>
      <w:r>
        <w:rPr>
          <w:rFonts w:hint="eastAsia" w:ascii="Arial" w:hAnsi="Arial" w:cs="Arial"/>
          <w:snapToGrid w:val="0"/>
          <w:color w:val="000000"/>
          <w:sz w:val="22"/>
          <w:szCs w:val="22"/>
        </w:rPr>
        <w:t>各类</w:t>
      </w:r>
      <w:r>
        <w:rPr>
          <w:rFonts w:ascii="Arial" w:hAnsi="Arial" w:cs="Arial"/>
          <w:snapToGrid w:val="0"/>
          <w:color w:val="000000"/>
          <w:sz w:val="22"/>
          <w:szCs w:val="22"/>
        </w:rPr>
        <w:t>产品份额净值为基准计算。</w:t>
      </w:r>
    </w:p>
    <w:p>
      <w:pPr>
        <w:numPr>
          <w:ilvl w:val="0"/>
          <w:numId w:val="12"/>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“金额申购、份额赎回”原则，即申购以金额申请，赎回以份额申请。</w:t>
      </w:r>
    </w:p>
    <w:p>
      <w:pPr>
        <w:numPr>
          <w:ilvl w:val="0"/>
          <w:numId w:val="12"/>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hint="eastAsia" w:ascii="Arial" w:hAnsi="Arial" w:cs="Arial"/>
          <w:snapToGrid w:val="0"/>
          <w:color w:val="000000"/>
          <w:sz w:val="22"/>
          <w:szCs w:val="22"/>
        </w:rPr>
        <w:t>管理人、销售服务机构</w:t>
      </w:r>
      <w:r>
        <w:rPr>
          <w:rFonts w:ascii="Arial" w:hAnsi="Arial" w:cs="Arial"/>
          <w:snapToGrid w:val="0"/>
          <w:color w:val="000000"/>
          <w:sz w:val="22"/>
          <w:szCs w:val="22"/>
        </w:rPr>
        <w:t>受理申购、赎回申请并不表示对该申请成功的确认，而仅代表</w:t>
      </w:r>
      <w:r>
        <w:rPr>
          <w:rFonts w:hint="eastAsia" w:ascii="Arial" w:hAnsi="Arial" w:cs="Arial"/>
          <w:snapToGrid w:val="0"/>
          <w:color w:val="000000"/>
          <w:sz w:val="22"/>
          <w:szCs w:val="22"/>
        </w:rPr>
        <w:t>管理人、销售服务机构</w:t>
      </w:r>
      <w:r>
        <w:rPr>
          <w:rFonts w:ascii="Arial" w:hAnsi="Arial" w:cs="Arial"/>
          <w:snapToGrid w:val="0"/>
          <w:color w:val="000000"/>
          <w:sz w:val="22"/>
          <w:szCs w:val="22"/>
        </w:rPr>
        <w:t>收到了申购、赎回申请，申请是否</w:t>
      </w:r>
      <w:r>
        <w:rPr>
          <w:rFonts w:hint="eastAsia" w:ascii="Arial" w:hAnsi="Arial" w:cs="Arial"/>
          <w:snapToGrid w:val="0"/>
          <w:color w:val="000000"/>
          <w:sz w:val="22"/>
          <w:szCs w:val="22"/>
        </w:rPr>
        <w:t>有效应</w:t>
      </w:r>
      <w:r>
        <w:rPr>
          <w:rFonts w:ascii="Arial" w:hAnsi="Arial" w:cs="Arial"/>
          <w:snapToGrid w:val="0"/>
          <w:color w:val="000000"/>
          <w:sz w:val="22"/>
          <w:szCs w:val="22"/>
        </w:rPr>
        <w:t>以</w:t>
      </w:r>
      <w:r>
        <w:rPr>
          <w:rFonts w:hint="eastAsia" w:ascii="Arial" w:hAnsi="Arial" w:cs="Arial"/>
          <w:snapToGrid w:val="0"/>
          <w:color w:val="000000"/>
          <w:sz w:val="22"/>
          <w:szCs w:val="22"/>
        </w:rPr>
        <w:t>管理人</w:t>
      </w:r>
      <w:r>
        <w:rPr>
          <w:rFonts w:ascii="Arial" w:hAnsi="Arial" w:cs="Arial"/>
          <w:snapToGrid w:val="0"/>
          <w:color w:val="000000"/>
          <w:sz w:val="22"/>
          <w:szCs w:val="22"/>
        </w:rPr>
        <w:t>的确认为准。投资者应在本理财产品的开放日后及时查询最终成交确认情况和份额。</w:t>
      </w:r>
    </w:p>
    <w:p>
      <w:pPr>
        <w:numPr>
          <w:ilvl w:val="0"/>
          <w:numId w:val="12"/>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hint="eastAsia" w:ascii="Arial" w:hAnsi="Arial" w:cs="Arial"/>
          <w:snapToGrid w:val="0"/>
          <w:color w:val="000000"/>
          <w:sz w:val="22"/>
          <w:szCs w:val="22"/>
        </w:rPr>
        <w:t>管理人</w:t>
      </w:r>
      <w:r>
        <w:rPr>
          <w:rFonts w:ascii="Arial" w:hAnsi="Arial" w:cs="Arial"/>
          <w:snapToGrid w:val="0"/>
          <w:color w:val="000000"/>
          <w:sz w:val="22"/>
          <w:szCs w:val="22"/>
        </w:rPr>
        <w:t>按照先到先得原则受理投资者申请，如</w:t>
      </w:r>
      <w:r>
        <w:rPr>
          <w:rFonts w:hint="eastAsia" w:ascii="Arial" w:hAnsi="Arial" w:cs="Arial"/>
          <w:snapToGrid w:val="0"/>
          <w:color w:val="000000"/>
          <w:sz w:val="22"/>
          <w:szCs w:val="22"/>
        </w:rPr>
        <w:t>认/</w:t>
      </w:r>
      <w:r>
        <w:rPr>
          <w:rFonts w:ascii="Arial" w:hAnsi="Arial" w:cs="Arial"/>
          <w:snapToGrid w:val="0"/>
          <w:color w:val="000000"/>
          <w:sz w:val="22"/>
          <w:szCs w:val="22"/>
        </w:rPr>
        <w:t>申购或赎回</w:t>
      </w:r>
      <w:r>
        <w:rPr>
          <w:rFonts w:hint="eastAsia" w:ascii="Arial" w:hAnsi="Arial" w:cs="Arial"/>
          <w:snapToGrid w:val="0"/>
          <w:color w:val="000000"/>
          <w:sz w:val="22"/>
          <w:szCs w:val="22"/>
        </w:rPr>
        <w:t>申请</w:t>
      </w:r>
      <w:r>
        <w:rPr>
          <w:rFonts w:ascii="Arial" w:hAnsi="Arial" w:cs="Arial"/>
          <w:snapToGrid w:val="0"/>
          <w:color w:val="000000"/>
          <w:sz w:val="22"/>
          <w:szCs w:val="22"/>
        </w:rPr>
        <w:t>达到产品规模上限，或发生以下“7</w:t>
      </w:r>
      <w:r>
        <w:rPr>
          <w:rFonts w:hint="eastAsia" w:ascii="Arial" w:hAnsi="Arial" w:cs="Arial"/>
          <w:snapToGrid w:val="0"/>
          <w:color w:val="000000"/>
          <w:sz w:val="22"/>
          <w:szCs w:val="22"/>
        </w:rPr>
        <w:t>.</w:t>
      </w:r>
      <w:r>
        <w:rPr>
          <w:rFonts w:ascii="Arial" w:hAnsi="Arial" w:cs="Arial"/>
          <w:snapToGrid w:val="0"/>
          <w:color w:val="000000"/>
          <w:sz w:val="22"/>
          <w:szCs w:val="22"/>
        </w:rPr>
        <w:t>拒绝或暂停接受</w:t>
      </w:r>
      <w:r>
        <w:rPr>
          <w:rFonts w:hint="eastAsia" w:ascii="Arial" w:hAnsi="Arial" w:cs="Arial"/>
          <w:snapToGrid w:val="0"/>
          <w:color w:val="000000"/>
          <w:sz w:val="22"/>
          <w:szCs w:val="22"/>
        </w:rPr>
        <w:t>认购/</w:t>
      </w:r>
      <w:r>
        <w:rPr>
          <w:rFonts w:ascii="Arial" w:hAnsi="Arial" w:cs="Arial"/>
          <w:snapToGrid w:val="0"/>
          <w:color w:val="000000"/>
          <w:sz w:val="22"/>
          <w:szCs w:val="22"/>
        </w:rPr>
        <w:t>申购、赎回申请的情形及处理方式”</w:t>
      </w:r>
      <w:r>
        <w:rPr>
          <w:rFonts w:hint="eastAsia" w:ascii="Arial" w:hAnsi="Arial" w:cs="Arial"/>
          <w:snapToGrid w:val="0"/>
          <w:color w:val="000000"/>
          <w:sz w:val="22"/>
          <w:szCs w:val="22"/>
        </w:rPr>
        <w:t>或“</w:t>
      </w:r>
      <w:r>
        <w:rPr>
          <w:rFonts w:ascii="Arial" w:hAnsi="Arial" w:cs="Arial"/>
          <w:snapToGrid w:val="0"/>
          <w:color w:val="000000"/>
          <w:sz w:val="22"/>
          <w:szCs w:val="22"/>
        </w:rPr>
        <w:t>8</w:t>
      </w:r>
      <w:r>
        <w:rPr>
          <w:rFonts w:hint="eastAsia" w:ascii="Arial" w:hAnsi="Arial" w:cs="Arial"/>
          <w:snapToGrid w:val="0"/>
          <w:color w:val="000000"/>
          <w:sz w:val="22"/>
          <w:szCs w:val="22"/>
        </w:rPr>
        <w:t>.巨额</w:t>
      </w:r>
      <w:r>
        <w:rPr>
          <w:rFonts w:ascii="Arial" w:hAnsi="Arial" w:cs="Arial"/>
          <w:snapToGrid w:val="0"/>
          <w:color w:val="000000"/>
          <w:sz w:val="22"/>
          <w:szCs w:val="22"/>
        </w:rPr>
        <w:t>赎回的情形及处理方式</w:t>
      </w:r>
      <w:r>
        <w:rPr>
          <w:rFonts w:hint="eastAsia" w:ascii="Arial" w:hAnsi="Arial" w:cs="Arial"/>
          <w:snapToGrid w:val="0"/>
          <w:color w:val="000000"/>
          <w:sz w:val="22"/>
          <w:szCs w:val="22"/>
        </w:rPr>
        <w:t>”</w:t>
      </w:r>
      <w:r>
        <w:rPr>
          <w:rFonts w:ascii="Arial" w:hAnsi="Arial" w:cs="Arial"/>
          <w:snapToGrid w:val="0"/>
          <w:color w:val="000000"/>
          <w:sz w:val="22"/>
          <w:szCs w:val="22"/>
        </w:rPr>
        <w:t>时，</w:t>
      </w:r>
      <w:r>
        <w:rPr>
          <w:rFonts w:hint="eastAsia" w:ascii="Arial" w:hAnsi="Arial" w:cs="Arial"/>
          <w:snapToGrid w:val="0"/>
          <w:color w:val="000000"/>
          <w:sz w:val="22"/>
          <w:szCs w:val="22"/>
        </w:rPr>
        <w:t>管理人</w:t>
      </w:r>
      <w:r>
        <w:rPr>
          <w:rFonts w:ascii="Arial" w:hAnsi="Arial" w:cs="Arial"/>
          <w:snapToGrid w:val="0"/>
          <w:color w:val="000000"/>
          <w:sz w:val="22"/>
          <w:szCs w:val="22"/>
        </w:rPr>
        <w:t>有权拒绝投资者的申请。</w:t>
      </w:r>
    </w:p>
    <w:p>
      <w:pPr>
        <w:numPr>
          <w:ilvl w:val="0"/>
          <w:numId w:val="12"/>
        </w:numPr>
        <w:tabs>
          <w:tab w:val="left" w:pos="851"/>
        </w:tabs>
        <w:autoSpaceDE w:val="0"/>
        <w:autoSpaceDN w:val="0"/>
        <w:adjustRightInd w:val="0"/>
        <w:spacing w:line="360" w:lineRule="auto"/>
        <w:ind w:left="0" w:firstLine="442" w:firstLineChars="200"/>
        <w:rPr>
          <w:rFonts w:ascii="Arial" w:hAnsi="Arial" w:cs="Arial"/>
          <w:b/>
          <w:snapToGrid w:val="0"/>
          <w:color w:val="000000"/>
          <w:sz w:val="22"/>
          <w:szCs w:val="22"/>
        </w:rPr>
      </w:pPr>
      <w:r>
        <w:rPr>
          <w:rFonts w:hint="eastAsia" w:ascii="Arial" w:hAnsi="Arial" w:cs="Arial"/>
          <w:b/>
          <w:snapToGrid w:val="0"/>
          <w:color w:val="000000"/>
          <w:sz w:val="22"/>
          <w:szCs w:val="22"/>
        </w:rPr>
        <w:t>投资者通过销售服务机构认/申购或赎回理财产品的，还应按照销售服务机构对交易时间及交易申请的相关规定执行，但需于开放日当日受理的申购、赎回及撤单申请不得晚于</w:t>
      </w:r>
      <w:r>
        <w:rPr>
          <w:rFonts w:ascii="Arial" w:hAnsi="Arial" w:cs="Arial"/>
          <w:b/>
          <w:bCs/>
          <w:sz w:val="22"/>
          <w:szCs w:val="22"/>
        </w:rPr>
        <w:t>1</w:t>
      </w:r>
      <w:r>
        <w:rPr>
          <w:rFonts w:hint="eastAsia" w:ascii="Arial" w:hAnsi="Arial" w:cs="Arial"/>
          <w:b/>
          <w:bCs/>
          <w:sz w:val="22"/>
          <w:szCs w:val="22"/>
          <w:lang w:val="en-US" w:eastAsia="zh-CN"/>
        </w:rPr>
        <w:t>7</w:t>
      </w:r>
      <w:r>
        <w:rPr>
          <w:rFonts w:hint="eastAsia" w:ascii="Arial" w:hAnsi="Arial" w:cs="Arial"/>
          <w:b/>
          <w:bCs/>
          <w:sz w:val="22"/>
          <w:szCs w:val="22"/>
        </w:rPr>
        <w:t>：0</w:t>
      </w:r>
      <w:r>
        <w:rPr>
          <w:rFonts w:ascii="Arial" w:hAnsi="Arial" w:cs="Arial"/>
          <w:b/>
          <w:bCs/>
          <w:sz w:val="22"/>
          <w:szCs w:val="22"/>
        </w:rPr>
        <w:t>0</w:t>
      </w:r>
      <w:r>
        <w:rPr>
          <w:rFonts w:hint="eastAsia" w:ascii="Arial" w:hAnsi="Arial" w:cs="Arial"/>
          <w:b/>
          <w:snapToGrid w:val="0"/>
          <w:color w:val="000000"/>
          <w:sz w:val="22"/>
          <w:szCs w:val="22"/>
        </w:rPr>
        <w:t>。投资者通过不同销售服务机构办理申购、赎回业务的，可能会因不同销售服务机构的申购、赎回规则不同对权益产生影响。</w:t>
      </w:r>
    </w:p>
    <w:p>
      <w:pPr>
        <w:numPr>
          <w:ilvl w:val="1"/>
          <w:numId w:val="9"/>
        </w:numPr>
        <w:autoSpaceDE w:val="0"/>
        <w:autoSpaceDN w:val="0"/>
        <w:adjustRightInd w:val="0"/>
        <w:spacing w:line="360" w:lineRule="auto"/>
        <w:ind w:left="0" w:firstLine="442" w:firstLineChars="200"/>
        <w:rPr>
          <w:rFonts w:ascii="Arial" w:hAnsi="Arial" w:cs="Arial"/>
          <w:b/>
          <w:snapToGrid w:val="0"/>
          <w:color w:val="000000"/>
          <w:sz w:val="22"/>
          <w:szCs w:val="22"/>
        </w:rPr>
      </w:pPr>
      <w:r>
        <w:rPr>
          <w:rFonts w:ascii="Arial" w:hAnsi="Arial" w:cs="Arial"/>
          <w:b/>
          <w:snapToGrid w:val="0"/>
          <w:color w:val="000000"/>
          <w:sz w:val="22"/>
          <w:szCs w:val="22"/>
        </w:rPr>
        <w:t>申购、赎回</w:t>
      </w:r>
      <w:r>
        <w:rPr>
          <w:rFonts w:hint="eastAsia" w:ascii="Arial" w:hAnsi="Arial" w:cs="Arial"/>
          <w:b/>
          <w:snapToGrid w:val="0"/>
          <w:color w:val="000000"/>
          <w:sz w:val="22"/>
          <w:szCs w:val="22"/>
        </w:rPr>
        <w:t>申请</w:t>
      </w:r>
      <w:r>
        <w:rPr>
          <w:rFonts w:ascii="Arial" w:hAnsi="Arial" w:cs="Arial"/>
          <w:b/>
          <w:snapToGrid w:val="0"/>
          <w:color w:val="000000"/>
          <w:sz w:val="22"/>
          <w:szCs w:val="22"/>
        </w:rPr>
        <w:t>的确认和金额要求</w:t>
      </w:r>
    </w:p>
    <w:p>
      <w:pPr>
        <w:numPr>
          <w:ilvl w:val="0"/>
          <w:numId w:val="13"/>
        </w:numPr>
        <w:tabs>
          <w:tab w:val="left" w:pos="851"/>
        </w:tabs>
        <w:autoSpaceDE w:val="0"/>
        <w:autoSpaceDN w:val="0"/>
        <w:adjustRightInd w:val="0"/>
        <w:spacing w:line="360" w:lineRule="auto"/>
        <w:ind w:left="0" w:firstLine="440" w:firstLineChars="200"/>
        <w:rPr>
          <w:rFonts w:ascii="Arial" w:hAnsi="Arial" w:cs="Arial"/>
          <w:color w:val="000000"/>
          <w:sz w:val="22"/>
          <w:szCs w:val="22"/>
        </w:rPr>
      </w:pPr>
      <w:r>
        <w:rPr>
          <w:rFonts w:hint="eastAsia" w:ascii="Arial" w:hAnsi="Arial" w:cs="Arial"/>
          <w:color w:val="000000"/>
          <w:sz w:val="22"/>
          <w:szCs w:val="22"/>
        </w:rPr>
        <w:t>管理人</w:t>
      </w:r>
      <w:r>
        <w:rPr>
          <w:rFonts w:ascii="Arial" w:hAnsi="Arial" w:cs="Arial"/>
          <w:color w:val="000000"/>
          <w:sz w:val="22"/>
          <w:szCs w:val="22"/>
        </w:rPr>
        <w:t>在申购、赎回</w:t>
      </w:r>
      <w:r>
        <w:rPr>
          <w:rFonts w:hint="eastAsia" w:ascii="Arial" w:hAnsi="Arial" w:cs="Arial"/>
          <w:color w:val="000000"/>
          <w:sz w:val="22"/>
          <w:szCs w:val="22"/>
        </w:rPr>
        <w:t>份额</w:t>
      </w:r>
      <w:r>
        <w:rPr>
          <w:rFonts w:ascii="Arial" w:hAnsi="Arial" w:cs="Arial"/>
          <w:color w:val="000000"/>
          <w:sz w:val="22"/>
          <w:szCs w:val="22"/>
        </w:rPr>
        <w:t>确认日对投资者的申购、赎回申请的有效性进行确认，并登记或扣除份额。</w:t>
      </w:r>
    </w:p>
    <w:p>
      <w:pPr>
        <w:numPr>
          <w:ilvl w:val="0"/>
          <w:numId w:val="13"/>
        </w:numPr>
        <w:tabs>
          <w:tab w:val="left" w:pos="851"/>
        </w:tabs>
        <w:autoSpaceDE w:val="0"/>
        <w:autoSpaceDN w:val="0"/>
        <w:adjustRightInd w:val="0"/>
        <w:spacing w:line="360" w:lineRule="auto"/>
        <w:ind w:left="0" w:firstLine="440" w:firstLineChars="200"/>
        <w:rPr>
          <w:rFonts w:ascii="Arial" w:hAnsi="Arial" w:cs="Arial"/>
          <w:color w:val="000000"/>
          <w:sz w:val="22"/>
          <w:szCs w:val="22"/>
        </w:rPr>
      </w:pPr>
      <w:r>
        <w:rPr>
          <w:rFonts w:ascii="Arial" w:hAnsi="Arial" w:cs="Arial"/>
          <w:color w:val="000000"/>
          <w:sz w:val="22"/>
          <w:szCs w:val="22"/>
        </w:rPr>
        <w:t>投资者应在开放日之后及时到提出申请的网点或通过销售服务机构网站进行成交查询。</w:t>
      </w:r>
    </w:p>
    <w:p>
      <w:pPr>
        <w:numPr>
          <w:ilvl w:val="0"/>
          <w:numId w:val="13"/>
        </w:numPr>
        <w:tabs>
          <w:tab w:val="left" w:pos="851"/>
        </w:tabs>
        <w:autoSpaceDE w:val="0"/>
        <w:autoSpaceDN w:val="0"/>
        <w:adjustRightInd w:val="0"/>
        <w:spacing w:line="360" w:lineRule="auto"/>
        <w:ind w:left="0" w:firstLine="440" w:firstLineChars="200"/>
        <w:rPr>
          <w:rFonts w:ascii="Arial" w:hAnsi="Arial" w:cs="Arial"/>
          <w:color w:val="000000"/>
          <w:sz w:val="22"/>
          <w:szCs w:val="22"/>
        </w:rPr>
      </w:pPr>
      <w:r>
        <w:rPr>
          <w:rFonts w:ascii="Arial" w:hAnsi="Arial" w:cs="Arial"/>
          <w:color w:val="000000"/>
          <w:sz w:val="22"/>
          <w:szCs w:val="22"/>
        </w:rPr>
        <w:t>投资者参与申购的，</w:t>
      </w:r>
      <w:r>
        <w:rPr>
          <w:rFonts w:hint="eastAsia" w:ascii="Arial" w:hAnsi="Arial" w:cs="Arial"/>
          <w:color w:val="000000"/>
          <w:sz w:val="22"/>
          <w:szCs w:val="22"/>
        </w:rPr>
        <w:t>各类份额的申购起点以管理人公布的份额公告为准。管理人有权以公告形式调整上述规则。</w:t>
      </w:r>
    </w:p>
    <w:p>
      <w:pPr>
        <w:numPr>
          <w:ilvl w:val="0"/>
          <w:numId w:val="13"/>
        </w:numPr>
        <w:tabs>
          <w:tab w:val="left" w:pos="851"/>
        </w:tabs>
        <w:autoSpaceDE w:val="0"/>
        <w:autoSpaceDN w:val="0"/>
        <w:adjustRightInd w:val="0"/>
        <w:spacing w:line="360" w:lineRule="auto"/>
        <w:ind w:left="0" w:firstLine="440" w:firstLineChars="200"/>
        <w:rPr>
          <w:rFonts w:ascii="Arial" w:hAnsi="Arial" w:cs="Arial"/>
          <w:color w:val="000000"/>
          <w:sz w:val="22"/>
          <w:szCs w:val="22"/>
        </w:rPr>
      </w:pPr>
      <w:r>
        <w:rPr>
          <w:rFonts w:ascii="Arial" w:hAnsi="Arial" w:cs="Arial"/>
          <w:color w:val="000000"/>
          <w:sz w:val="22"/>
          <w:szCs w:val="22"/>
        </w:rPr>
        <w:t>单笔申购上限：</w:t>
      </w:r>
      <w:r>
        <w:rPr>
          <w:rFonts w:hint="eastAsia" w:ascii="Arial" w:hAnsi="Arial" w:cs="Arial"/>
          <w:color w:val="000000"/>
          <w:sz w:val="22"/>
          <w:szCs w:val="22"/>
        </w:rPr>
        <w:t>各类份额的单笔申购上限以管理人公布的份额公告为准。如发生超额申请，管理人有权根据实际情况决定拒绝或受理</w:t>
      </w:r>
      <w:r>
        <w:rPr>
          <w:rFonts w:ascii="Arial" w:hAnsi="Arial" w:cs="Arial"/>
          <w:color w:val="000000"/>
          <w:sz w:val="22"/>
          <w:szCs w:val="22"/>
        </w:rPr>
        <w:t>。管理人有权以公告形式调整单笔申购上限。对于</w:t>
      </w:r>
      <w:r>
        <w:rPr>
          <w:rFonts w:hint="eastAsia" w:ascii="Arial" w:hAnsi="Arial" w:cs="Arial"/>
          <w:color w:val="000000"/>
          <w:sz w:val="22"/>
          <w:szCs w:val="22"/>
        </w:rPr>
        <w:t>管理人</w:t>
      </w:r>
      <w:r>
        <w:rPr>
          <w:rFonts w:ascii="Arial" w:hAnsi="Arial" w:cs="Arial"/>
          <w:color w:val="000000"/>
          <w:sz w:val="22"/>
          <w:szCs w:val="22"/>
        </w:rPr>
        <w:t>决定拒绝的申购申请，视为申购不成功。</w:t>
      </w:r>
    </w:p>
    <w:p>
      <w:pPr>
        <w:numPr>
          <w:ilvl w:val="0"/>
          <w:numId w:val="13"/>
        </w:numPr>
        <w:tabs>
          <w:tab w:val="left" w:pos="851"/>
        </w:tabs>
        <w:autoSpaceDE w:val="0"/>
        <w:autoSpaceDN w:val="0"/>
        <w:adjustRightInd w:val="0"/>
        <w:spacing w:line="360" w:lineRule="auto"/>
        <w:ind w:left="0" w:firstLine="440" w:firstLineChars="200"/>
        <w:rPr>
          <w:rFonts w:ascii="Arial" w:hAnsi="Arial" w:cs="Arial"/>
          <w:color w:val="000000"/>
          <w:sz w:val="22"/>
          <w:szCs w:val="22"/>
        </w:rPr>
      </w:pPr>
      <w:r>
        <w:rPr>
          <w:rFonts w:hint="eastAsia" w:ascii="Arial" w:hAnsi="Arial" w:cs="Arial"/>
          <w:color w:val="000000"/>
          <w:sz w:val="22"/>
          <w:szCs w:val="22"/>
        </w:rPr>
        <w:t>单一投资者</w:t>
      </w:r>
      <w:r>
        <w:rPr>
          <w:rFonts w:ascii="Arial" w:hAnsi="Arial" w:cs="Arial"/>
          <w:color w:val="000000"/>
          <w:sz w:val="22"/>
          <w:szCs w:val="22"/>
        </w:rPr>
        <w:t>持有上限：</w:t>
      </w:r>
      <w:r>
        <w:rPr>
          <w:rFonts w:hint="eastAsia" w:ascii="Arial" w:hAnsi="Arial" w:cs="Arial"/>
          <w:color w:val="000000"/>
          <w:sz w:val="22"/>
          <w:szCs w:val="22"/>
        </w:rPr>
        <w:t>各类份额的单一投资者持有上限以管理人公布的份额公告为准（</w:t>
      </w:r>
      <w:r>
        <w:rPr>
          <w:rFonts w:ascii="Arial" w:hAnsi="Arial" w:cs="Arial"/>
          <w:color w:val="000000"/>
          <w:sz w:val="22"/>
          <w:szCs w:val="22"/>
        </w:rPr>
        <w:t>在产品运作过程中因收益分配、净值波动等被动超上限的情形除外</w:t>
      </w:r>
      <w:r>
        <w:rPr>
          <w:rFonts w:hint="eastAsia" w:ascii="Arial" w:hAnsi="Arial" w:cs="Arial"/>
          <w:color w:val="000000"/>
          <w:sz w:val="22"/>
          <w:szCs w:val="22"/>
        </w:rPr>
        <w:t>），</w:t>
      </w:r>
      <w:r>
        <w:rPr>
          <w:rFonts w:ascii="Arial" w:hAnsi="Arial" w:cs="Arial"/>
          <w:color w:val="000000"/>
          <w:sz w:val="22"/>
          <w:szCs w:val="22"/>
        </w:rPr>
        <w:t>管理人有权以公告形式调整单一投资者持有上限。</w:t>
      </w:r>
      <w:r>
        <w:rPr>
          <w:rFonts w:hint="eastAsia" w:ascii="Arial" w:hAnsi="Arial" w:cs="Arial"/>
          <w:color w:val="000000"/>
          <w:sz w:val="22"/>
          <w:szCs w:val="22"/>
        </w:rPr>
        <w:t>如发生超额申请，管理人有权根据实际情况决定拒绝或受理</w:t>
      </w:r>
      <w:r>
        <w:rPr>
          <w:rFonts w:ascii="Arial" w:hAnsi="Arial" w:cs="Arial"/>
          <w:color w:val="000000"/>
          <w:sz w:val="22"/>
          <w:szCs w:val="22"/>
        </w:rPr>
        <w:t>。</w:t>
      </w:r>
      <w:r>
        <w:rPr>
          <w:rFonts w:hint="eastAsia" w:ascii="Arial" w:hAnsi="Arial" w:cs="Arial"/>
          <w:color w:val="000000"/>
          <w:sz w:val="22"/>
          <w:szCs w:val="22"/>
        </w:rPr>
        <w:t>管理人不得接受单一投资者购买超过产品份额总数50%的申请（在产品运作过程中因份额赎回、收益结转等情形导致持有份额被动超过此规则的情形除外）。非因理财产品管理人主观因素导致突破前款规定比例限制的，在单一投资者持有比例降至50%以下之前，理财产品管理人不得再接受该投资者对该理财产品的申购申请。</w:t>
      </w:r>
    </w:p>
    <w:p>
      <w:pPr>
        <w:numPr>
          <w:ilvl w:val="0"/>
          <w:numId w:val="13"/>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投资者为已持有</w:t>
      </w:r>
      <w:r>
        <w:rPr>
          <w:rFonts w:hint="eastAsia" w:ascii="Arial" w:hAnsi="Arial" w:cs="Arial"/>
          <w:snapToGrid w:val="0"/>
          <w:color w:val="000000"/>
          <w:sz w:val="22"/>
          <w:szCs w:val="22"/>
        </w:rPr>
        <w:t>本</w:t>
      </w:r>
      <w:r>
        <w:rPr>
          <w:rFonts w:ascii="Arial" w:hAnsi="Arial" w:cs="Arial"/>
          <w:snapToGrid w:val="0"/>
          <w:color w:val="000000"/>
          <w:sz w:val="22"/>
          <w:szCs w:val="22"/>
        </w:rPr>
        <w:t>理财产品份额的，最低</w:t>
      </w:r>
      <w:r>
        <w:rPr>
          <w:rFonts w:hint="eastAsia" w:ascii="Arial" w:hAnsi="Arial" w:cs="Arial"/>
          <w:snapToGrid w:val="0"/>
          <w:color w:val="000000"/>
          <w:sz w:val="22"/>
          <w:szCs w:val="22"/>
        </w:rPr>
        <w:t>赎回</w:t>
      </w:r>
      <w:r>
        <w:rPr>
          <w:rFonts w:ascii="Arial" w:hAnsi="Arial" w:cs="Arial"/>
          <w:snapToGrid w:val="0"/>
          <w:color w:val="000000"/>
          <w:sz w:val="22"/>
          <w:szCs w:val="22"/>
        </w:rPr>
        <w:t>份额为0.01份</w:t>
      </w:r>
      <w:r>
        <w:rPr>
          <w:rFonts w:hint="eastAsia" w:ascii="Arial" w:hAnsi="Arial" w:cs="Arial"/>
          <w:snapToGrid w:val="0"/>
          <w:color w:val="000000"/>
          <w:sz w:val="22"/>
          <w:szCs w:val="22"/>
        </w:rPr>
        <w:t>，</w:t>
      </w:r>
      <w:r>
        <w:rPr>
          <w:rFonts w:ascii="Arial" w:hAnsi="Arial" w:cs="Arial"/>
          <w:snapToGrid w:val="0"/>
          <w:color w:val="000000"/>
          <w:sz w:val="22"/>
          <w:szCs w:val="22"/>
        </w:rPr>
        <w:t>最低申购金额为</w:t>
      </w:r>
      <w:r>
        <w:rPr>
          <w:rFonts w:hint="eastAsia" w:ascii="Arial" w:hAnsi="Arial" w:cs="Arial"/>
          <w:snapToGrid w:val="0"/>
          <w:color w:val="000000"/>
          <w:sz w:val="22"/>
          <w:szCs w:val="22"/>
        </w:rPr>
        <w:t>0.</w:t>
      </w:r>
      <w:r>
        <w:rPr>
          <w:rFonts w:ascii="Arial" w:hAnsi="Arial" w:cs="Arial"/>
          <w:snapToGrid w:val="0"/>
          <w:color w:val="000000"/>
          <w:sz w:val="22"/>
          <w:szCs w:val="22"/>
        </w:rPr>
        <w:t>01元人民币。</w:t>
      </w:r>
    </w:p>
    <w:p>
      <w:pPr>
        <w:numPr>
          <w:ilvl w:val="0"/>
          <w:numId w:val="13"/>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投资者可选择全额或部分赎回，部分赎回后投资者持有本理财产品的实时份额不得低于0.01份。</w:t>
      </w:r>
    </w:p>
    <w:p>
      <w:pPr>
        <w:numPr>
          <w:ilvl w:val="1"/>
          <w:numId w:val="9"/>
        </w:numPr>
        <w:autoSpaceDE w:val="0"/>
        <w:autoSpaceDN w:val="0"/>
        <w:adjustRightInd w:val="0"/>
        <w:spacing w:line="360" w:lineRule="auto"/>
        <w:ind w:left="0" w:firstLine="442" w:firstLineChars="200"/>
        <w:rPr>
          <w:rFonts w:ascii="Arial" w:hAnsi="Arial" w:cs="Arial"/>
          <w:b/>
          <w:snapToGrid w:val="0"/>
          <w:color w:val="000000"/>
          <w:sz w:val="22"/>
          <w:szCs w:val="22"/>
        </w:rPr>
      </w:pPr>
      <w:r>
        <w:rPr>
          <w:rFonts w:hint="eastAsia" w:ascii="Arial" w:hAnsi="Arial" w:cs="Arial"/>
          <w:b/>
          <w:snapToGrid w:val="0"/>
          <w:color w:val="000000"/>
          <w:sz w:val="22"/>
          <w:szCs w:val="22"/>
        </w:rPr>
        <w:t>申</w:t>
      </w:r>
      <w:r>
        <w:rPr>
          <w:rFonts w:ascii="Arial" w:hAnsi="Arial" w:cs="Arial"/>
          <w:b/>
          <w:snapToGrid w:val="0"/>
          <w:color w:val="000000"/>
          <w:sz w:val="22"/>
          <w:szCs w:val="22"/>
        </w:rPr>
        <w:t>购费</w:t>
      </w:r>
      <w:r>
        <w:rPr>
          <w:rFonts w:hint="eastAsia" w:ascii="Arial" w:hAnsi="Arial" w:cs="Arial"/>
          <w:b/>
          <w:snapToGrid w:val="0"/>
          <w:color w:val="000000"/>
          <w:sz w:val="22"/>
          <w:szCs w:val="22"/>
        </w:rPr>
        <w:t>、赎回费</w:t>
      </w:r>
      <w:r>
        <w:rPr>
          <w:rFonts w:ascii="Arial" w:hAnsi="Arial" w:cs="Arial"/>
          <w:b/>
          <w:snapToGrid w:val="0"/>
          <w:color w:val="000000"/>
          <w:sz w:val="22"/>
          <w:szCs w:val="22"/>
        </w:rPr>
        <w:t>：本理财产品</w:t>
      </w:r>
      <w:r>
        <w:rPr>
          <w:rFonts w:hint="eastAsia" w:ascii="Arial" w:hAnsi="Arial" w:cs="Arial"/>
          <w:b/>
          <w:snapToGrid w:val="0"/>
          <w:color w:val="000000"/>
          <w:sz w:val="22"/>
          <w:szCs w:val="22"/>
        </w:rPr>
        <w:t>不收取申购</w:t>
      </w:r>
      <w:r>
        <w:rPr>
          <w:rFonts w:ascii="Arial" w:hAnsi="Arial" w:cs="Arial"/>
          <w:b/>
          <w:snapToGrid w:val="0"/>
          <w:color w:val="000000"/>
          <w:sz w:val="22"/>
          <w:szCs w:val="22"/>
        </w:rPr>
        <w:t>费</w:t>
      </w:r>
      <w:r>
        <w:rPr>
          <w:rFonts w:hint="eastAsia" w:ascii="Arial" w:hAnsi="Arial" w:cs="Arial"/>
          <w:b/>
          <w:snapToGrid w:val="0"/>
          <w:color w:val="000000"/>
          <w:sz w:val="22"/>
          <w:szCs w:val="22"/>
        </w:rPr>
        <w:t>、赎回费。</w:t>
      </w:r>
    </w:p>
    <w:p>
      <w:pPr>
        <w:numPr>
          <w:ilvl w:val="1"/>
          <w:numId w:val="9"/>
        </w:numPr>
        <w:autoSpaceDE w:val="0"/>
        <w:autoSpaceDN w:val="0"/>
        <w:adjustRightInd w:val="0"/>
        <w:spacing w:line="360" w:lineRule="auto"/>
        <w:ind w:left="0" w:firstLine="442" w:firstLineChars="200"/>
        <w:rPr>
          <w:rFonts w:ascii="Arial" w:hAnsi="Arial" w:cs="Arial"/>
          <w:b/>
          <w:snapToGrid w:val="0"/>
          <w:color w:val="000000"/>
          <w:sz w:val="22"/>
          <w:szCs w:val="22"/>
        </w:rPr>
      </w:pPr>
      <w:r>
        <w:rPr>
          <w:rFonts w:ascii="Arial" w:hAnsi="Arial" w:cs="Arial"/>
          <w:b/>
          <w:snapToGrid w:val="0"/>
          <w:color w:val="000000"/>
          <w:sz w:val="22"/>
          <w:szCs w:val="22"/>
        </w:rPr>
        <w:t>申购份额、赎回金额、份额净值的计算</w:t>
      </w:r>
    </w:p>
    <w:p>
      <w:pPr>
        <w:numPr>
          <w:ilvl w:val="0"/>
          <w:numId w:val="14"/>
        </w:numPr>
        <w:spacing w:line="360" w:lineRule="auto"/>
        <w:ind w:left="0" w:firstLine="440" w:firstLineChars="200"/>
        <w:rPr>
          <w:rFonts w:ascii="Arial" w:hAnsi="Arial" w:cs="Arial"/>
          <w:color w:val="000000"/>
          <w:sz w:val="22"/>
          <w:szCs w:val="22"/>
        </w:rPr>
      </w:pPr>
      <w:r>
        <w:rPr>
          <w:rFonts w:hint="eastAsia" w:ascii="Arial" w:hAnsi="Arial" w:cs="Arial"/>
          <w:color w:val="000000"/>
          <w:sz w:val="22"/>
          <w:szCs w:val="22"/>
        </w:rPr>
        <w:t>理财</w:t>
      </w:r>
      <w:r>
        <w:rPr>
          <w:rFonts w:ascii="Arial" w:hAnsi="Arial" w:cs="Arial"/>
          <w:color w:val="000000"/>
          <w:sz w:val="22"/>
          <w:szCs w:val="22"/>
        </w:rPr>
        <w:t>产品申购份额的计算</w:t>
      </w:r>
    </w:p>
    <w:p>
      <w:pPr>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本理财产品采用“金额申购”方式，申购份额以开放日当天的该类理财产品份额净值为基准进行计算。申购份额的计算保留至小数点后2位，2位小数点后四舍五入。计算方法如下：</w:t>
      </w:r>
    </w:p>
    <w:p>
      <w:pPr>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某一类份额的申购份额=申购金额/开放日该类份额的份额净值</w:t>
      </w:r>
    </w:p>
    <w:p>
      <w:pPr>
        <w:numPr>
          <w:ilvl w:val="0"/>
          <w:numId w:val="14"/>
        </w:numPr>
        <w:spacing w:line="360" w:lineRule="auto"/>
        <w:ind w:left="0" w:firstLine="440" w:firstLineChars="200"/>
        <w:rPr>
          <w:rFonts w:ascii="Arial" w:hAnsi="Arial" w:cs="Arial"/>
          <w:color w:val="000000"/>
          <w:sz w:val="22"/>
          <w:szCs w:val="22"/>
        </w:rPr>
      </w:pPr>
      <w:r>
        <w:rPr>
          <w:rFonts w:ascii="Arial" w:hAnsi="Arial" w:cs="Arial"/>
          <w:color w:val="000000"/>
          <w:sz w:val="22"/>
          <w:szCs w:val="22"/>
        </w:rPr>
        <w:t>理财产品赎回金额的计算</w:t>
      </w:r>
    </w:p>
    <w:p>
      <w:pPr>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本理财产品</w:t>
      </w:r>
      <w:r>
        <w:rPr>
          <w:rFonts w:ascii="Arial" w:hAnsi="Arial" w:cs="Arial"/>
          <w:snapToGrid w:val="0"/>
          <w:color w:val="000000"/>
          <w:sz w:val="22"/>
          <w:szCs w:val="22"/>
        </w:rPr>
        <w:t>采用“份额赎回”方式，</w:t>
      </w:r>
      <w:r>
        <w:rPr>
          <w:rFonts w:hint="eastAsia" w:ascii="Arial" w:hAnsi="Arial" w:cs="Arial"/>
          <w:snapToGrid w:val="0"/>
          <w:color w:val="000000"/>
          <w:sz w:val="22"/>
          <w:szCs w:val="22"/>
        </w:rPr>
        <w:t>某一类份额的</w:t>
      </w:r>
      <w:r>
        <w:rPr>
          <w:rFonts w:ascii="Arial" w:hAnsi="Arial" w:cs="Arial"/>
          <w:snapToGrid w:val="0"/>
          <w:color w:val="000000"/>
          <w:sz w:val="22"/>
          <w:szCs w:val="22"/>
        </w:rPr>
        <w:t>赎回金额以</w:t>
      </w:r>
      <w:r>
        <w:rPr>
          <w:rFonts w:ascii="Arial" w:hAnsi="Arial" w:cs="Arial"/>
          <w:color w:val="000000"/>
          <w:sz w:val="22"/>
          <w:szCs w:val="22"/>
        </w:rPr>
        <w:t>开放日当天的</w:t>
      </w:r>
      <w:r>
        <w:rPr>
          <w:rFonts w:hint="eastAsia" w:ascii="Arial" w:hAnsi="Arial" w:cs="Arial"/>
          <w:color w:val="000000"/>
          <w:sz w:val="22"/>
          <w:szCs w:val="22"/>
        </w:rPr>
        <w:t>该类</w:t>
      </w:r>
      <w:r>
        <w:rPr>
          <w:rFonts w:ascii="Arial" w:hAnsi="Arial" w:cs="Arial"/>
          <w:snapToGrid w:val="0"/>
          <w:color w:val="000000"/>
          <w:sz w:val="22"/>
          <w:szCs w:val="22"/>
        </w:rPr>
        <w:t>理财产品份额净值为基准进行计算</w:t>
      </w:r>
      <w:r>
        <w:rPr>
          <w:rFonts w:hint="eastAsia" w:ascii="Arial" w:hAnsi="Arial" w:cs="Arial"/>
          <w:snapToGrid w:val="0"/>
          <w:color w:val="000000"/>
          <w:sz w:val="22"/>
          <w:szCs w:val="22"/>
        </w:rPr>
        <w:t>。</w:t>
      </w:r>
      <w:r>
        <w:rPr>
          <w:rFonts w:ascii="Arial" w:hAnsi="Arial" w:cs="Arial"/>
          <w:snapToGrid w:val="0"/>
          <w:color w:val="000000"/>
          <w:sz w:val="22"/>
          <w:szCs w:val="22"/>
        </w:rPr>
        <w:t>赎回金额</w:t>
      </w:r>
      <w:r>
        <w:rPr>
          <w:rFonts w:hint="eastAsia" w:ascii="Arial" w:hAnsi="Arial" w:cs="Arial"/>
          <w:snapToGrid w:val="0"/>
          <w:color w:val="000000"/>
          <w:sz w:val="22"/>
          <w:szCs w:val="22"/>
        </w:rPr>
        <w:t>的计算</w:t>
      </w:r>
      <w:r>
        <w:rPr>
          <w:rFonts w:ascii="Arial" w:hAnsi="Arial" w:cs="Arial"/>
          <w:snapToGrid w:val="0"/>
          <w:color w:val="000000"/>
          <w:sz w:val="22"/>
          <w:szCs w:val="22"/>
        </w:rPr>
        <w:t>保留</w:t>
      </w:r>
      <w:r>
        <w:rPr>
          <w:rFonts w:hint="eastAsia" w:ascii="Arial" w:hAnsi="Arial" w:cs="Arial"/>
          <w:snapToGrid w:val="0"/>
          <w:color w:val="000000"/>
          <w:sz w:val="22"/>
          <w:szCs w:val="22"/>
        </w:rPr>
        <w:t>至小数点后2位</w:t>
      </w:r>
      <w:r>
        <w:rPr>
          <w:rFonts w:ascii="Arial" w:hAnsi="Arial" w:cs="Arial"/>
          <w:snapToGrid w:val="0"/>
          <w:color w:val="000000"/>
          <w:sz w:val="22"/>
          <w:szCs w:val="22"/>
        </w:rPr>
        <w:t>，2位小数点后四舍五入</w:t>
      </w:r>
      <w:r>
        <w:rPr>
          <w:rFonts w:hint="eastAsia" w:ascii="Arial" w:hAnsi="Arial" w:cs="Arial"/>
          <w:snapToGrid w:val="0"/>
          <w:color w:val="000000"/>
          <w:sz w:val="22"/>
          <w:szCs w:val="22"/>
        </w:rPr>
        <w:t>。</w:t>
      </w:r>
      <w:r>
        <w:rPr>
          <w:rFonts w:ascii="Arial" w:hAnsi="Arial" w:cs="Arial"/>
          <w:color w:val="000000"/>
          <w:sz w:val="22"/>
          <w:szCs w:val="22"/>
        </w:rPr>
        <w:t>计算公式如下：</w:t>
      </w:r>
    </w:p>
    <w:p>
      <w:pPr>
        <w:autoSpaceDE w:val="0"/>
        <w:autoSpaceDN w:val="0"/>
        <w:adjustRightInd w:val="0"/>
        <w:spacing w:line="360" w:lineRule="auto"/>
        <w:ind w:firstLine="440" w:firstLineChars="200"/>
        <w:rPr>
          <w:rFonts w:ascii="Arial" w:hAnsi="Arial" w:cs="Arial"/>
          <w:snapToGrid w:val="0"/>
          <w:color w:val="000000"/>
          <w:sz w:val="22"/>
          <w:szCs w:val="22"/>
        </w:rPr>
      </w:pPr>
      <w:r>
        <w:rPr>
          <w:rFonts w:hint="eastAsia" w:ascii="Arial" w:hAnsi="Arial" w:cs="Arial"/>
          <w:color w:val="000000"/>
          <w:sz w:val="22"/>
          <w:szCs w:val="22"/>
        </w:rPr>
        <w:t>某一类份额的</w:t>
      </w:r>
      <w:r>
        <w:rPr>
          <w:rFonts w:ascii="Arial" w:hAnsi="Arial" w:cs="Arial"/>
          <w:color w:val="000000"/>
          <w:sz w:val="22"/>
          <w:szCs w:val="22"/>
        </w:rPr>
        <w:t>赎回金额＝赎回份数×开放日</w:t>
      </w:r>
      <w:r>
        <w:rPr>
          <w:rFonts w:hint="eastAsia" w:ascii="Arial" w:hAnsi="Arial" w:cs="Arial"/>
          <w:color w:val="000000"/>
          <w:sz w:val="22"/>
          <w:szCs w:val="22"/>
        </w:rPr>
        <w:t>该类份额的</w:t>
      </w:r>
      <w:r>
        <w:rPr>
          <w:rFonts w:ascii="Arial" w:hAnsi="Arial" w:cs="Arial"/>
          <w:color w:val="000000"/>
          <w:sz w:val="22"/>
          <w:szCs w:val="22"/>
        </w:rPr>
        <w:t>份额净值</w:t>
      </w:r>
      <w:r>
        <w:rPr>
          <w:rFonts w:hint="eastAsia" w:ascii="Arial" w:hAnsi="Arial" w:cs="Arial"/>
          <w:color w:val="000000"/>
          <w:sz w:val="22"/>
          <w:szCs w:val="22"/>
        </w:rPr>
        <w:t>-浮动管理费（如有）</w:t>
      </w:r>
    </w:p>
    <w:p>
      <w:pPr>
        <w:numPr>
          <w:ilvl w:val="0"/>
          <w:numId w:val="14"/>
        </w:numPr>
        <w:spacing w:line="360" w:lineRule="auto"/>
        <w:ind w:left="0" w:firstLine="440" w:firstLineChars="200"/>
        <w:rPr>
          <w:rFonts w:ascii="Arial" w:hAnsi="Arial" w:cs="Arial"/>
          <w:color w:val="000000"/>
          <w:sz w:val="22"/>
          <w:szCs w:val="22"/>
        </w:rPr>
      </w:pPr>
      <w:r>
        <w:rPr>
          <w:rFonts w:ascii="Arial" w:hAnsi="Arial" w:cs="Arial"/>
          <w:color w:val="000000"/>
          <w:sz w:val="22"/>
          <w:szCs w:val="22"/>
        </w:rPr>
        <w:t>理财产品份额净值的计算</w:t>
      </w:r>
    </w:p>
    <w:p>
      <w:pPr>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本理财产品某一类份额的份额净值</w:t>
      </w:r>
      <w:r>
        <w:rPr>
          <w:rFonts w:ascii="Arial" w:hAnsi="Arial" w:cs="Arial"/>
          <w:color w:val="000000"/>
          <w:sz w:val="22"/>
          <w:szCs w:val="22"/>
        </w:rPr>
        <w:t>=</w:t>
      </w:r>
      <w:r>
        <w:rPr>
          <w:rFonts w:hint="eastAsia" w:ascii="Arial" w:hAnsi="Arial" w:cs="Arial"/>
          <w:color w:val="000000"/>
          <w:sz w:val="22"/>
          <w:szCs w:val="22"/>
        </w:rPr>
        <w:t>本理财产品该类份额总资产净值÷本理财产品该类份额数</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本理财产品份额净值的计算，按四舍五入法保留到小数点后</w:t>
      </w:r>
      <w:r>
        <w:rPr>
          <w:rFonts w:ascii="Arial" w:hAnsi="Arial" w:cs="Arial"/>
          <w:color w:val="000000"/>
          <w:sz w:val="22"/>
          <w:szCs w:val="22"/>
        </w:rPr>
        <w:t>4</w:t>
      </w:r>
      <w:r>
        <w:rPr>
          <w:rFonts w:hint="eastAsia" w:ascii="Arial" w:hAnsi="Arial" w:cs="Arial"/>
          <w:color w:val="000000"/>
          <w:sz w:val="22"/>
          <w:szCs w:val="22"/>
        </w:rPr>
        <w:t>位，由此误差产生的收益或损失由本理财产品财产承担。为保护理财份额持有人利益或理财产品运作管理需要，管理人有权调整或临时调整份额净值保留位数，如对产品份额净值保留位数进行调整，管理人将以公告形式公布调整事宜。</w:t>
      </w:r>
    </w:p>
    <w:p>
      <w:pPr>
        <w:numPr>
          <w:ilvl w:val="1"/>
          <w:numId w:val="9"/>
        </w:numPr>
        <w:autoSpaceDE w:val="0"/>
        <w:autoSpaceDN w:val="0"/>
        <w:adjustRightInd w:val="0"/>
        <w:spacing w:line="360" w:lineRule="auto"/>
        <w:ind w:left="0" w:firstLine="442" w:firstLineChars="200"/>
        <w:rPr>
          <w:rFonts w:ascii="Arial" w:hAnsi="Arial" w:cs="Arial"/>
          <w:b/>
          <w:snapToGrid w:val="0"/>
          <w:color w:val="000000"/>
          <w:sz w:val="22"/>
          <w:szCs w:val="22"/>
        </w:rPr>
      </w:pPr>
      <w:r>
        <w:rPr>
          <w:rFonts w:ascii="Arial" w:hAnsi="Arial" w:cs="Arial"/>
          <w:b/>
          <w:snapToGrid w:val="0"/>
          <w:color w:val="000000"/>
          <w:sz w:val="22"/>
          <w:szCs w:val="22"/>
        </w:rPr>
        <w:t>拒绝或暂停接受</w:t>
      </w:r>
      <w:r>
        <w:rPr>
          <w:rFonts w:hint="eastAsia" w:ascii="Arial" w:hAnsi="Arial" w:cs="Arial"/>
          <w:b/>
          <w:snapToGrid w:val="0"/>
          <w:color w:val="000000"/>
          <w:sz w:val="22"/>
          <w:szCs w:val="22"/>
        </w:rPr>
        <w:t>认购/</w:t>
      </w:r>
      <w:r>
        <w:rPr>
          <w:rFonts w:ascii="Arial" w:hAnsi="Arial" w:cs="Arial"/>
          <w:b/>
          <w:snapToGrid w:val="0"/>
          <w:color w:val="000000"/>
          <w:sz w:val="22"/>
          <w:szCs w:val="22"/>
        </w:rPr>
        <w:t>申购、赎回申请的情形及处理方式</w:t>
      </w:r>
    </w:p>
    <w:p>
      <w:pPr>
        <w:tabs>
          <w:tab w:val="left" w:pos="426"/>
        </w:tabs>
        <w:spacing w:line="360" w:lineRule="auto"/>
        <w:ind w:firstLine="440" w:firstLineChars="200"/>
        <w:rPr>
          <w:rFonts w:ascii="Arial" w:hAnsi="Arial" w:cs="Arial"/>
          <w:color w:val="000000"/>
          <w:sz w:val="22"/>
          <w:szCs w:val="22"/>
        </w:rPr>
      </w:pPr>
      <w:r>
        <w:rPr>
          <w:rFonts w:ascii="Arial" w:hAnsi="Arial" w:cs="Arial"/>
          <w:color w:val="000000"/>
          <w:sz w:val="22"/>
          <w:szCs w:val="22"/>
        </w:rPr>
        <w:t>发生下列情形时，管理人有权拒绝或暂停接受投资者的申购、赎回申请</w:t>
      </w:r>
      <w:r>
        <w:rPr>
          <w:rFonts w:hint="eastAsia" w:ascii="Arial" w:hAnsi="Arial" w:cs="Arial"/>
          <w:color w:val="000000"/>
          <w:sz w:val="22"/>
          <w:szCs w:val="22"/>
        </w:rPr>
        <w:t>或延缓支付赎回款项</w:t>
      </w:r>
      <w:r>
        <w:rPr>
          <w:rFonts w:ascii="Arial" w:hAnsi="Arial" w:cs="Arial"/>
          <w:color w:val="000000"/>
          <w:sz w:val="22"/>
          <w:szCs w:val="22"/>
        </w:rPr>
        <w:t>：</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ascii="Arial" w:hAnsi="Arial" w:cs="Arial"/>
          <w:color w:val="000000" w:themeColor="text1"/>
          <w:spacing w:val="4"/>
          <w:sz w:val="22"/>
          <w:szCs w:val="22"/>
          <w14:textFill>
            <w14:solidFill>
              <w14:schemeClr w14:val="tx1"/>
            </w14:solidFill>
          </w14:textFill>
        </w:rPr>
        <w:t>1</w:t>
      </w:r>
      <w:r>
        <w:rPr>
          <w:rFonts w:hint="eastAsia" w:ascii="Arial" w:hAnsi="Arial" w:cs="Arial"/>
          <w:color w:val="000000" w:themeColor="text1"/>
          <w:spacing w:val="4"/>
          <w:sz w:val="22"/>
          <w:szCs w:val="22"/>
          <w14:textFill>
            <w14:solidFill>
              <w14:schemeClr w14:val="tx1"/>
            </w14:solidFill>
          </w14:textFill>
        </w:rPr>
        <w:t>）因战争、自然灾害等不可抗力导致本理财产品无法正常运作。</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ascii="Arial" w:hAnsi="Arial" w:cs="Arial"/>
          <w:color w:val="000000" w:themeColor="text1"/>
          <w:spacing w:val="4"/>
          <w:sz w:val="22"/>
          <w:szCs w:val="22"/>
          <w14:textFill>
            <w14:solidFill>
              <w14:schemeClr w14:val="tx1"/>
            </w14:solidFill>
          </w14:textFill>
        </w:rPr>
        <w:t>2</w:t>
      </w:r>
      <w:r>
        <w:rPr>
          <w:rFonts w:hint="eastAsia" w:ascii="Arial" w:hAnsi="Arial" w:cs="Arial"/>
          <w:color w:val="000000" w:themeColor="text1"/>
          <w:spacing w:val="4"/>
          <w:sz w:val="22"/>
          <w:szCs w:val="22"/>
          <w14:textFill>
            <w14:solidFill>
              <w14:schemeClr w14:val="tx1"/>
            </w14:solidFill>
          </w14:textFill>
        </w:rPr>
        <w:t>）</w:t>
      </w:r>
      <w:r>
        <w:rPr>
          <w:rFonts w:hint="eastAsia" w:ascii="Arial" w:hAnsi="Arial" w:cs="Arial"/>
          <w:color w:val="000000" w:themeColor="text1"/>
          <w:spacing w:val="4"/>
          <w:sz w:val="22"/>
          <w:szCs w:val="22"/>
          <w14:textFill>
            <w14:solidFill>
              <w14:schemeClr w14:val="tx1"/>
            </w14:solidFill>
          </w14:textFill>
        </w:rPr>
        <w:tab/>
      </w:r>
      <w:r>
        <w:rPr>
          <w:rFonts w:hint="eastAsia" w:ascii="Arial" w:hAnsi="Arial" w:cs="Arial"/>
          <w:color w:val="000000" w:themeColor="text1"/>
          <w:spacing w:val="4"/>
          <w:sz w:val="22"/>
          <w:szCs w:val="22"/>
          <w14:textFill>
            <w14:solidFill>
              <w14:schemeClr w14:val="tx1"/>
            </w14:solidFill>
          </w14:textFill>
        </w:rPr>
        <w:t>银行间市场交易所或证券交易所交易时间非正常停市，导致管理人无法计算当日本理财产品资产净值。</w:t>
      </w:r>
    </w:p>
    <w:p>
      <w:pPr>
        <w:tabs>
          <w:tab w:val="left" w:pos="426"/>
        </w:tabs>
        <w:spacing w:line="360" w:lineRule="auto"/>
        <w:ind w:firstLine="440" w:firstLineChars="200"/>
        <w:rPr>
          <w:rFonts w:ascii="Arial" w:hAnsi="Arial" w:cs="Arial"/>
          <w:color w:val="000000"/>
          <w:sz w:val="22"/>
          <w:szCs w:val="22"/>
        </w:rPr>
      </w:pPr>
      <w:r>
        <w:rPr>
          <w:rFonts w:ascii="Arial" w:hAnsi="Arial" w:cs="Arial"/>
          <w:color w:val="000000"/>
          <w:sz w:val="22"/>
          <w:szCs w:val="22"/>
        </w:rPr>
        <w:t>3</w:t>
      </w:r>
      <w:r>
        <w:rPr>
          <w:rFonts w:hint="eastAsia" w:ascii="Arial" w:hAnsi="Arial" w:cs="Arial"/>
          <w:color w:val="000000"/>
          <w:sz w:val="22"/>
          <w:szCs w:val="22"/>
        </w:rPr>
        <w:t>）</w:t>
      </w:r>
      <w:r>
        <w:rPr>
          <w:rFonts w:ascii="Arial" w:hAnsi="Arial" w:cs="Arial"/>
          <w:color w:val="000000"/>
          <w:sz w:val="22"/>
          <w:szCs w:val="22"/>
        </w:rPr>
        <w:t xml:space="preserve"> </w:t>
      </w:r>
      <w:r>
        <w:rPr>
          <w:rFonts w:hint="eastAsia" w:ascii="Arial" w:hAnsi="Arial" w:cs="Arial"/>
          <w:color w:val="000000"/>
          <w:sz w:val="22"/>
          <w:szCs w:val="22"/>
        </w:rPr>
        <w:t>本理财产品投资的主要证券、期货交易市场或外汇市场休市或处于公众节假日，可能影响本理财产品正常估值时。</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ascii="Arial" w:hAnsi="Arial" w:cs="Arial"/>
          <w:color w:val="000000" w:themeColor="text1"/>
          <w:spacing w:val="4"/>
          <w:sz w:val="22"/>
          <w:szCs w:val="22"/>
          <w14:textFill>
            <w14:solidFill>
              <w14:schemeClr w14:val="tx1"/>
            </w14:solidFill>
          </w14:textFill>
        </w:rPr>
        <w:t>4</w:t>
      </w:r>
      <w:r>
        <w:rPr>
          <w:rFonts w:hint="eastAsia" w:ascii="Arial" w:hAnsi="Arial" w:cs="Arial"/>
          <w:color w:val="000000" w:themeColor="text1"/>
          <w:spacing w:val="4"/>
          <w:sz w:val="22"/>
          <w:szCs w:val="22"/>
          <w14:textFill>
            <w14:solidFill>
              <w14:schemeClr w14:val="tx1"/>
            </w14:solidFill>
          </w14:textFill>
        </w:rPr>
        <w:t>）发生本理财产品说明书约定的暂停估值的情形时。</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ascii="Arial" w:hAnsi="Arial" w:cs="Arial"/>
          <w:color w:val="000000" w:themeColor="text1"/>
          <w:spacing w:val="4"/>
          <w:sz w:val="22"/>
          <w:szCs w:val="22"/>
          <w14:textFill>
            <w14:solidFill>
              <w14:schemeClr w14:val="tx1"/>
            </w14:solidFill>
          </w14:textFill>
        </w:rPr>
        <w:t>5</w:t>
      </w:r>
      <w:r>
        <w:rPr>
          <w:rFonts w:hint="eastAsia" w:ascii="Arial" w:hAnsi="Arial" w:cs="Arial"/>
          <w:color w:val="000000" w:themeColor="text1"/>
          <w:spacing w:val="4"/>
          <w:sz w:val="22"/>
          <w:szCs w:val="22"/>
          <w14:textFill>
            <w14:solidFill>
              <w14:schemeClr w14:val="tx1"/>
            </w14:solidFill>
          </w14:textFill>
        </w:rPr>
        <w:t>） 投资者申购超过本产品说明书约定的发行规模上限、单笔认/申购上限、单一投资者持有上限等。</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ascii="Arial" w:hAnsi="Arial" w:cs="Arial"/>
          <w:color w:val="000000" w:themeColor="text1"/>
          <w:spacing w:val="4"/>
          <w:sz w:val="22"/>
          <w:szCs w:val="22"/>
          <w14:textFill>
            <w14:solidFill>
              <w14:schemeClr w14:val="tx1"/>
            </w14:solidFill>
          </w14:textFill>
        </w:rPr>
        <w:t>6</w:t>
      </w:r>
      <w:r>
        <w:rPr>
          <w:rFonts w:hint="eastAsia" w:ascii="Arial" w:hAnsi="Arial" w:cs="Arial"/>
          <w:color w:val="000000" w:themeColor="text1"/>
          <w:spacing w:val="4"/>
          <w:sz w:val="22"/>
          <w:szCs w:val="22"/>
          <w14:textFill>
            <w14:solidFill>
              <w14:schemeClr w14:val="tx1"/>
            </w14:solidFill>
          </w14:textFill>
        </w:rPr>
        <w:t>）</w:t>
      </w:r>
      <w:r>
        <w:rPr>
          <w:rFonts w:hint="eastAsia" w:ascii="Arial" w:hAnsi="Arial" w:cs="Arial"/>
          <w:color w:val="000000" w:themeColor="text1"/>
          <w:spacing w:val="4"/>
          <w:sz w:val="22"/>
          <w:szCs w:val="22"/>
          <w14:textFill>
            <w14:solidFill>
              <w14:schemeClr w14:val="tx1"/>
            </w14:solidFill>
          </w14:textFill>
        </w:rPr>
        <w:tab/>
      </w:r>
      <w:r>
        <w:rPr>
          <w:rFonts w:hint="eastAsia" w:ascii="Arial" w:hAnsi="Arial" w:cs="Arial"/>
          <w:color w:val="000000" w:themeColor="text1"/>
          <w:spacing w:val="4"/>
          <w:sz w:val="22"/>
          <w:szCs w:val="22"/>
          <w14:textFill>
            <w14:solidFill>
              <w14:schemeClr w14:val="tx1"/>
            </w14:solidFill>
          </w14:textFill>
        </w:rPr>
        <w:t>理财产品管理人接受某笔或者某些申购申请有可能导致单一投资者持有理财产品份额的比例达到或者超过50%，或者变相规避50%集中度的情形。</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hint="eastAsia" w:ascii="Arial" w:hAnsi="Arial" w:cs="Arial"/>
          <w:color w:val="000000" w:themeColor="text1"/>
          <w:spacing w:val="4"/>
          <w:sz w:val="22"/>
          <w:szCs w:val="22"/>
          <w14:textFill>
            <w14:solidFill>
              <w14:schemeClr w14:val="tx1"/>
            </w14:solidFill>
          </w14:textFill>
        </w:rPr>
        <w:t>7）当本理财产品规模过大，管理人无法找到合适的投资品种，或存在其他可能对本理财产品投资业绩产生负面影响的情形时。</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ascii="Arial" w:hAnsi="Arial" w:cs="Arial"/>
          <w:color w:val="000000" w:themeColor="text1"/>
          <w:spacing w:val="4"/>
          <w:sz w:val="22"/>
          <w:szCs w:val="22"/>
          <w14:textFill>
            <w14:solidFill>
              <w14:schemeClr w14:val="tx1"/>
            </w14:solidFill>
          </w14:textFill>
        </w:rPr>
        <w:t>8</w:t>
      </w:r>
      <w:r>
        <w:rPr>
          <w:rFonts w:hint="eastAsia" w:ascii="Arial" w:hAnsi="Arial" w:cs="Arial"/>
          <w:color w:val="000000" w:themeColor="text1"/>
          <w:spacing w:val="4"/>
          <w:sz w:val="22"/>
          <w:szCs w:val="22"/>
          <w14:textFill>
            <w14:solidFill>
              <w14:schemeClr w14:val="tx1"/>
            </w14:solidFill>
          </w14:textFill>
        </w:rPr>
        <w:t>）发生继续接受赎回申请将损害本理财产品现有投资者利益的情形。</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ascii="Arial" w:hAnsi="Arial" w:cs="Arial"/>
          <w:color w:val="000000" w:themeColor="text1"/>
          <w:spacing w:val="4"/>
          <w:sz w:val="22"/>
          <w:szCs w:val="22"/>
          <w14:textFill>
            <w14:solidFill>
              <w14:schemeClr w14:val="tx1"/>
            </w14:solidFill>
          </w14:textFill>
        </w:rPr>
        <w:t>9</w:t>
      </w:r>
      <w:r>
        <w:rPr>
          <w:rFonts w:hint="eastAsia" w:ascii="Arial" w:hAnsi="Arial" w:cs="Arial"/>
          <w:color w:val="000000" w:themeColor="text1"/>
          <w:spacing w:val="4"/>
          <w:sz w:val="22"/>
          <w:szCs w:val="22"/>
          <w14:textFill>
            <w14:solidFill>
              <w14:schemeClr w14:val="tx1"/>
            </w14:solidFill>
          </w14:textFill>
        </w:rPr>
        <w:t>）发生本理财产品说明书约定的巨额赎回情况。</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ascii="Arial" w:hAnsi="Arial" w:cs="Arial"/>
          <w:color w:val="000000" w:themeColor="text1"/>
          <w:spacing w:val="4"/>
          <w:sz w:val="22"/>
          <w:szCs w:val="22"/>
          <w14:textFill>
            <w14:solidFill>
              <w14:schemeClr w14:val="tx1"/>
            </w14:solidFill>
          </w14:textFill>
        </w:rPr>
        <w:t>10</w:t>
      </w:r>
      <w:r>
        <w:rPr>
          <w:rFonts w:hint="eastAsia" w:ascii="Arial" w:hAnsi="Arial" w:cs="Arial"/>
          <w:color w:val="000000" w:themeColor="text1"/>
          <w:spacing w:val="4"/>
          <w:sz w:val="22"/>
          <w:szCs w:val="22"/>
          <w14:textFill>
            <w14:solidFill>
              <w14:schemeClr w14:val="tx1"/>
            </w14:solidFill>
          </w14:textFill>
        </w:rPr>
        <w:t>）法律法规规定或国家金融监督管理总局等监管机构认定的其他情形。</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hint="eastAsia" w:ascii="Arial" w:hAnsi="Arial" w:cs="Arial"/>
          <w:color w:val="000000" w:themeColor="text1"/>
          <w:spacing w:val="4"/>
          <w:sz w:val="22"/>
          <w:szCs w:val="22"/>
          <w14:textFill>
            <w14:solidFill>
              <w14:schemeClr w14:val="tx1"/>
            </w14:solidFill>
          </w14:textFill>
        </w:rPr>
        <w:t>发生上述暂停接受</w:t>
      </w:r>
      <w:r>
        <w:rPr>
          <w:rFonts w:hint="eastAsia" w:ascii="Arial" w:hAnsi="Arial" w:cs="Arial"/>
          <w:color w:val="000000"/>
          <w:sz w:val="22"/>
          <w:szCs w:val="22"/>
        </w:rPr>
        <w:t>认购/</w:t>
      </w:r>
      <w:r>
        <w:rPr>
          <w:rFonts w:hint="eastAsia" w:ascii="Arial" w:hAnsi="Arial" w:cs="Arial"/>
          <w:color w:val="000000" w:themeColor="text1"/>
          <w:spacing w:val="4"/>
          <w:sz w:val="22"/>
          <w:szCs w:val="22"/>
          <w14:textFill>
            <w14:solidFill>
              <w14:schemeClr w14:val="tx1"/>
            </w14:solidFill>
          </w14:textFill>
        </w:rPr>
        <w:t>申购、赎回申请，或延缓支付赎回款项的情形时，管理人应于3个交易日内按照产品说明书约定的信息披露方式进行公告，并说明原因及应对安排。如果投资者的</w:t>
      </w:r>
      <w:r>
        <w:rPr>
          <w:rFonts w:hint="eastAsia" w:ascii="Arial" w:hAnsi="Arial" w:cs="Arial"/>
          <w:color w:val="000000"/>
          <w:sz w:val="22"/>
          <w:szCs w:val="22"/>
        </w:rPr>
        <w:t>认购/</w:t>
      </w:r>
      <w:r>
        <w:rPr>
          <w:rFonts w:hint="eastAsia" w:ascii="Arial" w:hAnsi="Arial" w:cs="Arial"/>
          <w:color w:val="000000" w:themeColor="text1"/>
          <w:spacing w:val="4"/>
          <w:sz w:val="22"/>
          <w:szCs w:val="22"/>
          <w14:textFill>
            <w14:solidFill>
              <w14:schemeClr w14:val="tx1"/>
            </w14:solidFill>
          </w14:textFill>
        </w:rPr>
        <w:t>申购申请被拒绝，被拒绝的</w:t>
      </w:r>
      <w:r>
        <w:rPr>
          <w:rFonts w:hint="eastAsia" w:ascii="Arial" w:hAnsi="Arial" w:cs="Arial"/>
          <w:color w:val="000000"/>
          <w:sz w:val="22"/>
          <w:szCs w:val="22"/>
        </w:rPr>
        <w:t>认购/</w:t>
      </w:r>
      <w:r>
        <w:rPr>
          <w:rFonts w:hint="eastAsia" w:ascii="Arial" w:hAnsi="Arial" w:cs="Arial"/>
          <w:color w:val="000000" w:themeColor="text1"/>
          <w:spacing w:val="4"/>
          <w:sz w:val="22"/>
          <w:szCs w:val="22"/>
          <w14:textFill>
            <w14:solidFill>
              <w14:schemeClr w14:val="tx1"/>
            </w14:solidFill>
          </w14:textFill>
        </w:rPr>
        <w:t>申购款项将退还给投资者，管理人不承担投资者由此产生的利息等损失。在上述情形消除时，管理人应及时公告并恢复</w:t>
      </w:r>
      <w:r>
        <w:rPr>
          <w:rFonts w:hint="eastAsia" w:ascii="Arial" w:hAnsi="Arial" w:cs="Arial"/>
          <w:color w:val="000000"/>
          <w:sz w:val="22"/>
          <w:szCs w:val="22"/>
        </w:rPr>
        <w:t>认购/</w:t>
      </w:r>
      <w:r>
        <w:rPr>
          <w:rFonts w:hint="eastAsia" w:ascii="Arial" w:hAnsi="Arial" w:cs="Arial"/>
          <w:color w:val="000000" w:themeColor="text1"/>
          <w:spacing w:val="4"/>
          <w:sz w:val="22"/>
          <w:szCs w:val="22"/>
          <w14:textFill>
            <w14:solidFill>
              <w14:schemeClr w14:val="tx1"/>
            </w14:solidFill>
          </w14:textFill>
        </w:rPr>
        <w:t>申购、赎回业务的办理。</w:t>
      </w:r>
    </w:p>
    <w:p>
      <w:pPr>
        <w:numPr>
          <w:ilvl w:val="1"/>
          <w:numId w:val="9"/>
        </w:numPr>
        <w:autoSpaceDE w:val="0"/>
        <w:autoSpaceDN w:val="0"/>
        <w:spacing w:line="360" w:lineRule="auto"/>
        <w:ind w:left="0" w:firstLine="442" w:firstLineChars="200"/>
        <w:rPr>
          <w:rFonts w:ascii="Arial" w:hAnsi="Arial" w:cs="Arial"/>
          <w:b/>
          <w:snapToGrid w:val="0"/>
          <w:color w:val="000000"/>
          <w:sz w:val="22"/>
          <w:szCs w:val="22"/>
        </w:rPr>
      </w:pPr>
      <w:r>
        <w:rPr>
          <w:rFonts w:ascii="Arial" w:hAnsi="Arial" w:cs="Arial"/>
          <w:b/>
          <w:snapToGrid w:val="0"/>
          <w:color w:val="000000"/>
          <w:sz w:val="22"/>
          <w:szCs w:val="22"/>
        </w:rPr>
        <w:t>巨额赎回的情形及处理方式</w:t>
      </w:r>
    </w:p>
    <w:p>
      <w:pPr>
        <w:numPr>
          <w:ilvl w:val="0"/>
          <w:numId w:val="15"/>
        </w:numPr>
        <w:tabs>
          <w:tab w:val="left" w:pos="0"/>
        </w:tabs>
        <w:spacing w:line="360" w:lineRule="auto"/>
        <w:ind w:left="0" w:firstLine="440" w:firstLineChars="200"/>
        <w:rPr>
          <w:rFonts w:ascii="Arial" w:hAnsi="Arial" w:cs="Arial"/>
          <w:color w:val="000000"/>
          <w:sz w:val="22"/>
          <w:szCs w:val="22"/>
        </w:rPr>
      </w:pPr>
      <w:r>
        <w:rPr>
          <w:rFonts w:ascii="Arial" w:hAnsi="Arial" w:cs="Arial"/>
          <w:color w:val="000000"/>
          <w:sz w:val="22"/>
          <w:szCs w:val="22"/>
        </w:rPr>
        <w:t>巨额赎回的认定</w:t>
      </w:r>
    </w:p>
    <w:p>
      <w:pPr>
        <w:tabs>
          <w:tab w:val="left" w:pos="-142"/>
        </w:tabs>
        <w:spacing w:line="360" w:lineRule="auto"/>
        <w:ind w:firstLine="440" w:firstLineChars="200"/>
        <w:rPr>
          <w:rFonts w:ascii="Arial" w:hAnsi="Arial" w:cs="Arial"/>
          <w:color w:val="000000"/>
          <w:sz w:val="22"/>
          <w:szCs w:val="22"/>
        </w:rPr>
      </w:pPr>
      <w:r>
        <w:rPr>
          <w:rFonts w:ascii="Arial" w:hAnsi="Arial" w:cs="Arial"/>
          <w:color w:val="000000"/>
          <w:sz w:val="22"/>
          <w:szCs w:val="22"/>
        </w:rPr>
        <w:t>在</w:t>
      </w:r>
      <w:r>
        <w:rPr>
          <w:rFonts w:hint="eastAsia" w:ascii="Arial" w:hAnsi="Arial" w:cs="Arial"/>
          <w:color w:val="000000"/>
          <w:sz w:val="22"/>
          <w:szCs w:val="22"/>
        </w:rPr>
        <w:t>本</w:t>
      </w:r>
      <w:r>
        <w:rPr>
          <w:rFonts w:ascii="Arial" w:hAnsi="Arial" w:cs="Arial"/>
          <w:color w:val="000000"/>
          <w:sz w:val="22"/>
          <w:szCs w:val="22"/>
        </w:rPr>
        <w:t>理财产品存续期内的每个开放日，若</w:t>
      </w:r>
      <w:r>
        <w:rPr>
          <w:rFonts w:hint="eastAsia" w:ascii="Arial" w:hAnsi="Arial" w:cs="Arial"/>
          <w:color w:val="000000"/>
          <w:sz w:val="22"/>
          <w:szCs w:val="22"/>
        </w:rPr>
        <w:t>本</w:t>
      </w:r>
      <w:r>
        <w:rPr>
          <w:rFonts w:ascii="Arial" w:hAnsi="Arial" w:cs="Arial"/>
          <w:color w:val="000000"/>
          <w:sz w:val="22"/>
          <w:szCs w:val="22"/>
        </w:rPr>
        <w:t>理财产品净赎回</w:t>
      </w:r>
      <w:r>
        <w:rPr>
          <w:rFonts w:hint="eastAsia" w:ascii="Arial" w:hAnsi="Arial" w:cs="Arial"/>
          <w:color w:val="000000"/>
          <w:sz w:val="22"/>
          <w:szCs w:val="22"/>
        </w:rPr>
        <w:t>申请</w:t>
      </w:r>
      <w:r>
        <w:rPr>
          <w:rFonts w:ascii="Arial" w:hAnsi="Arial" w:cs="Arial"/>
          <w:color w:val="000000"/>
          <w:sz w:val="22"/>
          <w:szCs w:val="22"/>
        </w:rPr>
        <w:t>份额（</w:t>
      </w:r>
      <w:r>
        <w:rPr>
          <w:rFonts w:hint="eastAsia" w:ascii="Arial" w:hAnsi="Arial" w:cs="Arial"/>
          <w:color w:val="000000"/>
          <w:sz w:val="22"/>
          <w:szCs w:val="22"/>
        </w:rPr>
        <w:t>有效赎回申请份额总数扣除有效申购申请份额总数后的份额</w:t>
      </w:r>
      <w:r>
        <w:rPr>
          <w:rFonts w:ascii="Arial" w:hAnsi="Arial" w:cs="Arial"/>
          <w:color w:val="000000"/>
          <w:sz w:val="22"/>
          <w:szCs w:val="22"/>
        </w:rPr>
        <w:t>）超过本理财产品开放日前一日份额的10%时，则发生巨额赎回事件。</w:t>
      </w:r>
    </w:p>
    <w:p>
      <w:pPr>
        <w:numPr>
          <w:ilvl w:val="0"/>
          <w:numId w:val="15"/>
        </w:numPr>
        <w:tabs>
          <w:tab w:val="left" w:pos="-284"/>
        </w:tabs>
        <w:spacing w:line="360" w:lineRule="auto"/>
        <w:ind w:left="0" w:firstLine="440" w:firstLineChars="200"/>
        <w:rPr>
          <w:rFonts w:ascii="Arial" w:hAnsi="Arial" w:cs="Arial"/>
          <w:color w:val="000000"/>
          <w:sz w:val="22"/>
          <w:szCs w:val="22"/>
        </w:rPr>
      </w:pPr>
      <w:r>
        <w:rPr>
          <w:rFonts w:ascii="Arial" w:hAnsi="Arial" w:cs="Arial"/>
          <w:color w:val="000000"/>
          <w:sz w:val="22"/>
          <w:szCs w:val="22"/>
        </w:rPr>
        <w:t>巨额赎回的处理</w:t>
      </w:r>
    </w:p>
    <w:p>
      <w:pPr>
        <w:tabs>
          <w:tab w:val="left" w:pos="426"/>
        </w:tabs>
        <w:spacing w:line="360" w:lineRule="auto"/>
        <w:ind w:firstLine="440" w:firstLineChars="200"/>
        <w:rPr>
          <w:rFonts w:ascii="Arial" w:hAnsi="Arial" w:cs="Arial"/>
          <w:color w:val="000000"/>
          <w:sz w:val="22"/>
          <w:szCs w:val="22"/>
        </w:rPr>
      </w:pPr>
      <w:r>
        <w:rPr>
          <w:rFonts w:ascii="Arial" w:hAnsi="Arial" w:cs="Arial"/>
          <w:color w:val="000000"/>
          <w:sz w:val="22"/>
          <w:szCs w:val="22"/>
        </w:rPr>
        <w:t>发生巨额赎回时，管理人有权依照</w:t>
      </w:r>
      <w:r>
        <w:rPr>
          <w:rFonts w:hint="eastAsia" w:ascii="Arial" w:hAnsi="Arial" w:cs="Arial"/>
          <w:color w:val="000000"/>
          <w:sz w:val="22"/>
          <w:szCs w:val="22"/>
        </w:rPr>
        <w:t>本理财产品</w:t>
      </w:r>
      <w:r>
        <w:rPr>
          <w:rFonts w:ascii="Arial" w:hAnsi="Arial" w:cs="Arial"/>
          <w:color w:val="000000"/>
          <w:sz w:val="22"/>
          <w:szCs w:val="22"/>
        </w:rPr>
        <w:t>当时的资产组合状况决定全额赎回、部分赎回</w:t>
      </w:r>
      <w:r>
        <w:rPr>
          <w:rFonts w:hint="eastAsia" w:ascii="Arial" w:hAnsi="Arial" w:cs="Arial"/>
          <w:color w:val="000000"/>
          <w:sz w:val="22"/>
          <w:szCs w:val="22"/>
        </w:rPr>
        <w:t>、暂停赎回</w:t>
      </w:r>
      <w:r>
        <w:rPr>
          <w:rFonts w:ascii="Arial" w:hAnsi="Arial" w:cs="Arial"/>
          <w:color w:val="000000"/>
          <w:sz w:val="22"/>
          <w:szCs w:val="22"/>
        </w:rPr>
        <w:t>或延缓支付。</w:t>
      </w:r>
    </w:p>
    <w:p>
      <w:pPr>
        <w:tabs>
          <w:tab w:val="left" w:pos="426"/>
        </w:tabs>
        <w:spacing w:line="360" w:lineRule="auto"/>
        <w:ind w:firstLine="440" w:firstLineChars="200"/>
        <w:rPr>
          <w:rFonts w:ascii="Arial" w:hAnsi="Arial" w:cs="Arial"/>
          <w:color w:val="000000"/>
          <w:sz w:val="22"/>
          <w:szCs w:val="22"/>
        </w:rPr>
      </w:pPr>
      <w:r>
        <w:rPr>
          <w:rFonts w:ascii="Arial" w:hAnsi="Arial" w:cs="Arial"/>
          <w:color w:val="000000"/>
          <w:sz w:val="22"/>
          <w:szCs w:val="22"/>
        </w:rPr>
        <w:t>1）全额赎回：当管理人有能力支付投资者的全部赎回申请</w:t>
      </w:r>
      <w:r>
        <w:rPr>
          <w:rFonts w:hint="eastAsia" w:ascii="Arial" w:hAnsi="Arial" w:cs="Arial"/>
          <w:color w:val="000000"/>
          <w:sz w:val="22"/>
          <w:szCs w:val="22"/>
        </w:rPr>
        <w:t>且不会对本理财产品资产净值造成较大波动</w:t>
      </w:r>
      <w:r>
        <w:rPr>
          <w:rFonts w:ascii="Arial" w:hAnsi="Arial" w:cs="Arial"/>
          <w:color w:val="000000"/>
          <w:sz w:val="22"/>
          <w:szCs w:val="22"/>
        </w:rPr>
        <w:t>时，按正常赎回程序执行；</w:t>
      </w:r>
    </w:p>
    <w:p>
      <w:pPr>
        <w:tabs>
          <w:tab w:val="left" w:pos="426"/>
        </w:tabs>
        <w:spacing w:line="360" w:lineRule="auto"/>
        <w:ind w:firstLine="440" w:firstLineChars="200"/>
        <w:rPr>
          <w:rFonts w:ascii="Arial" w:hAnsi="Arial" w:cs="Arial"/>
          <w:color w:val="000000"/>
          <w:sz w:val="22"/>
          <w:szCs w:val="22"/>
        </w:rPr>
      </w:pPr>
      <w:r>
        <w:rPr>
          <w:rFonts w:ascii="Arial" w:hAnsi="Arial" w:cs="Arial"/>
          <w:color w:val="000000"/>
          <w:sz w:val="22"/>
          <w:szCs w:val="22"/>
        </w:rPr>
        <w:t>2）部分赎回：当管理人认为支付投资者的赎回款项有困难或认为因支付投资者的赎回款项而进行的资产变现可能会对</w:t>
      </w:r>
      <w:r>
        <w:rPr>
          <w:rFonts w:hint="eastAsia" w:ascii="Arial" w:hAnsi="Arial" w:cs="Arial"/>
          <w:color w:val="000000"/>
          <w:sz w:val="22"/>
          <w:szCs w:val="22"/>
        </w:rPr>
        <w:t>本理财产品</w:t>
      </w:r>
      <w:r>
        <w:rPr>
          <w:rFonts w:ascii="Arial" w:hAnsi="Arial" w:cs="Arial"/>
          <w:color w:val="000000"/>
          <w:sz w:val="22"/>
          <w:szCs w:val="22"/>
        </w:rPr>
        <w:t>资产净值造成较大波动时，管理人</w:t>
      </w:r>
      <w:r>
        <w:rPr>
          <w:rFonts w:hint="eastAsia" w:ascii="Arial" w:hAnsi="Arial" w:cs="Arial"/>
          <w:color w:val="000000"/>
          <w:sz w:val="22"/>
          <w:szCs w:val="22"/>
        </w:rPr>
        <w:t>当日办理的赎回份额不得低于前一日终理财产品总份额的10%，对超过10%以上部分的赎回申请有权拒绝或延期办理。对于当日的赎回申请，可以按单个账户赎回申请量占赎回申请总量的比例或者时间优先（即先申请、先赎回）的原则，确定当日办理的赎回份额；对于未能赎回部分，如管理人选择延迟至下一个开放日办理的，赎回价格为下一个开放日的价格。延迟办理的赎回申请与下一开放日赎回申请一并处理，以下一开放日的该类理财产品份额净值为基础计算赎回金额，以此类推，直到全部赎回为止。</w:t>
      </w:r>
    </w:p>
    <w:p>
      <w:pPr>
        <w:tabs>
          <w:tab w:val="left" w:pos="426"/>
        </w:tabs>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3）暂停赎回：当管理人认为支付投资者的赎回款项有困难或认为因支付投资者的赎回款项而进行的资产变现可能会对本理财产品资产净值造成较大波动时，可以暂停接受赎回申请，但管理人当日办理的赎回份额不得低于前一日终理财产品总份额的10%。</w:t>
      </w:r>
    </w:p>
    <w:p>
      <w:pPr>
        <w:tabs>
          <w:tab w:val="left" w:pos="426"/>
        </w:tabs>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4）延缓支付：当管理人在当日办理的赎回份额不低于前一日终理财产品总份额的10%的前提下或连续2个以上开放日发生巨额赎回的情形发生时，对于已经接受的赎回申请，管理人可以延缓支付赎回款项，选择延缓支付时，延缓支付期限不得超过二十个工作日。</w:t>
      </w:r>
    </w:p>
    <w:p>
      <w:pPr>
        <w:tabs>
          <w:tab w:val="left" w:pos="426"/>
        </w:tabs>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当管理人决定延期办理巨额赎回申请、暂停接受赎回申请或延缓支付赎回款项时，应于具体措施实施后3个交易日内通过本理财产品说明书约定的信息披露方式向投资者进行信息披露，并说明原因及应对安排。管理人有权调整巨额赎回的处理方式，并于实施前及时公告。</w:t>
      </w:r>
    </w:p>
    <w:p>
      <w:pPr>
        <w:pStyle w:val="2"/>
        <w:numPr>
          <w:ilvl w:val="0"/>
          <w:numId w:val="3"/>
        </w:numPr>
        <w:tabs>
          <w:tab w:val="left" w:pos="426"/>
        </w:tabs>
        <w:spacing w:line="240" w:lineRule="auto"/>
        <w:rPr>
          <w:rFonts w:ascii="Arial" w:hAnsi="Arial" w:cs="Arial"/>
          <w:color w:val="000000"/>
          <w:sz w:val="22"/>
          <w:szCs w:val="22"/>
        </w:rPr>
      </w:pPr>
      <w:r>
        <w:rPr>
          <w:rFonts w:ascii="Arial" w:hAnsi="Arial" w:cs="Arial"/>
          <w:color w:val="000000"/>
          <w:sz w:val="22"/>
          <w:szCs w:val="22"/>
        </w:rPr>
        <w:t>产品估值方法</w:t>
      </w:r>
    </w:p>
    <w:p>
      <w:pPr>
        <w:pStyle w:val="20"/>
        <w:numPr>
          <w:ilvl w:val="0"/>
          <w:numId w:val="16"/>
        </w:numPr>
        <w:spacing w:line="360" w:lineRule="auto"/>
        <w:ind w:firstLineChars="0"/>
        <w:jc w:val="left"/>
        <w:rPr>
          <w:rFonts w:ascii="Arial" w:hAnsi="Arial" w:cs="Arial"/>
          <w:b/>
          <w:color w:val="000000"/>
          <w:spacing w:val="4"/>
          <w:sz w:val="22"/>
          <w:szCs w:val="22"/>
        </w:rPr>
      </w:pPr>
      <w:r>
        <w:rPr>
          <w:rFonts w:ascii="Arial" w:hAnsi="Arial" w:cs="Arial"/>
          <w:b/>
          <w:color w:val="000000"/>
          <w:spacing w:val="4"/>
          <w:sz w:val="22"/>
          <w:szCs w:val="22"/>
        </w:rPr>
        <w:t>估值对象</w:t>
      </w:r>
    </w:p>
    <w:p>
      <w:pPr>
        <w:spacing w:line="360" w:lineRule="auto"/>
        <w:ind w:firstLine="456" w:firstLineChars="200"/>
        <w:rPr>
          <w:rFonts w:ascii="Arial" w:hAnsi="Arial" w:cs="Arial"/>
          <w:spacing w:val="4"/>
          <w:sz w:val="22"/>
          <w:szCs w:val="22"/>
        </w:rPr>
      </w:pPr>
      <w:r>
        <w:rPr>
          <w:rFonts w:ascii="Arial" w:hAnsi="Arial" w:cs="Arial"/>
          <w:spacing w:val="4"/>
          <w:sz w:val="22"/>
          <w:szCs w:val="22"/>
        </w:rPr>
        <w:t>本理财产品所持有的一切金融资产和金融负债。</w:t>
      </w:r>
    </w:p>
    <w:p>
      <w:pPr>
        <w:pStyle w:val="20"/>
        <w:numPr>
          <w:ilvl w:val="0"/>
          <w:numId w:val="16"/>
        </w:numPr>
        <w:spacing w:line="360" w:lineRule="auto"/>
        <w:ind w:firstLineChars="0"/>
        <w:jc w:val="left"/>
        <w:rPr>
          <w:rFonts w:ascii="Arial" w:hAnsi="Arial" w:cs="Arial"/>
          <w:b/>
          <w:bCs/>
          <w:spacing w:val="4"/>
          <w:sz w:val="22"/>
          <w:szCs w:val="22"/>
        </w:rPr>
      </w:pPr>
      <w:r>
        <w:rPr>
          <w:rFonts w:ascii="Arial" w:hAnsi="Arial" w:cs="Arial"/>
          <w:b/>
          <w:bCs/>
          <w:spacing w:val="4"/>
          <w:sz w:val="22"/>
          <w:szCs w:val="22"/>
        </w:rPr>
        <w:t>估值日</w:t>
      </w:r>
    </w:p>
    <w:p>
      <w:pPr>
        <w:spacing w:line="360" w:lineRule="auto"/>
        <w:ind w:left="105" w:leftChars="50" w:right="105" w:rightChars="50" w:firstLine="440" w:firstLineChars="200"/>
        <w:rPr>
          <w:rFonts w:ascii="Arial" w:hAnsi="Arial" w:cs="Arial"/>
        </w:rPr>
      </w:pPr>
      <w:r>
        <w:rPr>
          <w:rFonts w:ascii="Arial" w:hAnsi="Arial" w:cs="Arial"/>
          <w:sz w:val="22"/>
          <w:szCs w:val="22"/>
        </w:rPr>
        <w:t>本理财产品存续期间，</w:t>
      </w:r>
      <w:r>
        <w:rPr>
          <w:rFonts w:hint="eastAsia" w:ascii="Arial" w:hAnsi="Arial" w:cs="Arial"/>
          <w:sz w:val="22"/>
          <w:szCs w:val="22"/>
        </w:rPr>
        <w:t>管理人</w:t>
      </w:r>
      <w:r>
        <w:rPr>
          <w:rFonts w:ascii="Arial" w:hAnsi="Arial" w:cs="Arial"/>
          <w:sz w:val="22"/>
          <w:szCs w:val="22"/>
        </w:rPr>
        <w:t>在每个交易日</w:t>
      </w:r>
      <w:r>
        <w:rPr>
          <w:rFonts w:hint="eastAsia" w:ascii="Arial" w:hAnsi="Arial" w:cs="Arial"/>
          <w:sz w:val="22"/>
          <w:szCs w:val="22"/>
        </w:rPr>
        <w:t>对本理财产品</w:t>
      </w:r>
      <w:r>
        <w:rPr>
          <w:rFonts w:ascii="Arial" w:hAnsi="Arial" w:cs="Arial"/>
          <w:sz w:val="22"/>
          <w:szCs w:val="22"/>
        </w:rPr>
        <w:t>进行估值，经产品托管人复核无误后，由</w:t>
      </w:r>
      <w:r>
        <w:rPr>
          <w:rFonts w:hint="eastAsia" w:ascii="Arial" w:hAnsi="Arial" w:cs="Arial"/>
          <w:sz w:val="22"/>
          <w:szCs w:val="22"/>
        </w:rPr>
        <w:t>管理人在每个开放日结束后2个工作日内，披露该开放日份额净值</w:t>
      </w:r>
      <w:r>
        <w:rPr>
          <w:rFonts w:ascii="Arial" w:hAnsi="Arial" w:cs="Arial"/>
          <w:sz w:val="22"/>
          <w:szCs w:val="22"/>
        </w:rPr>
        <w:t>。以上规则如有调整，以</w:t>
      </w:r>
      <w:r>
        <w:rPr>
          <w:rFonts w:hint="eastAsia" w:ascii="Arial" w:hAnsi="Arial" w:cs="Arial"/>
          <w:sz w:val="22"/>
          <w:szCs w:val="22"/>
        </w:rPr>
        <w:t>管理人</w:t>
      </w:r>
      <w:r>
        <w:rPr>
          <w:rFonts w:ascii="Arial" w:hAnsi="Arial" w:cs="Arial"/>
          <w:sz w:val="22"/>
          <w:szCs w:val="22"/>
        </w:rPr>
        <w:t>的公告为准。</w:t>
      </w:r>
    </w:p>
    <w:p>
      <w:pPr>
        <w:pStyle w:val="20"/>
        <w:numPr>
          <w:ilvl w:val="0"/>
          <w:numId w:val="16"/>
        </w:numPr>
        <w:spacing w:line="360" w:lineRule="auto"/>
        <w:ind w:firstLineChars="0"/>
        <w:jc w:val="left"/>
        <w:rPr>
          <w:rFonts w:ascii="Arial" w:hAnsi="Arial" w:cs="Arial"/>
          <w:b/>
          <w:bCs/>
          <w:spacing w:val="4"/>
          <w:sz w:val="22"/>
          <w:szCs w:val="22"/>
        </w:rPr>
      </w:pPr>
      <w:r>
        <w:rPr>
          <w:rFonts w:ascii="Arial" w:hAnsi="Arial" w:cs="Arial"/>
          <w:b/>
          <w:bCs/>
          <w:spacing w:val="4"/>
          <w:sz w:val="22"/>
          <w:szCs w:val="22"/>
        </w:rPr>
        <w:t>估值方法</w:t>
      </w:r>
    </w:p>
    <w:p>
      <w:pPr>
        <w:pStyle w:val="20"/>
        <w:numPr>
          <w:ilvl w:val="0"/>
          <w:numId w:val="17"/>
        </w:numPr>
        <w:spacing w:line="360" w:lineRule="auto"/>
        <w:ind w:firstLineChars="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货币市场工具类资产的估值</w:t>
      </w:r>
    </w:p>
    <w:p>
      <w:pPr>
        <w:pStyle w:val="20"/>
        <w:numPr>
          <w:ilvl w:val="0"/>
          <w:numId w:val="18"/>
        </w:numPr>
        <w:spacing w:line="360" w:lineRule="auto"/>
        <w:ind w:firstLineChars="0"/>
        <w:rPr>
          <w:rFonts w:ascii="Arial" w:hAnsi="Arial" w:cs="Arial"/>
          <w:color w:val="0D0D0D" w:themeColor="text1" w:themeTint="F2"/>
          <w:sz w:val="22"/>
          <w:szCs w:val="22"/>
          <w14:textFill>
            <w14:solidFill>
              <w14:schemeClr w14:val="tx1">
                <w14:lumMod w14:val="95000"/>
                <w14:lumOff w14:val="5000"/>
              </w14:schemeClr>
            </w14:solidFill>
          </w14:textFill>
        </w:rPr>
      </w:pPr>
      <w:r>
        <w:rPr>
          <w:rFonts w:hint="eastAsia" w:ascii="Arial" w:hAnsi="Arial" w:cs="Arial" w:eastAsiaTheme="minorEastAsia"/>
          <w:color w:val="0D0D0D" w:themeColor="text1" w:themeTint="F2"/>
          <w:sz w:val="22"/>
          <w:szCs w:val="22"/>
          <w14:textFill>
            <w14:solidFill>
              <w14:schemeClr w14:val="tx1">
                <w14:lumMod w14:val="95000"/>
                <w14:lumOff w14:val="5000"/>
              </w14:schemeClr>
            </w14:solidFill>
          </w14:textFill>
        </w:rPr>
        <w:t>一般性存款按其适用利率逐日计提利息</w:t>
      </w:r>
      <w:r>
        <w:rPr>
          <w:rFonts w:ascii="Arial" w:hAnsi="Arial" w:cs="Arial"/>
          <w:color w:val="0D0D0D" w:themeColor="text1" w:themeTint="F2"/>
          <w:sz w:val="22"/>
          <w:szCs w:val="22"/>
          <w14:textFill>
            <w14:solidFill>
              <w14:schemeClr w14:val="tx1">
                <w14:lumMod w14:val="95000"/>
                <w14:lumOff w14:val="5000"/>
              </w14:schemeClr>
            </w14:solidFill>
          </w14:textFill>
        </w:rPr>
        <w:t>；</w:t>
      </w:r>
    </w:p>
    <w:p>
      <w:pPr>
        <w:pStyle w:val="20"/>
        <w:numPr>
          <w:ilvl w:val="0"/>
          <w:numId w:val="18"/>
        </w:numPr>
        <w:spacing w:line="360" w:lineRule="auto"/>
        <w:ind w:firstLineChars="0"/>
        <w:rPr>
          <w:rFonts w:ascii="Arial" w:hAnsi="Arial" w:cs="Arial"/>
          <w:color w:val="0D0D0D" w:themeColor="text1" w:themeTint="F2"/>
          <w:sz w:val="22"/>
          <w:szCs w:val="22"/>
          <w14:textFill>
            <w14:solidFill>
              <w14:schemeClr w14:val="tx1">
                <w14:lumMod w14:val="95000"/>
                <w14:lumOff w14:val="5000"/>
              </w14:schemeClr>
            </w14:solidFill>
          </w14:textFill>
        </w:rPr>
      </w:pPr>
      <w:r>
        <w:rPr>
          <w:rFonts w:hint="eastAsia" w:ascii="Arial" w:hAnsi="Arial" w:cs="Arial"/>
          <w:color w:val="0D0D0D" w:themeColor="text1" w:themeTint="F2"/>
          <w:sz w:val="22"/>
          <w:szCs w:val="22"/>
          <w14:textFill>
            <w14:solidFill>
              <w14:schemeClr w14:val="tx1">
                <w14:lumMod w14:val="95000"/>
                <w14:lumOff w14:val="5000"/>
              </w14:schemeClr>
            </w14:solidFill>
          </w14:textFill>
        </w:rPr>
        <w:t>债券回购和拆借、同业存款按其约定利率逐日计提利息</w:t>
      </w:r>
      <w:r>
        <w:rPr>
          <w:rFonts w:ascii="Arial" w:hAnsi="Arial" w:cs="Arial"/>
          <w:color w:val="0D0D0D" w:themeColor="text1" w:themeTint="F2"/>
          <w:sz w:val="22"/>
          <w:szCs w:val="22"/>
          <w14:textFill>
            <w14:solidFill>
              <w14:schemeClr w14:val="tx1">
                <w14:lumMod w14:val="95000"/>
                <w14:lumOff w14:val="5000"/>
              </w14:schemeClr>
            </w14:solidFill>
          </w14:textFill>
        </w:rPr>
        <w:t>。</w:t>
      </w:r>
    </w:p>
    <w:p>
      <w:pPr>
        <w:pStyle w:val="20"/>
        <w:numPr>
          <w:ilvl w:val="0"/>
          <w:numId w:val="17"/>
        </w:numPr>
        <w:spacing w:line="360" w:lineRule="auto"/>
        <w:ind w:firstLineChars="0"/>
        <w:rPr>
          <w:rFonts w:ascii="Arial" w:hAnsi="Arial" w:eastAsia="等线" w:cs="Arial"/>
          <w:color w:val="0D0D0D" w:themeColor="text1" w:themeTint="F2"/>
          <w:spacing w:val="4"/>
          <w:sz w:val="22"/>
          <w:szCs w:val="22"/>
          <w14:textFill>
            <w14:solidFill>
              <w14:schemeClr w14:val="tx1">
                <w14:lumMod w14:val="95000"/>
                <w14:lumOff w14:val="5000"/>
              </w14:schemeClr>
            </w14:solidFill>
          </w14:textFill>
        </w:rPr>
      </w:pPr>
      <w:r>
        <w:rPr>
          <w:rFonts w:hint="eastAsia" w:ascii="Arial" w:hAnsi="Arial" w:cs="Arial"/>
          <w:color w:val="0D0D0D" w:themeColor="text1" w:themeTint="F2"/>
          <w:spacing w:val="4"/>
          <w:sz w:val="22"/>
          <w:szCs w:val="22"/>
          <w14:textFill>
            <w14:solidFill>
              <w14:schemeClr w14:val="tx1">
                <w14:lumMod w14:val="95000"/>
                <w14:lumOff w14:val="5000"/>
              </w14:schemeClr>
            </w14:solidFill>
          </w14:textFill>
        </w:rPr>
        <w:t>债券类资产的估值</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1</w:t>
      </w:r>
      <w:r>
        <w:rPr>
          <w:rFonts w:hint="eastAsia" w:ascii="Arial" w:hAnsi="Arial" w:cs="Arial"/>
          <w:color w:val="0D0D0D" w:themeColor="text1" w:themeTint="F2"/>
          <w:sz w:val="22"/>
          <w:szCs w:val="22"/>
          <w14:textFill>
            <w14:solidFill>
              <w14:schemeClr w14:val="tx1">
                <w14:lumMod w14:val="95000"/>
                <w14:lumOff w14:val="5000"/>
              </w14:schemeClr>
            </w14:solidFill>
          </w14:textFill>
        </w:rPr>
        <w:t>）不含转股权的债券，按第三方估值机构（中债、中证等）提供的估值数据</w:t>
      </w:r>
      <w:r>
        <w:rPr>
          <w:rFonts w:hint="eastAsia" w:ascii="Arial" w:hAnsi="Arial" w:cs="Arial"/>
          <w:color w:val="0D0D0D" w:themeColor="text1" w:themeTint="F2"/>
          <w:kern w:val="0"/>
          <w:sz w:val="22"/>
          <w:szCs w:val="22"/>
          <w14:textFill>
            <w14:solidFill>
              <w14:schemeClr w14:val="tx1">
                <w14:lumMod w14:val="95000"/>
                <w14:lumOff w14:val="5000"/>
              </w14:schemeClr>
            </w14:solidFill>
          </w14:textFill>
        </w:rPr>
        <w:t>，对本理财产品持有的债券</w:t>
      </w:r>
      <w:r>
        <w:rPr>
          <w:rFonts w:hint="eastAsia" w:ascii="Arial" w:hAnsi="Arial" w:cs="Arial"/>
          <w:color w:val="0D0D0D" w:themeColor="text1" w:themeTint="F2"/>
          <w:sz w:val="22"/>
          <w:szCs w:val="22"/>
          <w14:textFill>
            <w14:solidFill>
              <w14:schemeClr w14:val="tx1">
                <w14:lumMod w14:val="95000"/>
                <w14:lumOff w14:val="5000"/>
              </w14:schemeClr>
            </w14:solidFill>
          </w14:textFill>
        </w:rPr>
        <w:t>进行估值，具体第三方估值机构及取值方法由管理人和托管人具体协商确定；</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2</w:t>
      </w:r>
      <w:r>
        <w:rPr>
          <w:rFonts w:hint="eastAsia" w:ascii="Arial" w:hAnsi="Arial" w:cs="Arial"/>
          <w:color w:val="0D0D0D" w:themeColor="text1" w:themeTint="F2"/>
          <w:sz w:val="22"/>
          <w:szCs w:val="22"/>
          <w14:textFill>
            <w14:solidFill>
              <w14:schemeClr w14:val="tx1">
                <w14:lumMod w14:val="95000"/>
                <w14:lumOff w14:val="5000"/>
              </w14:schemeClr>
            </w14:solidFill>
          </w14:textFill>
        </w:rPr>
        <w:t>）含转股权的债券（如可转换债券、可交换债券等），实行全价交易的，按照估值日收盘价减去收盘价中所含债券应收利息后得到的净价进行估值；实行净价交易的，采用估值日收盘价估值；</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hint="eastAsia" w:ascii="Arial" w:hAnsi="Arial" w:cs="Arial"/>
          <w:color w:val="0D0D0D" w:themeColor="text1" w:themeTint="F2"/>
          <w:sz w:val="22"/>
          <w:szCs w:val="22"/>
          <w14:textFill>
            <w14:solidFill>
              <w14:schemeClr w14:val="tx1">
                <w14:lumMod w14:val="95000"/>
                <w14:lumOff w14:val="5000"/>
              </w14:schemeClr>
            </w14:solidFill>
          </w14:textFill>
        </w:rPr>
        <w:t>3）同一债券同时在两个或两个以上市场交易的，按债券所处的市场分别估值；</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4</w:t>
      </w:r>
      <w:r>
        <w:rPr>
          <w:rFonts w:hint="eastAsia" w:ascii="Arial" w:hAnsi="Arial" w:cs="Arial"/>
          <w:color w:val="0D0D0D" w:themeColor="text1" w:themeTint="F2"/>
          <w:sz w:val="22"/>
          <w:szCs w:val="22"/>
          <w14:textFill>
            <w14:solidFill>
              <w14:schemeClr w14:val="tx1">
                <w14:lumMod w14:val="95000"/>
                <w14:lumOff w14:val="5000"/>
              </w14:schemeClr>
            </w14:solidFill>
          </w14:textFill>
        </w:rPr>
        <w:t>）如监管对此另有规定的，按照监管的最新规定进行调整。</w:t>
      </w:r>
    </w:p>
    <w:p>
      <w:pPr>
        <w:pStyle w:val="20"/>
        <w:numPr>
          <w:ilvl w:val="0"/>
          <w:numId w:val="17"/>
        </w:numPr>
        <w:spacing w:line="360" w:lineRule="auto"/>
        <w:ind w:left="0" w:firstLine="420"/>
        <w:rPr>
          <w:rFonts w:ascii="宋体" w:hAnsi="宋体" w:cs="Arial"/>
          <w:szCs w:val="21"/>
        </w:rPr>
      </w:pPr>
      <w:r>
        <w:rPr>
          <w:rFonts w:hint="eastAsia" w:ascii="宋体" w:hAnsi="宋体" w:cs="Arial"/>
          <w:szCs w:val="21"/>
        </w:rPr>
        <w:t>证券投资基金的估值</w:t>
      </w:r>
    </w:p>
    <w:p>
      <w:pPr>
        <w:spacing w:line="360" w:lineRule="auto"/>
        <w:rPr>
          <w:rFonts w:ascii="Arial" w:hAnsi="Arial"/>
          <w:sz w:val="22"/>
          <w:szCs w:val="22"/>
        </w:rPr>
      </w:pPr>
      <w:r>
        <w:rPr>
          <w:rFonts w:hint="eastAsia" w:ascii="宋体" w:hAnsi="宋体" w:cs="Arial"/>
          <w:sz w:val="22"/>
          <w:szCs w:val="22"/>
        </w:rPr>
        <w:t xml:space="preserve"> </w:t>
      </w:r>
      <w:r>
        <w:rPr>
          <w:rFonts w:ascii="宋体" w:hAnsi="宋体" w:cs="Arial"/>
          <w:sz w:val="22"/>
          <w:szCs w:val="22"/>
        </w:rPr>
        <w:t xml:space="preserve"> </w:t>
      </w:r>
      <w:r>
        <w:rPr>
          <w:rFonts w:ascii="Arial" w:hAnsi="Arial" w:cs="Arial"/>
          <w:sz w:val="22"/>
          <w:szCs w:val="22"/>
        </w:rPr>
        <w:t xml:space="preserve">  </w:t>
      </w:r>
      <w:r>
        <w:rPr>
          <w:rFonts w:hint="eastAsia" w:ascii="Arial" w:hAnsi="Arial"/>
          <w:sz w:val="22"/>
          <w:szCs w:val="22"/>
        </w:rPr>
        <w:t>1）</w:t>
      </w:r>
      <w:r>
        <w:rPr>
          <w:rFonts w:ascii="Arial" w:hAnsi="Arial"/>
          <w:sz w:val="22"/>
          <w:szCs w:val="22"/>
        </w:rPr>
        <w:t>非上市基金估值</w:t>
      </w:r>
    </w:p>
    <w:p>
      <w:pPr>
        <w:spacing w:line="360" w:lineRule="auto"/>
        <w:ind w:firstLine="440" w:firstLineChars="200"/>
        <w:rPr>
          <w:rFonts w:ascii="Arial" w:hAnsi="Arial"/>
          <w:sz w:val="22"/>
          <w:szCs w:val="22"/>
        </w:rPr>
      </w:pPr>
      <w:r>
        <w:rPr>
          <w:rFonts w:hint="eastAsia" w:ascii="Arial" w:hAnsi="Arial"/>
          <w:sz w:val="22"/>
          <w:szCs w:val="22"/>
        </w:rPr>
        <w:t>境内非货币市场基金，按所投资基金估值日的份额净值估值；境内货币市场基金，按所投资基金前一估值日后至估值日期间（含节假日）的万份收益计提估值日基金收益。</w:t>
      </w:r>
    </w:p>
    <w:p>
      <w:pPr>
        <w:spacing w:line="360" w:lineRule="auto"/>
        <w:ind w:firstLine="440" w:firstLineChars="200"/>
        <w:rPr>
          <w:rFonts w:ascii="Arial" w:hAnsi="Arial"/>
          <w:sz w:val="22"/>
          <w:szCs w:val="22"/>
        </w:rPr>
      </w:pPr>
      <w:r>
        <w:rPr>
          <w:rFonts w:hint="eastAsia" w:ascii="Arial" w:hAnsi="Arial"/>
          <w:sz w:val="22"/>
          <w:szCs w:val="22"/>
        </w:rPr>
        <w:t>2</w:t>
      </w:r>
      <w:r>
        <w:rPr>
          <w:rFonts w:ascii="Arial" w:hAnsi="Arial"/>
          <w:sz w:val="22"/>
          <w:szCs w:val="22"/>
        </w:rPr>
        <w:t>）上市基金估值</w:t>
      </w:r>
    </w:p>
    <w:p>
      <w:pPr>
        <w:spacing w:line="360" w:lineRule="auto"/>
        <w:ind w:firstLine="424" w:firstLineChars="193"/>
        <w:rPr>
          <w:rFonts w:ascii="Arial" w:hAnsi="Arial"/>
          <w:sz w:val="22"/>
          <w:szCs w:val="22"/>
        </w:rPr>
      </w:pPr>
      <w:r>
        <w:rPr>
          <w:rFonts w:hint="eastAsia" w:ascii="Arial" w:hAnsi="Arial"/>
          <w:sz w:val="22"/>
          <w:szCs w:val="22"/>
        </w:rPr>
        <w:t>交易所上市流通的基金，按估值日其所在证券交易所的收盘价估值</w:t>
      </w:r>
      <w:r>
        <w:rPr>
          <w:rFonts w:ascii="Arial" w:hAnsi="Arial"/>
          <w:sz w:val="22"/>
          <w:szCs w:val="22"/>
        </w:rPr>
        <w:t>,</w:t>
      </w:r>
      <w:r>
        <w:rPr>
          <w:rFonts w:hint="eastAsia" w:ascii="Arial" w:hAnsi="Arial"/>
          <w:color w:val="000000"/>
          <w:sz w:val="22"/>
          <w:szCs w:val="22"/>
        </w:rPr>
        <w:t xml:space="preserve"> </w:t>
      </w:r>
      <w:r>
        <w:rPr>
          <w:rFonts w:hint="eastAsia" w:ascii="Arial" w:hAnsi="Arial"/>
          <w:sz w:val="22"/>
          <w:szCs w:val="22"/>
        </w:rPr>
        <w:t>境内上市的货币市场基金，如基金管理人披露份额净值的，按基金管理人披露的估值日份额净值进行估值，基金管理人披露万份收益的，按所投资基金前一估值日后至估值日期间（含节假日）的万份收益计提估值日基金收益；</w:t>
      </w:r>
      <w:r>
        <w:rPr>
          <w:rFonts w:hint="eastAsia" w:ascii="Arial" w:hAnsi="Arial"/>
          <w:color w:val="000000"/>
          <w:sz w:val="22"/>
          <w:szCs w:val="22"/>
        </w:rPr>
        <w:t>交易所上市的开放式基金（LOF），按所投资基金估值日的份额净值估值；</w:t>
      </w:r>
      <w:r>
        <w:rPr>
          <w:rFonts w:ascii="Arial" w:hAnsi="Arial"/>
          <w:sz w:val="22"/>
          <w:szCs w:val="22"/>
        </w:rPr>
        <w:t>公募 REITs，</w:t>
      </w:r>
      <w:r>
        <w:rPr>
          <w:rFonts w:hint="eastAsia" w:ascii="Arial" w:hAnsi="Arial"/>
          <w:color w:val="000000"/>
          <w:sz w:val="22"/>
          <w:szCs w:val="22"/>
        </w:rPr>
        <w:t>按监管机构或行业协会有关规定确定公允价值</w:t>
      </w:r>
      <w:r>
        <w:rPr>
          <w:rFonts w:hint="eastAsia" w:ascii="Arial" w:hAnsi="Arial"/>
          <w:sz w:val="22"/>
          <w:szCs w:val="22"/>
        </w:rPr>
        <w:t>。</w:t>
      </w:r>
    </w:p>
    <w:p>
      <w:pPr>
        <w:spacing w:line="360" w:lineRule="auto"/>
        <w:ind w:firstLine="440" w:firstLineChars="200"/>
        <w:rPr>
          <w:rFonts w:ascii="宋体" w:hAnsi="宋体"/>
          <w:sz w:val="22"/>
          <w:szCs w:val="22"/>
        </w:rPr>
      </w:pPr>
      <w:r>
        <w:rPr>
          <w:rFonts w:hint="eastAsia" w:ascii="Arial" w:hAnsi="Arial"/>
          <w:sz w:val="22"/>
          <w:szCs w:val="22"/>
        </w:rPr>
        <w:t>3</w:t>
      </w:r>
      <w:r>
        <w:rPr>
          <w:rFonts w:ascii="Arial" w:hAnsi="Arial"/>
          <w:sz w:val="22"/>
          <w:szCs w:val="22"/>
        </w:rPr>
        <w:t>）如遇所投资</w:t>
      </w:r>
      <w:r>
        <w:rPr>
          <w:rFonts w:ascii="宋体" w:hAnsi="宋体"/>
          <w:sz w:val="22"/>
          <w:szCs w:val="22"/>
        </w:rPr>
        <w:t>基金不公布基金份额净值、进行折算或拆分、估值日无交易等特殊情</w:t>
      </w:r>
      <w:r>
        <w:rPr>
          <w:rFonts w:hint="eastAsia" w:ascii="宋体" w:hAnsi="宋体"/>
          <w:sz w:val="22"/>
          <w:szCs w:val="22"/>
        </w:rPr>
        <w:t>况，按照以下原则进行估值：</w:t>
      </w:r>
    </w:p>
    <w:p>
      <w:pPr>
        <w:spacing w:line="360" w:lineRule="auto"/>
        <w:ind w:firstLine="565" w:firstLineChars="257"/>
        <w:rPr>
          <w:rFonts w:ascii="宋体" w:hAnsi="宋体"/>
          <w:sz w:val="22"/>
          <w:szCs w:val="22"/>
        </w:rPr>
      </w:pPr>
      <w:r>
        <w:rPr>
          <w:rFonts w:hint="eastAsia" w:ascii="宋体" w:hAnsi="宋体"/>
          <w:sz w:val="22"/>
          <w:szCs w:val="22"/>
        </w:rPr>
        <w:t>①以所投基金的基金份额净值估值的，若所投资基金管理人未公布估值日基金份额净值，按其最近公布的基金份额净值为基础估值。</w:t>
      </w:r>
    </w:p>
    <w:p>
      <w:pPr>
        <w:spacing w:line="360" w:lineRule="auto"/>
        <w:ind w:firstLine="565" w:firstLineChars="257"/>
        <w:rPr>
          <w:rFonts w:ascii="宋体" w:hAnsi="宋体"/>
          <w:sz w:val="22"/>
          <w:szCs w:val="22"/>
        </w:rPr>
      </w:pPr>
      <w:r>
        <w:rPr>
          <w:rFonts w:hint="eastAsia" w:ascii="宋体" w:hAnsi="宋体"/>
          <w:sz w:val="22"/>
          <w:szCs w:val="22"/>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场及重大变化因素调整最近交易市场，确定公允价值。</w:t>
      </w:r>
    </w:p>
    <w:p>
      <w:pPr>
        <w:spacing w:line="360" w:lineRule="auto"/>
        <w:ind w:firstLine="565" w:firstLineChars="257"/>
        <w:rPr>
          <w:rFonts w:ascii="宋体" w:hAnsi="宋体"/>
          <w:sz w:val="22"/>
          <w:szCs w:val="22"/>
        </w:rPr>
      </w:pPr>
      <w:r>
        <w:rPr>
          <w:rFonts w:hint="eastAsia" w:ascii="宋体" w:hAnsi="宋体"/>
          <w:sz w:val="22"/>
          <w:szCs w:val="22"/>
        </w:rPr>
        <w:t>③如果所投资基金前一估值日至估值日期间发生分红除权、折算或拆分，基金管理人应根据基金份额净值或收盘价、单位基金份额分红金额、折算拆分比例、持仓份额等因素合理确定公允价值。</w:t>
      </w:r>
    </w:p>
    <w:p>
      <w:pPr>
        <w:pStyle w:val="20"/>
        <w:numPr>
          <w:ilvl w:val="0"/>
          <w:numId w:val="17"/>
        </w:numPr>
        <w:spacing w:line="360" w:lineRule="auto"/>
        <w:ind w:firstLineChars="0"/>
        <w:rPr>
          <w:rFonts w:ascii="Arial" w:hAnsi="Arial" w:cs="Arial"/>
          <w:color w:val="0D0D0D" w:themeColor="text1" w:themeTint="F2"/>
          <w:sz w:val="22"/>
          <w:szCs w:val="22"/>
          <w14:textFill>
            <w14:solidFill>
              <w14:schemeClr w14:val="tx1">
                <w14:lumMod w14:val="95000"/>
                <w14:lumOff w14:val="5000"/>
              </w14:schemeClr>
            </w14:solidFill>
          </w14:textFill>
        </w:rPr>
      </w:pPr>
      <w:r>
        <w:rPr>
          <w:rFonts w:hint="eastAsia" w:ascii="Arial" w:hAnsi="Arial" w:cs="Arial"/>
          <w:color w:val="0D0D0D" w:themeColor="text1" w:themeTint="F2"/>
          <w:sz w:val="22"/>
          <w:szCs w:val="22"/>
          <w14:textFill>
            <w14:solidFill>
              <w14:schemeClr w14:val="tx1">
                <w14:lumMod w14:val="95000"/>
                <w14:lumOff w14:val="5000"/>
              </w14:schemeClr>
            </w14:solidFill>
          </w14:textFill>
        </w:rPr>
        <w:t>其他资产管理产品的估值</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1</w:t>
      </w:r>
      <w:r>
        <w:rPr>
          <w:rFonts w:hint="eastAsia" w:ascii="Arial" w:hAnsi="Arial" w:cs="Arial"/>
          <w:color w:val="0D0D0D" w:themeColor="text1" w:themeTint="F2"/>
          <w:sz w:val="22"/>
          <w:szCs w:val="22"/>
          <w14:textFill>
            <w14:solidFill>
              <w14:schemeClr w14:val="tx1">
                <w14:lumMod w14:val="95000"/>
                <w14:lumOff w14:val="5000"/>
              </w14:schemeClr>
            </w14:solidFill>
          </w14:textFill>
        </w:rPr>
        <w:t>）以估值日截止时点能够获得的、由所投资产管理产品的管理人和资产托管人共同确认的最新份额净值或投资收益情况进行估值；</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2）如所</w:t>
      </w:r>
      <w:r>
        <w:rPr>
          <w:rFonts w:hint="eastAsia" w:ascii="Arial" w:hAnsi="Arial" w:cs="Arial"/>
          <w:color w:val="0D0D0D" w:themeColor="text1" w:themeTint="F2"/>
          <w:sz w:val="22"/>
          <w:szCs w:val="22"/>
          <w14:textFill>
            <w14:solidFill>
              <w14:schemeClr w14:val="tx1">
                <w14:lumMod w14:val="95000"/>
                <w14:lumOff w14:val="5000"/>
              </w14:schemeClr>
            </w14:solidFill>
          </w14:textFill>
        </w:rPr>
        <w:t>投</w:t>
      </w:r>
      <w:r>
        <w:rPr>
          <w:rFonts w:ascii="Arial" w:hAnsi="Arial" w:cs="Arial"/>
          <w:color w:val="0D0D0D" w:themeColor="text1" w:themeTint="F2"/>
          <w:sz w:val="22"/>
          <w:szCs w:val="22"/>
          <w14:textFill>
            <w14:solidFill>
              <w14:schemeClr w14:val="tx1">
                <w14:lumMod w14:val="95000"/>
                <w14:lumOff w14:val="5000"/>
              </w14:schemeClr>
            </w14:solidFill>
          </w14:textFill>
        </w:rPr>
        <w:t>资产管理产品的产品合同未约定估值方案或其管理人提供的估值数据不公允，由产品管理人和产品托管人根据合理判断按反映产品公允价值的计量方案进行估值。</w:t>
      </w:r>
    </w:p>
    <w:p>
      <w:pPr>
        <w:pStyle w:val="20"/>
        <w:numPr>
          <w:ilvl w:val="0"/>
          <w:numId w:val="17"/>
        </w:numPr>
        <w:spacing w:line="360" w:lineRule="auto"/>
        <w:ind w:firstLineChars="0"/>
        <w:rPr>
          <w:rFonts w:ascii="Arial" w:hAnsi="Arial" w:cs="Arial"/>
          <w:color w:val="000000" w:themeColor="text1"/>
          <w:sz w:val="22"/>
          <w:szCs w:val="22"/>
          <w14:textFill>
            <w14:solidFill>
              <w14:schemeClr w14:val="tx1"/>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衍生品金融工具估值</w:t>
      </w:r>
      <w:r>
        <w:rPr>
          <w:rFonts w:hint="eastAsia" w:ascii="Arial" w:hAnsi="Arial" w:cs="Arial"/>
          <w:color w:val="000000" w:themeColor="text1"/>
          <w:sz w:val="22"/>
          <w:szCs w:val="22"/>
          <w14:textFill>
            <w14:solidFill>
              <w14:schemeClr w14:val="tx1"/>
            </w14:solidFill>
          </w14:textFill>
        </w:rPr>
        <w:t>，包括但不限于利率互换、收益互换、国债期货等</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1）场内交易的衍生品金融工具，以交易所最近交易日结算价或收盘价进行估值；</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2）场外交易的衍生品金融工具，采用估值技术确定其公允价值，按照管理人和托管人认可的估值模型或第三方数据进行估值。</w:t>
      </w:r>
    </w:p>
    <w:p>
      <w:pPr>
        <w:pStyle w:val="20"/>
        <w:numPr>
          <w:ilvl w:val="0"/>
          <w:numId w:val="17"/>
        </w:numPr>
        <w:spacing w:line="360" w:lineRule="auto"/>
        <w:ind w:left="0" w:firstLine="44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优先股的估值</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hint="eastAsia" w:ascii="Arial" w:hAnsi="Arial" w:cs="Arial"/>
          <w:color w:val="0D0D0D" w:themeColor="text1" w:themeTint="F2"/>
          <w:sz w:val="22"/>
          <w:szCs w:val="22"/>
          <w14:textFill>
            <w14:solidFill>
              <w14:schemeClr w14:val="tx1">
                <w14:lumMod w14:val="95000"/>
                <w14:lumOff w14:val="5000"/>
              </w14:schemeClr>
            </w14:solidFill>
          </w14:textFill>
        </w:rPr>
        <w:t>优先股按第三方估值机构（中债、中证等）提供的估值数据进行估值；无第三方估值的，由管理人和托管人根据合理判断按反映产品公允价值的计量方案进行估值。</w:t>
      </w:r>
    </w:p>
    <w:p>
      <w:pPr>
        <w:pStyle w:val="20"/>
        <w:numPr>
          <w:ilvl w:val="0"/>
          <w:numId w:val="17"/>
        </w:numPr>
        <w:spacing w:line="360" w:lineRule="auto"/>
        <w:ind w:left="0" w:firstLine="456"/>
        <w:rPr>
          <w:rFonts w:ascii="Arial" w:hAnsi="Arial" w:cs="Arial"/>
          <w:color w:val="0D0D0D" w:themeColor="text1" w:themeTint="F2"/>
          <w:spacing w:val="4"/>
          <w:sz w:val="22"/>
          <w:szCs w:val="22"/>
          <w14:textFill>
            <w14:solidFill>
              <w14:schemeClr w14:val="tx1">
                <w14:lumMod w14:val="95000"/>
                <w14:lumOff w14:val="5000"/>
              </w14:schemeClr>
            </w14:solidFill>
          </w14:textFill>
        </w:rPr>
      </w:pPr>
      <w:r>
        <w:rPr>
          <w:rFonts w:hint="eastAsia" w:ascii="Arial" w:hAnsi="Arial" w:cs="Arial"/>
          <w:color w:val="0D0D0D" w:themeColor="text1" w:themeTint="F2"/>
          <w:spacing w:val="4"/>
          <w:sz w:val="22"/>
          <w:szCs w:val="22"/>
          <w14:textFill>
            <w14:solidFill>
              <w14:schemeClr w14:val="tx1">
                <w14:lumMod w14:val="95000"/>
                <w14:lumOff w14:val="5000"/>
              </w14:schemeClr>
            </w14:solidFill>
          </w14:textFill>
        </w:rPr>
        <w:t>结构性产品的估值</w:t>
      </w:r>
    </w:p>
    <w:p>
      <w:pPr>
        <w:spacing w:line="360" w:lineRule="auto"/>
        <w:ind w:firstLine="456" w:firstLineChars="200"/>
        <w:rPr>
          <w:rFonts w:ascii="Arial" w:hAnsi="Arial" w:cs="Arial"/>
          <w:color w:val="0D0D0D" w:themeColor="text1" w:themeTint="F2"/>
          <w:spacing w:val="4"/>
          <w:sz w:val="22"/>
          <w:szCs w:val="22"/>
          <w14:textFill>
            <w14:solidFill>
              <w14:schemeClr w14:val="tx1">
                <w14:lumMod w14:val="95000"/>
                <w14:lumOff w14:val="5000"/>
              </w14:schemeClr>
            </w14:solidFill>
          </w14:textFill>
        </w:rPr>
      </w:pPr>
      <w:r>
        <w:rPr>
          <w:rFonts w:hint="eastAsia" w:ascii="Arial" w:hAnsi="Arial" w:cs="Arial"/>
          <w:color w:val="0D0D0D" w:themeColor="text1" w:themeTint="F2"/>
          <w:spacing w:val="4"/>
          <w:sz w:val="22"/>
          <w:szCs w:val="22"/>
          <w14:textFill>
            <w14:solidFill>
              <w14:schemeClr w14:val="tx1">
                <w14:lumMod w14:val="95000"/>
                <w14:lumOff w14:val="5000"/>
              </w14:schemeClr>
            </w14:solidFill>
          </w14:textFill>
        </w:rPr>
        <w:t>结构性产品以发行人提供的最新估值价格或管理人与托管人认可的估值技术进行估值。</w:t>
      </w:r>
    </w:p>
    <w:p>
      <w:pPr>
        <w:pStyle w:val="20"/>
        <w:numPr>
          <w:ilvl w:val="0"/>
          <w:numId w:val="17"/>
        </w:numPr>
        <w:spacing w:line="360" w:lineRule="auto"/>
        <w:ind w:left="0" w:firstLine="456"/>
        <w:rPr>
          <w:rFonts w:ascii="Arial" w:hAnsi="Arial" w:cs="Arial"/>
          <w:color w:val="0D0D0D" w:themeColor="text1" w:themeTint="F2"/>
          <w:spacing w:val="4"/>
          <w:sz w:val="22"/>
          <w:szCs w:val="22"/>
          <w14:textFill>
            <w14:solidFill>
              <w14:schemeClr w14:val="tx1">
                <w14:lumMod w14:val="95000"/>
                <w14:lumOff w14:val="5000"/>
              </w14:schemeClr>
            </w14:solidFill>
          </w14:textFill>
        </w:rPr>
      </w:pPr>
      <w:r>
        <w:rPr>
          <w:rFonts w:ascii="Arial" w:hAnsi="Arial" w:cs="Arial"/>
          <w:color w:val="0D0D0D" w:themeColor="text1" w:themeTint="F2"/>
          <w:spacing w:val="4"/>
          <w:sz w:val="22"/>
          <w:szCs w:val="22"/>
          <w14:textFill>
            <w14:solidFill>
              <w14:schemeClr w14:val="tx1">
                <w14:lumMod w14:val="95000"/>
                <w14:lumOff w14:val="5000"/>
              </w14:schemeClr>
            </w14:solidFill>
          </w14:textFill>
        </w:rPr>
        <w:t>其他类资产的估值</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若</w:t>
      </w:r>
      <w:r>
        <w:rPr>
          <w:rFonts w:hint="eastAsia" w:ascii="Arial" w:hAnsi="Arial" w:cs="Arial"/>
          <w:color w:val="0D0D0D" w:themeColor="text1" w:themeTint="F2"/>
          <w:sz w:val="22"/>
          <w:szCs w:val="22"/>
          <w14:textFill>
            <w14:solidFill>
              <w14:schemeClr w14:val="tx1">
                <w14:lumMod w14:val="95000"/>
                <w14:lumOff w14:val="5000"/>
              </w14:schemeClr>
            </w14:solidFill>
          </w14:textFill>
        </w:rPr>
        <w:t>本</w:t>
      </w:r>
      <w:r>
        <w:rPr>
          <w:rFonts w:ascii="Arial" w:hAnsi="Arial" w:cs="Arial"/>
          <w:color w:val="0D0D0D" w:themeColor="text1" w:themeTint="F2"/>
          <w:sz w:val="22"/>
          <w:szCs w:val="22"/>
          <w14:textFill>
            <w14:solidFill>
              <w14:schemeClr w14:val="tx1">
                <w14:lumMod w14:val="95000"/>
                <w14:lumOff w14:val="5000"/>
              </w14:schemeClr>
            </w14:solidFill>
          </w14:textFill>
        </w:rPr>
        <w:t>理财产品存续期间持有其他投资品种，以管理人和托管人共同认可的方法估值。</w:t>
      </w:r>
    </w:p>
    <w:p>
      <w:pPr>
        <w:spacing w:line="360" w:lineRule="auto"/>
        <w:ind w:firstLine="440" w:firstLineChars="200"/>
        <w:rPr>
          <w:rFonts w:ascii="Arial" w:hAnsi="Arial" w:cs="Arial"/>
          <w:sz w:val="22"/>
          <w:szCs w:val="22"/>
        </w:rPr>
      </w:pPr>
      <w:r>
        <w:rPr>
          <w:rFonts w:ascii="Arial" w:hAnsi="Arial" w:cs="Arial"/>
          <w:color w:val="0D0D0D" w:themeColor="text1" w:themeTint="F2"/>
          <w:sz w:val="22"/>
          <w:szCs w:val="22"/>
          <w14:textFill>
            <w14:solidFill>
              <w14:schemeClr w14:val="tx1">
                <w14:lumMod w14:val="95000"/>
                <w14:lumOff w14:val="5000"/>
              </w14:schemeClr>
            </w14:solidFill>
          </w14:textFill>
        </w:rPr>
        <w:t>在任何情况下，如采用以上规定的方法对资产进行估值，均应被认为采用了适当的估值方法。如管理人有证据表明按上述规定不能客观反映</w:t>
      </w:r>
      <w:r>
        <w:rPr>
          <w:rFonts w:hint="eastAsia" w:ascii="Arial" w:hAnsi="Arial" w:cs="Arial"/>
          <w:color w:val="0D0D0D" w:themeColor="text1" w:themeTint="F2"/>
          <w:sz w:val="22"/>
          <w:szCs w:val="22"/>
          <w14:textFill>
            <w14:solidFill>
              <w14:schemeClr w14:val="tx1">
                <w14:lumMod w14:val="95000"/>
                <w14:lumOff w14:val="5000"/>
              </w14:schemeClr>
            </w14:solidFill>
          </w14:textFill>
        </w:rPr>
        <w:t>本</w:t>
      </w:r>
      <w:r>
        <w:rPr>
          <w:rFonts w:ascii="Arial" w:hAnsi="Arial" w:cs="Arial"/>
          <w:color w:val="0D0D0D" w:themeColor="text1" w:themeTint="F2"/>
          <w:sz w:val="22"/>
          <w:szCs w:val="22"/>
          <w14:textFill>
            <w14:solidFill>
              <w14:schemeClr w14:val="tx1">
                <w14:lumMod w14:val="95000"/>
                <w14:lumOff w14:val="5000"/>
              </w14:schemeClr>
            </w14:solidFill>
          </w14:textFill>
        </w:rPr>
        <w:t>理财产品资产公允价值的，管理人可根据具体情况，在综合考虑市场成交价、市场报价、流动性、收益率曲线、标的信用风险等多种因素基础上，按最能反映</w:t>
      </w:r>
      <w:r>
        <w:rPr>
          <w:rFonts w:hint="eastAsia" w:ascii="Arial" w:hAnsi="Arial" w:cs="Arial"/>
          <w:color w:val="0D0D0D" w:themeColor="text1" w:themeTint="F2"/>
          <w:sz w:val="22"/>
          <w:szCs w:val="22"/>
          <w14:textFill>
            <w14:solidFill>
              <w14:schemeClr w14:val="tx1">
                <w14:lumMod w14:val="95000"/>
                <w14:lumOff w14:val="5000"/>
              </w14:schemeClr>
            </w14:solidFill>
          </w14:textFill>
        </w:rPr>
        <w:t>本</w:t>
      </w:r>
      <w:r>
        <w:rPr>
          <w:rFonts w:ascii="Arial" w:hAnsi="Arial" w:cs="Arial"/>
          <w:color w:val="0D0D0D" w:themeColor="text1" w:themeTint="F2"/>
          <w:sz w:val="22"/>
          <w:szCs w:val="22"/>
          <w14:textFill>
            <w14:solidFill>
              <w14:schemeClr w14:val="tx1">
                <w14:lumMod w14:val="95000"/>
                <w14:lumOff w14:val="5000"/>
              </w14:schemeClr>
            </w14:solidFill>
          </w14:textFill>
        </w:rPr>
        <w:t>理财产品资产公允价值的方法估值。</w:t>
      </w:r>
    </w:p>
    <w:p>
      <w:pPr>
        <w:pStyle w:val="20"/>
        <w:numPr>
          <w:ilvl w:val="0"/>
          <w:numId w:val="16"/>
        </w:numPr>
        <w:spacing w:line="360" w:lineRule="auto"/>
        <w:ind w:firstLineChars="0"/>
        <w:jc w:val="left"/>
        <w:rPr>
          <w:rFonts w:ascii="Arial" w:hAnsi="Arial" w:cs="Arial"/>
          <w:sz w:val="22"/>
          <w:szCs w:val="22"/>
        </w:rPr>
      </w:pPr>
      <w:r>
        <w:rPr>
          <w:rFonts w:ascii="Arial" w:hAnsi="Arial" w:cs="Arial"/>
          <w:b/>
          <w:spacing w:val="4"/>
          <w:sz w:val="22"/>
          <w:szCs w:val="22"/>
        </w:rPr>
        <w:t>暂停估值的情形</w:t>
      </w:r>
    </w:p>
    <w:p>
      <w:pPr>
        <w:pStyle w:val="20"/>
        <w:numPr>
          <w:ilvl w:val="0"/>
          <w:numId w:val="19"/>
        </w:numPr>
        <w:spacing w:line="360" w:lineRule="auto"/>
        <w:ind w:firstLine="440"/>
        <w:rPr>
          <w:rFonts w:ascii="Arial" w:hAnsi="Arial" w:cs="Arial"/>
          <w:sz w:val="22"/>
          <w:szCs w:val="22"/>
        </w:rPr>
      </w:pPr>
      <w:r>
        <w:rPr>
          <w:rFonts w:ascii="Arial" w:hAnsi="Arial" w:cs="Arial"/>
          <w:sz w:val="22"/>
          <w:szCs w:val="22"/>
        </w:rPr>
        <w:t>根据</w:t>
      </w:r>
      <w:r>
        <w:rPr>
          <w:rFonts w:hint="eastAsia" w:ascii="Arial" w:hAnsi="Arial" w:cs="Arial"/>
          <w:sz w:val="22"/>
          <w:szCs w:val="22"/>
        </w:rPr>
        <w:t>本</w:t>
      </w:r>
      <w:r>
        <w:rPr>
          <w:rFonts w:ascii="Arial" w:hAnsi="Arial" w:cs="Arial"/>
          <w:sz w:val="22"/>
          <w:szCs w:val="22"/>
        </w:rPr>
        <w:t>理财产品投资所涉及的交易场所遇法定假日或因其它原因暂停营业时；</w:t>
      </w:r>
    </w:p>
    <w:p>
      <w:pPr>
        <w:pStyle w:val="20"/>
        <w:numPr>
          <w:ilvl w:val="0"/>
          <w:numId w:val="19"/>
        </w:numPr>
        <w:spacing w:line="360" w:lineRule="auto"/>
        <w:ind w:firstLine="440"/>
        <w:rPr>
          <w:rFonts w:ascii="Arial" w:hAnsi="Arial" w:cs="Arial"/>
          <w:sz w:val="22"/>
          <w:szCs w:val="22"/>
        </w:rPr>
      </w:pPr>
      <w:r>
        <w:rPr>
          <w:rFonts w:ascii="Arial" w:hAnsi="Arial" w:cs="Arial"/>
          <w:sz w:val="22"/>
          <w:szCs w:val="22"/>
        </w:rPr>
        <w:t>因其他任何不可抗力致使产品管理人（或其授权人）、产品托管人无法准确评估</w:t>
      </w:r>
      <w:r>
        <w:rPr>
          <w:rFonts w:hint="eastAsia" w:ascii="Arial" w:hAnsi="Arial" w:cs="Arial"/>
          <w:sz w:val="22"/>
          <w:szCs w:val="22"/>
        </w:rPr>
        <w:t>本</w:t>
      </w:r>
      <w:r>
        <w:rPr>
          <w:rFonts w:ascii="Arial" w:hAnsi="Arial" w:cs="Arial"/>
          <w:sz w:val="22"/>
          <w:szCs w:val="22"/>
        </w:rPr>
        <w:t>理财</w:t>
      </w:r>
      <w:r>
        <w:rPr>
          <w:rFonts w:hint="eastAsia" w:ascii="Arial" w:hAnsi="Arial" w:cs="Arial"/>
          <w:sz w:val="22"/>
          <w:szCs w:val="22"/>
        </w:rPr>
        <w:t>产品</w:t>
      </w:r>
      <w:r>
        <w:rPr>
          <w:rFonts w:ascii="Arial" w:hAnsi="Arial" w:cs="Arial"/>
          <w:sz w:val="22"/>
          <w:szCs w:val="22"/>
        </w:rPr>
        <w:t>所投资产价值时；</w:t>
      </w:r>
    </w:p>
    <w:p>
      <w:pPr>
        <w:pStyle w:val="20"/>
        <w:numPr>
          <w:ilvl w:val="0"/>
          <w:numId w:val="19"/>
        </w:numPr>
        <w:spacing w:line="360" w:lineRule="auto"/>
        <w:ind w:firstLine="440"/>
        <w:rPr>
          <w:rFonts w:ascii="Arial" w:hAnsi="Arial" w:cs="Arial"/>
          <w:sz w:val="22"/>
          <w:szCs w:val="22"/>
        </w:rPr>
      </w:pPr>
      <w:r>
        <w:rPr>
          <w:rFonts w:hint="eastAsia" w:ascii="Arial" w:hAnsi="Arial" w:cs="Arial"/>
          <w:sz w:val="22"/>
          <w:szCs w:val="22"/>
        </w:rPr>
        <w:t>产品资产净值50%以上的资产不具备活跃交易市场或者在活跃市场中无报价，且不能采用估值技术可靠计量公允价值的；</w:t>
      </w:r>
    </w:p>
    <w:p>
      <w:pPr>
        <w:pStyle w:val="20"/>
        <w:numPr>
          <w:ilvl w:val="0"/>
          <w:numId w:val="19"/>
        </w:numPr>
        <w:spacing w:line="360" w:lineRule="auto"/>
        <w:ind w:firstLine="440"/>
        <w:rPr>
          <w:rFonts w:ascii="Arial" w:hAnsi="Arial" w:cs="Arial"/>
          <w:sz w:val="22"/>
          <w:szCs w:val="22"/>
        </w:rPr>
      </w:pPr>
      <w:r>
        <w:rPr>
          <w:rFonts w:ascii="Arial" w:hAnsi="Arial" w:cs="Arial"/>
          <w:sz w:val="22"/>
          <w:szCs w:val="22"/>
        </w:rPr>
        <w:t>占</w:t>
      </w:r>
      <w:r>
        <w:rPr>
          <w:rFonts w:hint="eastAsia" w:ascii="Arial" w:hAnsi="Arial" w:cs="Arial"/>
          <w:sz w:val="22"/>
          <w:szCs w:val="22"/>
        </w:rPr>
        <w:t>本</w:t>
      </w:r>
      <w:r>
        <w:rPr>
          <w:rFonts w:ascii="Arial" w:hAnsi="Arial" w:cs="Arial"/>
          <w:sz w:val="22"/>
          <w:szCs w:val="22"/>
        </w:rPr>
        <w:t>理财</w:t>
      </w:r>
      <w:r>
        <w:rPr>
          <w:rFonts w:hint="eastAsia" w:ascii="Arial" w:hAnsi="Arial" w:cs="Arial"/>
          <w:sz w:val="22"/>
          <w:szCs w:val="22"/>
        </w:rPr>
        <w:t>产品</w:t>
      </w:r>
      <w:r>
        <w:rPr>
          <w:rFonts w:ascii="Arial" w:hAnsi="Arial" w:cs="Arial"/>
          <w:sz w:val="22"/>
          <w:szCs w:val="22"/>
        </w:rPr>
        <w:t>所投资产相当比例的投资品种的估值出现重大转变，而产品管理人（或其授权人）为保障资产委托人的利益，决定延迟估值并征得产品托管人同意的；</w:t>
      </w:r>
    </w:p>
    <w:p>
      <w:pPr>
        <w:pStyle w:val="20"/>
        <w:numPr>
          <w:ilvl w:val="0"/>
          <w:numId w:val="19"/>
        </w:numPr>
        <w:spacing w:line="360" w:lineRule="auto"/>
        <w:ind w:firstLine="440"/>
        <w:rPr>
          <w:rFonts w:ascii="Arial" w:hAnsi="Arial" w:cs="Arial"/>
          <w:sz w:val="22"/>
          <w:szCs w:val="22"/>
        </w:rPr>
      </w:pPr>
      <w:r>
        <w:rPr>
          <w:rFonts w:ascii="Arial" w:hAnsi="Arial" w:cs="Arial"/>
          <w:sz w:val="22"/>
          <w:szCs w:val="22"/>
        </w:rPr>
        <w:t>监管部门认定的其他情形。</w:t>
      </w:r>
    </w:p>
    <w:p>
      <w:pPr>
        <w:pStyle w:val="20"/>
        <w:spacing w:line="360" w:lineRule="auto"/>
        <w:ind w:firstLine="440"/>
        <w:rPr>
          <w:rFonts w:ascii="Arial" w:hAnsi="Arial" w:cs="Arial"/>
          <w:sz w:val="22"/>
          <w:szCs w:val="22"/>
        </w:rPr>
      </w:pPr>
      <w:r>
        <w:rPr>
          <w:rFonts w:hint="eastAsia" w:ascii="Arial" w:hAnsi="Arial" w:cs="Arial"/>
          <w:sz w:val="22"/>
          <w:szCs w:val="22"/>
        </w:rPr>
        <w:t>发生上述（3）约定的暂停估值情形时，管理人应于3个交易日内按照产品说明书约定的信息披露方式进行公告，并说明原因及应对安排。</w:t>
      </w:r>
    </w:p>
    <w:p>
      <w:pPr>
        <w:pStyle w:val="20"/>
        <w:numPr>
          <w:ilvl w:val="0"/>
          <w:numId w:val="16"/>
        </w:numPr>
        <w:spacing w:line="360" w:lineRule="auto"/>
        <w:ind w:firstLineChars="0"/>
        <w:jc w:val="left"/>
        <w:rPr>
          <w:rFonts w:ascii="Arial" w:hAnsi="Arial" w:cs="Arial"/>
          <w:b/>
          <w:spacing w:val="4"/>
          <w:sz w:val="22"/>
          <w:szCs w:val="22"/>
        </w:rPr>
      </w:pPr>
      <w:r>
        <w:rPr>
          <w:rFonts w:hint="eastAsia" w:ascii="Arial" w:hAnsi="Arial" w:cs="Arial"/>
          <w:b/>
          <w:spacing w:val="4"/>
          <w:sz w:val="22"/>
          <w:szCs w:val="22"/>
        </w:rPr>
        <w:t>估值错误的处理</w:t>
      </w:r>
    </w:p>
    <w:p>
      <w:pPr>
        <w:pStyle w:val="20"/>
        <w:spacing w:line="360" w:lineRule="auto"/>
        <w:ind w:firstLine="440"/>
        <w:rPr>
          <w:rFonts w:ascii="Arial" w:hAnsi="Arial" w:cs="Arial"/>
          <w:sz w:val="22"/>
          <w:szCs w:val="22"/>
        </w:rPr>
      </w:pPr>
      <w:r>
        <w:rPr>
          <w:rFonts w:hint="eastAsia" w:ascii="Arial" w:hAnsi="Arial" w:cs="Arial"/>
          <w:sz w:val="22"/>
          <w:szCs w:val="22"/>
        </w:rPr>
        <w:t>（1）估值错误处理原则</w:t>
      </w:r>
    </w:p>
    <w:p>
      <w:pPr>
        <w:pStyle w:val="20"/>
        <w:spacing w:line="360" w:lineRule="auto"/>
        <w:ind w:firstLine="440"/>
        <w:rPr>
          <w:rFonts w:ascii="Arial" w:hAnsi="Arial" w:cs="Arial"/>
          <w:sz w:val="22"/>
          <w:szCs w:val="22"/>
        </w:rPr>
      </w:pPr>
      <w:r>
        <w:rPr>
          <w:rFonts w:hint="eastAsia" w:ascii="Arial" w:hAnsi="Arial" w:cs="Arial"/>
          <w:sz w:val="22"/>
          <w:szCs w:val="22"/>
        </w:rPr>
        <w:t>1）由于理财产品管理人或理财产品托管人自身的过错造成估值错误，导致投资者遭受损失的，由估值错误责任方按照各自过错程度对该估值错误导致投资者遭受的直接损失给予赔偿，承担赔偿责任。</w:t>
      </w:r>
    </w:p>
    <w:p>
      <w:pPr>
        <w:pStyle w:val="20"/>
        <w:spacing w:line="360" w:lineRule="auto"/>
        <w:ind w:firstLine="440"/>
        <w:rPr>
          <w:rFonts w:ascii="Arial" w:hAnsi="Arial" w:cs="Arial"/>
          <w:sz w:val="22"/>
          <w:szCs w:val="22"/>
        </w:rPr>
      </w:pPr>
      <w:r>
        <w:rPr>
          <w:rFonts w:hint="eastAsia" w:ascii="Arial" w:hAnsi="Arial" w:cs="Arial"/>
          <w:sz w:val="22"/>
          <w:szCs w:val="22"/>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pStyle w:val="20"/>
        <w:spacing w:line="360" w:lineRule="auto"/>
        <w:ind w:firstLine="440"/>
        <w:rPr>
          <w:rFonts w:ascii="Arial" w:hAnsi="Arial" w:cs="Arial"/>
          <w:sz w:val="22"/>
          <w:szCs w:val="22"/>
        </w:rPr>
      </w:pPr>
      <w:r>
        <w:rPr>
          <w:rFonts w:hint="eastAsia" w:ascii="Arial" w:hAnsi="Arial" w:cs="Arial"/>
          <w:sz w:val="22"/>
          <w:szCs w:val="22"/>
        </w:rPr>
        <w:t>3）</w:t>
      </w:r>
      <w:r>
        <w:rPr>
          <w:rFonts w:hint="eastAsia" w:ascii="宋体" w:hAnsi="宋体"/>
        </w:rPr>
        <w:t>因理财产品托管人估值错误造成财产损失，管理人先行赔付的，管理人有权向托管人追偿。</w:t>
      </w:r>
      <w:r>
        <w:rPr>
          <w:rFonts w:hint="eastAsia" w:ascii="Arial" w:hAnsi="Arial" w:cs="Arial"/>
          <w:sz w:val="22"/>
          <w:szCs w:val="22"/>
        </w:rPr>
        <w:t>若理财产品管理人和理财产品托管人之外的第三方估值差错造成财产的损失，并拒绝进行赔偿时，由理财产品管理人负责向差错方追偿；追偿过程中产生的有关费用，应列入理财产品费用，由理财产品承担。</w:t>
      </w:r>
    </w:p>
    <w:p>
      <w:pPr>
        <w:pStyle w:val="20"/>
        <w:spacing w:line="360" w:lineRule="auto"/>
        <w:ind w:firstLine="440"/>
        <w:rPr>
          <w:rFonts w:ascii="Arial" w:hAnsi="Arial" w:cs="Arial"/>
          <w:sz w:val="22"/>
          <w:szCs w:val="22"/>
        </w:rPr>
      </w:pPr>
      <w:r>
        <w:rPr>
          <w:rFonts w:hint="eastAsia" w:ascii="Arial" w:hAnsi="Arial" w:cs="Arial"/>
          <w:sz w:val="22"/>
          <w:szCs w:val="22"/>
        </w:rPr>
        <w:t>4）当估值出现错误时，因估值错误而获得不当得利的投资者负有及时返还不当得利的义务。</w:t>
      </w:r>
    </w:p>
    <w:p>
      <w:pPr>
        <w:pStyle w:val="20"/>
        <w:spacing w:line="360" w:lineRule="auto"/>
        <w:ind w:firstLine="440"/>
        <w:rPr>
          <w:rFonts w:ascii="Arial" w:hAnsi="Arial" w:cs="Arial"/>
          <w:sz w:val="22"/>
          <w:szCs w:val="22"/>
        </w:rPr>
      </w:pPr>
      <w:r>
        <w:rPr>
          <w:rFonts w:hint="eastAsia" w:ascii="Arial" w:hAnsi="Arial" w:cs="Arial"/>
          <w:sz w:val="22"/>
          <w:szCs w:val="22"/>
        </w:rPr>
        <w:t>5）按法律法规规定的其他原则处理估值错误。</w:t>
      </w:r>
    </w:p>
    <w:p>
      <w:pPr>
        <w:pStyle w:val="20"/>
        <w:spacing w:line="360" w:lineRule="auto"/>
        <w:ind w:firstLine="440"/>
        <w:rPr>
          <w:rFonts w:ascii="Arial" w:hAnsi="Arial" w:cs="Arial"/>
          <w:sz w:val="22"/>
          <w:szCs w:val="22"/>
        </w:rPr>
      </w:pPr>
      <w:r>
        <w:rPr>
          <w:rFonts w:hint="eastAsia" w:ascii="Arial" w:hAnsi="Arial" w:cs="Arial"/>
          <w:sz w:val="22"/>
          <w:szCs w:val="22"/>
        </w:rPr>
        <w:t>（2）估值错误处理程序</w:t>
      </w:r>
    </w:p>
    <w:p>
      <w:pPr>
        <w:pStyle w:val="20"/>
        <w:spacing w:line="360" w:lineRule="auto"/>
        <w:ind w:firstLine="440"/>
        <w:rPr>
          <w:rFonts w:ascii="Arial" w:hAnsi="Arial" w:cs="Arial"/>
          <w:sz w:val="22"/>
          <w:szCs w:val="22"/>
        </w:rPr>
      </w:pPr>
      <w:r>
        <w:rPr>
          <w:rFonts w:hint="eastAsia" w:ascii="Arial" w:hAnsi="Arial" w:cs="Arial"/>
          <w:sz w:val="22"/>
          <w:szCs w:val="22"/>
        </w:rPr>
        <w:t>估值错误被发现后，有关的当事人应当及时进行处理，处理的程序如下：</w:t>
      </w:r>
    </w:p>
    <w:p>
      <w:pPr>
        <w:pStyle w:val="20"/>
        <w:spacing w:line="360" w:lineRule="auto"/>
        <w:ind w:firstLine="440"/>
        <w:rPr>
          <w:rFonts w:ascii="Arial" w:hAnsi="Arial" w:cs="Arial"/>
          <w:sz w:val="22"/>
          <w:szCs w:val="22"/>
        </w:rPr>
      </w:pPr>
      <w:r>
        <w:rPr>
          <w:rFonts w:hint="eastAsia" w:ascii="Arial" w:hAnsi="Arial" w:cs="Arial"/>
          <w:sz w:val="22"/>
          <w:szCs w:val="22"/>
        </w:rPr>
        <w:t>1）查明估值错误发生的原因，列明所有的当事人，并根据估值错误发生的原因确定估值错误的责任方；</w:t>
      </w:r>
    </w:p>
    <w:p>
      <w:pPr>
        <w:pStyle w:val="20"/>
        <w:spacing w:line="360" w:lineRule="auto"/>
        <w:ind w:firstLine="440"/>
        <w:rPr>
          <w:rFonts w:ascii="Arial" w:hAnsi="Arial" w:cs="Arial"/>
          <w:sz w:val="22"/>
          <w:szCs w:val="22"/>
        </w:rPr>
      </w:pPr>
      <w:r>
        <w:rPr>
          <w:rFonts w:hint="eastAsia" w:ascii="Arial" w:hAnsi="Arial" w:cs="Arial"/>
          <w:sz w:val="22"/>
          <w:szCs w:val="22"/>
        </w:rPr>
        <w:t>2）根据估值错误处理原则或当事人协商的方法对因估值错误造成的损失进行评估；</w:t>
      </w:r>
    </w:p>
    <w:p>
      <w:pPr>
        <w:pStyle w:val="20"/>
        <w:spacing w:line="360" w:lineRule="auto"/>
        <w:ind w:firstLine="440"/>
        <w:rPr>
          <w:rFonts w:ascii="Arial" w:hAnsi="Arial" w:cs="Arial"/>
          <w:sz w:val="22"/>
          <w:szCs w:val="22"/>
        </w:rPr>
      </w:pPr>
      <w:r>
        <w:rPr>
          <w:rFonts w:hint="eastAsia" w:ascii="Arial" w:hAnsi="Arial" w:cs="Arial"/>
          <w:sz w:val="22"/>
          <w:szCs w:val="22"/>
        </w:rPr>
        <w:t>3）根据估值错误处理原则或当事人协商的方法由估值错误的责任方进行更正和赔偿损失；</w:t>
      </w:r>
    </w:p>
    <w:p>
      <w:pPr>
        <w:pStyle w:val="20"/>
        <w:spacing w:line="360" w:lineRule="auto"/>
        <w:ind w:firstLine="440"/>
        <w:rPr>
          <w:rFonts w:ascii="Arial" w:hAnsi="Arial" w:cs="Arial"/>
          <w:sz w:val="22"/>
          <w:szCs w:val="22"/>
        </w:rPr>
      </w:pPr>
      <w:r>
        <w:rPr>
          <w:rFonts w:hint="eastAsia" w:ascii="Arial" w:hAnsi="Arial" w:cs="Arial"/>
          <w:sz w:val="22"/>
          <w:szCs w:val="22"/>
        </w:rPr>
        <w:t>4）根据估值错误处理的方法，需要修改理财产品登记机构交易数据的，由理财产品管理人进行更正，并就估值错误的更正向有关当事人进行确认。</w:t>
      </w:r>
    </w:p>
    <w:p>
      <w:pPr>
        <w:pStyle w:val="20"/>
        <w:spacing w:line="360" w:lineRule="auto"/>
        <w:ind w:firstLine="440"/>
        <w:rPr>
          <w:rFonts w:ascii="Arial" w:hAnsi="Arial" w:cs="Arial"/>
          <w:sz w:val="22"/>
          <w:szCs w:val="22"/>
        </w:rPr>
      </w:pPr>
      <w:r>
        <w:rPr>
          <w:rFonts w:hint="eastAsia" w:ascii="Arial" w:hAnsi="Arial" w:cs="Arial"/>
          <w:sz w:val="22"/>
          <w:szCs w:val="22"/>
        </w:rPr>
        <w:t>（3）特殊情况的处理</w:t>
      </w:r>
    </w:p>
    <w:p>
      <w:pPr>
        <w:pStyle w:val="20"/>
        <w:spacing w:line="360" w:lineRule="auto"/>
        <w:ind w:firstLine="440"/>
        <w:rPr>
          <w:rFonts w:ascii="Arial" w:hAnsi="Arial" w:cs="Arial"/>
          <w:sz w:val="22"/>
          <w:szCs w:val="22"/>
        </w:rPr>
      </w:pPr>
      <w:r>
        <w:rPr>
          <w:rFonts w:hint="eastAsia" w:ascii="Arial" w:hAnsi="Arial" w:cs="Arial"/>
          <w:sz w:val="22"/>
          <w:szCs w:val="22"/>
        </w:rPr>
        <w:t>1）由于不可抗力原因，或由于证券交易所、期货交易所、第三方估值机构、登记机构、基金公司、资管计划管理人等发送数据错误等非理财产品管理人和理财产品托管人原因，理财产品管理人和托管人虽然已经采取必要、适当、合理的措施进行检查，但未能发现错误的，由此造成的估值错误，理财产品管理人和理财产品托管人免除赔偿责任。但理财产品管理人、理财产品托管人应当积极采取必要的措施减轻或消除由此造成的影响。</w:t>
      </w:r>
    </w:p>
    <w:p>
      <w:pPr>
        <w:pStyle w:val="20"/>
        <w:spacing w:line="360" w:lineRule="auto"/>
        <w:ind w:firstLine="440"/>
        <w:rPr>
          <w:rFonts w:ascii="Arial" w:hAnsi="Arial" w:cs="Arial"/>
          <w:sz w:val="22"/>
          <w:szCs w:val="22"/>
        </w:rPr>
      </w:pPr>
      <w:r>
        <w:rPr>
          <w:rFonts w:hint="eastAsia" w:ascii="Arial" w:hAnsi="Arial" w:cs="Arial"/>
          <w:sz w:val="22"/>
          <w:szCs w:val="22"/>
        </w:rPr>
        <w:t>2）前述内容如法律法规、监管机关另有规定的，或有关会计准则发生变化等，按照国家最新规定估值。如果行业另有通行做法，理财产品管理人和托管人双方本着平等和保护份额持有人利益的原则进行协商。</w:t>
      </w:r>
    </w:p>
    <w:p>
      <w:pPr>
        <w:pStyle w:val="20"/>
        <w:numPr>
          <w:ilvl w:val="0"/>
          <w:numId w:val="16"/>
        </w:numPr>
        <w:spacing w:line="360" w:lineRule="auto"/>
        <w:ind w:firstLineChars="0"/>
        <w:jc w:val="left"/>
        <w:rPr>
          <w:rFonts w:ascii="Arial" w:hAnsi="Arial" w:cs="Arial"/>
          <w:b/>
          <w:spacing w:val="4"/>
          <w:sz w:val="22"/>
          <w:szCs w:val="22"/>
        </w:rPr>
      </w:pPr>
      <w:r>
        <w:rPr>
          <w:rFonts w:ascii="Arial" w:hAnsi="Arial" w:cs="Arial"/>
          <w:b/>
          <w:spacing w:val="4"/>
          <w:sz w:val="22"/>
          <w:szCs w:val="22"/>
        </w:rPr>
        <w:t>其他</w:t>
      </w:r>
    </w:p>
    <w:p>
      <w:pPr>
        <w:spacing w:line="360" w:lineRule="auto"/>
        <w:ind w:firstLine="440" w:firstLineChars="200"/>
        <w:rPr>
          <w:rFonts w:ascii="Arial" w:hAnsi="Arial" w:cs="Arial"/>
          <w:sz w:val="22"/>
          <w:szCs w:val="22"/>
        </w:rPr>
      </w:pPr>
      <w:r>
        <w:rPr>
          <w:rFonts w:ascii="Arial" w:hAnsi="Arial" w:cs="Arial"/>
          <w:sz w:val="22"/>
          <w:szCs w:val="22"/>
        </w:rPr>
        <w:t>若因国家规定或有确凿证据表明按上述方法进行计价不能客观反映公允价值的，产品管理人有权按照最能反映其公允价值的方法计价，并及时向投资者公告。</w:t>
      </w:r>
    </w:p>
    <w:p>
      <w:pPr>
        <w:pStyle w:val="2"/>
        <w:numPr>
          <w:ilvl w:val="0"/>
          <w:numId w:val="3"/>
        </w:numPr>
        <w:tabs>
          <w:tab w:val="left" w:pos="426"/>
        </w:tabs>
        <w:spacing w:line="240" w:lineRule="auto"/>
        <w:rPr>
          <w:rFonts w:ascii="Arial" w:hAnsi="Arial" w:cs="Arial"/>
          <w:color w:val="000000"/>
          <w:sz w:val="22"/>
          <w:szCs w:val="22"/>
        </w:rPr>
      </w:pPr>
      <w:r>
        <w:rPr>
          <w:rFonts w:ascii="Arial" w:hAnsi="Arial" w:cs="Arial"/>
          <w:color w:val="000000"/>
          <w:sz w:val="22"/>
          <w:szCs w:val="22"/>
        </w:rPr>
        <w:t>产品费用</w:t>
      </w:r>
    </w:p>
    <w:p>
      <w:pPr>
        <w:pStyle w:val="20"/>
        <w:widowControl/>
        <w:numPr>
          <w:ilvl w:val="0"/>
          <w:numId w:val="20"/>
        </w:numPr>
        <w:spacing w:line="360" w:lineRule="auto"/>
        <w:ind w:left="0" w:firstLine="510" w:firstLineChars="0"/>
        <w:jc w:val="left"/>
        <w:rPr>
          <w:rFonts w:ascii="Arial" w:hAnsi="Arial" w:cs="Arial"/>
          <w:b/>
          <w:color w:val="000000"/>
          <w:sz w:val="22"/>
          <w:szCs w:val="22"/>
        </w:rPr>
      </w:pPr>
      <w:r>
        <w:rPr>
          <w:rFonts w:ascii="Arial" w:hAnsi="Arial" w:cs="Arial"/>
          <w:b/>
          <w:color w:val="000000"/>
          <w:sz w:val="22"/>
          <w:szCs w:val="22"/>
        </w:rPr>
        <w:t>理财资金所承担的相关费用</w:t>
      </w:r>
    </w:p>
    <w:p>
      <w:pPr>
        <w:tabs>
          <w:tab w:val="left" w:pos="8647"/>
        </w:tabs>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本理财产品所承担的费用包括产品固定管理费、托管费、销售服务费、增值税及附加税费等费用以及其它应由</w:t>
      </w:r>
      <w:r>
        <w:rPr>
          <w:rFonts w:hint="eastAsia" w:ascii="Arial" w:hAnsi="Arial" w:cs="Arial"/>
          <w:color w:val="000000"/>
          <w:sz w:val="22"/>
          <w:szCs w:val="22"/>
        </w:rPr>
        <w:t>本</w:t>
      </w:r>
      <w:r>
        <w:rPr>
          <w:rFonts w:ascii="Arial" w:hAnsi="Arial" w:cs="Arial"/>
          <w:color w:val="000000"/>
          <w:sz w:val="22"/>
          <w:szCs w:val="22"/>
        </w:rPr>
        <w:t>理财产品资产承担的产品费用。</w:t>
      </w:r>
    </w:p>
    <w:p>
      <w:pPr>
        <w:tabs>
          <w:tab w:val="left" w:pos="8647"/>
        </w:tabs>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本</w:t>
      </w:r>
      <w:r>
        <w:rPr>
          <w:rFonts w:ascii="Arial" w:hAnsi="Arial" w:cs="Arial"/>
          <w:color w:val="000000"/>
          <w:sz w:val="22"/>
          <w:szCs w:val="22"/>
        </w:rPr>
        <w:t>理财</w:t>
      </w:r>
      <w:r>
        <w:rPr>
          <w:rFonts w:hint="eastAsia" w:ascii="Arial" w:hAnsi="Arial" w:cs="Arial"/>
          <w:color w:val="000000"/>
          <w:sz w:val="22"/>
          <w:szCs w:val="22"/>
        </w:rPr>
        <w:t>产品</w:t>
      </w:r>
      <w:r>
        <w:rPr>
          <w:rFonts w:ascii="Arial" w:hAnsi="Arial" w:cs="Arial"/>
          <w:color w:val="000000"/>
          <w:sz w:val="22"/>
          <w:szCs w:val="22"/>
        </w:rPr>
        <w:t>费用按本</w:t>
      </w:r>
      <w:r>
        <w:rPr>
          <w:rFonts w:hint="eastAsia" w:ascii="Arial" w:hAnsi="Arial" w:cs="Arial"/>
          <w:color w:val="000000"/>
          <w:sz w:val="22"/>
          <w:szCs w:val="22"/>
        </w:rPr>
        <w:t>理财</w:t>
      </w:r>
      <w:r>
        <w:rPr>
          <w:rFonts w:ascii="Arial" w:hAnsi="Arial" w:cs="Arial"/>
          <w:color w:val="000000"/>
          <w:sz w:val="22"/>
          <w:szCs w:val="22"/>
        </w:rPr>
        <w:t>产品说明书及管理人与费用收取方之间的协议约定从</w:t>
      </w:r>
      <w:r>
        <w:rPr>
          <w:rFonts w:hint="eastAsia" w:ascii="Arial" w:hAnsi="Arial" w:cs="Arial"/>
          <w:color w:val="000000"/>
          <w:sz w:val="22"/>
          <w:szCs w:val="22"/>
        </w:rPr>
        <w:t>本</w:t>
      </w:r>
      <w:r>
        <w:rPr>
          <w:rFonts w:ascii="Arial" w:hAnsi="Arial" w:cs="Arial"/>
          <w:color w:val="000000"/>
          <w:sz w:val="22"/>
          <w:szCs w:val="22"/>
        </w:rPr>
        <w:t>理财产品资产中支付。管理人或</w:t>
      </w:r>
      <w:r>
        <w:rPr>
          <w:rFonts w:hint="eastAsia" w:ascii="Arial" w:hAnsi="Arial" w:cs="Arial"/>
          <w:color w:val="000000"/>
          <w:sz w:val="22"/>
          <w:szCs w:val="22"/>
        </w:rPr>
        <w:t>本</w:t>
      </w:r>
      <w:r>
        <w:rPr>
          <w:rFonts w:ascii="Arial" w:hAnsi="Arial" w:cs="Arial"/>
          <w:color w:val="000000"/>
          <w:sz w:val="22"/>
          <w:szCs w:val="22"/>
        </w:rPr>
        <w:t>理财产品参与方以固有财产先行垫付的，有权从</w:t>
      </w:r>
      <w:r>
        <w:rPr>
          <w:rFonts w:hint="eastAsia" w:ascii="Arial" w:hAnsi="Arial" w:cs="Arial"/>
          <w:color w:val="000000"/>
          <w:sz w:val="22"/>
          <w:szCs w:val="22"/>
        </w:rPr>
        <w:t>本</w:t>
      </w:r>
      <w:r>
        <w:rPr>
          <w:rFonts w:ascii="Arial" w:hAnsi="Arial" w:cs="Arial"/>
          <w:color w:val="000000"/>
          <w:sz w:val="22"/>
          <w:szCs w:val="22"/>
        </w:rPr>
        <w:t>理财产品资产中优先受偿。</w:t>
      </w:r>
    </w:p>
    <w:p>
      <w:pPr>
        <w:tabs>
          <w:tab w:val="left" w:pos="8647"/>
        </w:tabs>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产品</w:t>
      </w:r>
      <w:r>
        <w:rPr>
          <w:rFonts w:ascii="Arial" w:hAnsi="Arial" w:cs="Arial"/>
          <w:color w:val="000000"/>
          <w:sz w:val="22"/>
          <w:szCs w:val="22"/>
        </w:rPr>
        <w:t>固定管理费</w:t>
      </w:r>
      <w:r>
        <w:rPr>
          <w:rFonts w:hint="eastAsia" w:ascii="Arial" w:hAnsi="Arial" w:cs="Arial"/>
          <w:color w:val="000000"/>
          <w:sz w:val="22"/>
          <w:szCs w:val="22"/>
        </w:rPr>
        <w:t>、托管费、销售服务费</w:t>
      </w:r>
      <w:r>
        <w:rPr>
          <w:rFonts w:ascii="Arial" w:hAnsi="Arial" w:cs="Arial"/>
          <w:color w:val="000000"/>
          <w:sz w:val="22"/>
          <w:szCs w:val="22"/>
        </w:rPr>
        <w:t>精确到小数点后2位，小数点2位以后</w:t>
      </w:r>
      <w:r>
        <w:rPr>
          <w:rFonts w:hint="eastAsia" w:ascii="Arial" w:hAnsi="Arial" w:cs="Arial"/>
          <w:color w:val="000000"/>
          <w:sz w:val="22"/>
          <w:szCs w:val="22"/>
        </w:rPr>
        <w:t>四舍五入</w:t>
      </w:r>
      <w:r>
        <w:rPr>
          <w:rFonts w:ascii="Arial" w:hAnsi="Arial" w:cs="Arial"/>
          <w:color w:val="000000"/>
          <w:sz w:val="22"/>
          <w:szCs w:val="22"/>
        </w:rPr>
        <w:t>。</w:t>
      </w:r>
    </w:p>
    <w:p>
      <w:pPr>
        <w:widowControl/>
        <w:numPr>
          <w:ilvl w:val="0"/>
          <w:numId w:val="21"/>
        </w:numPr>
        <w:autoSpaceDE w:val="0"/>
        <w:autoSpaceDN w:val="0"/>
        <w:adjustRightInd w:val="0"/>
        <w:spacing w:line="360" w:lineRule="auto"/>
        <w:ind w:left="0" w:firstLine="442" w:firstLineChars="200"/>
        <w:rPr>
          <w:rFonts w:ascii="Arial" w:hAnsi="Arial" w:cs="Arial"/>
          <w:b/>
          <w:color w:val="000000"/>
          <w:sz w:val="22"/>
          <w:szCs w:val="22"/>
        </w:rPr>
      </w:pPr>
      <w:r>
        <w:rPr>
          <w:rFonts w:ascii="Arial" w:hAnsi="Arial" w:cs="Arial"/>
          <w:b/>
          <w:color w:val="000000"/>
          <w:sz w:val="22"/>
          <w:szCs w:val="22"/>
        </w:rPr>
        <w:t>固定管理费</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sz w:val="22"/>
          <w:szCs w:val="22"/>
        </w:rPr>
        <w:t>各类</w:t>
      </w:r>
      <w:r>
        <w:rPr>
          <w:rFonts w:ascii="Arial" w:hAnsi="Arial" w:cs="Arial"/>
          <w:sz w:val="22"/>
          <w:szCs w:val="22"/>
        </w:rPr>
        <w:t>份额</w:t>
      </w:r>
      <w:r>
        <w:rPr>
          <w:rFonts w:hint="eastAsia" w:ascii="Arial" w:hAnsi="Arial" w:cs="Arial"/>
          <w:color w:val="000000"/>
          <w:sz w:val="22"/>
          <w:szCs w:val="22"/>
        </w:rPr>
        <w:t>固定管理费按不超过前一日本理财产品份额资产净值的</w:t>
      </w:r>
      <w:r>
        <w:rPr>
          <w:rFonts w:ascii="Arial" w:hAnsi="Arial" w:cs="Arial"/>
          <w:color w:val="000000"/>
          <w:sz w:val="22"/>
          <w:szCs w:val="22"/>
        </w:rPr>
        <w:t>0.50%</w:t>
      </w:r>
      <w:r>
        <w:rPr>
          <w:rFonts w:hint="eastAsia" w:ascii="Arial" w:hAnsi="Arial" w:cs="Arial"/>
          <w:color w:val="000000"/>
          <w:sz w:val="22"/>
          <w:szCs w:val="22"/>
        </w:rPr>
        <w:t>年费率计提。具体固定管理费率以管理人公告为准。计算方法如下：</w:t>
      </w:r>
    </w:p>
    <w:p>
      <w:pPr>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H</w:t>
      </w:r>
      <w:r>
        <w:rPr>
          <w:rFonts w:hint="eastAsia" w:ascii="Arial" w:hAnsi="Arial" w:cs="Arial"/>
          <w:color w:val="000000"/>
          <w:sz w:val="22"/>
          <w:szCs w:val="22"/>
        </w:rPr>
        <w:t>＝</w:t>
      </w:r>
      <m:oMath>
        <m:nary>
          <m:naryPr>
            <m:chr m:val="∑"/>
            <m:limLoc m:val="undOvr"/>
            <m:subHide m:val="1"/>
            <m:supHide m:val="1"/>
            <m:ctrlPr>
              <w:rPr>
                <w:rFonts w:ascii="Cambria Math" w:hAnsi="Cambria Math" w:cs="Arial"/>
                <w:color w:val="000000"/>
                <w:sz w:val="22"/>
                <w:szCs w:val="22"/>
              </w:rPr>
            </m:ctrlPr>
          </m:naryPr>
          <m:sub>
            <m:ctrlPr>
              <w:rPr>
                <w:rFonts w:ascii="Cambria Math" w:hAnsi="Cambria Math" w:cs="Arial"/>
                <w:color w:val="000000"/>
                <w:sz w:val="22"/>
                <w:szCs w:val="22"/>
              </w:rPr>
            </m:ctrlPr>
          </m:sub>
          <m:sup>
            <m:ctrlPr>
              <w:rPr>
                <w:rFonts w:ascii="Cambria Math" w:hAnsi="Cambria Math" w:cs="Arial"/>
                <w:color w:val="000000"/>
                <w:sz w:val="22"/>
                <w:szCs w:val="22"/>
              </w:rPr>
            </m:ctrlPr>
          </m:sup>
          <m:e>
            <m:sSub>
              <m:sSubPr>
                <m:ctrlPr>
                  <w:rPr>
                    <w:rFonts w:ascii="Cambria Math" w:hAnsi="Cambria Math" w:cs="Arial"/>
                    <w:i/>
                    <w:color w:val="000000"/>
                    <w:sz w:val="22"/>
                    <w:szCs w:val="22"/>
                  </w:rPr>
                </m:ctrlPr>
              </m:sSubPr>
              <m:e>
                <m:r>
                  <m:rPr/>
                  <w:rPr>
                    <w:rFonts w:ascii="Cambria Math" w:hAnsi="Cambria Math" w:cs="Arial"/>
                    <w:color w:val="000000"/>
                    <w:sz w:val="22"/>
                    <w:szCs w:val="22"/>
                  </w:rPr>
                  <m:t>E</m:t>
                </m:r>
                <m:ctrlPr>
                  <w:rPr>
                    <w:rFonts w:ascii="Cambria Math" w:hAnsi="Cambria Math" w:cs="Arial"/>
                    <w:i/>
                    <w:color w:val="000000"/>
                    <w:sz w:val="22"/>
                    <w:szCs w:val="22"/>
                  </w:rPr>
                </m:ctrlPr>
              </m:e>
              <m:sub>
                <m:r>
                  <m:rPr/>
                  <w:rPr>
                    <w:rFonts w:ascii="Cambria Math" w:hAnsi="Cambria Math" w:cs="Arial"/>
                    <w:color w:val="000000"/>
                    <w:sz w:val="22"/>
                    <w:szCs w:val="22"/>
                  </w:rPr>
                  <m:t>i</m:t>
                </m:r>
                <m:ctrlPr>
                  <w:rPr>
                    <w:rFonts w:ascii="Cambria Math" w:hAnsi="Cambria Math" w:cs="Arial"/>
                    <w:i/>
                    <w:color w:val="000000"/>
                    <w:sz w:val="22"/>
                    <w:szCs w:val="22"/>
                  </w:rPr>
                </m:ctrlPr>
              </m:sub>
            </m:sSub>
            <m:ctrlPr>
              <w:rPr>
                <w:rFonts w:ascii="Cambria Math" w:hAnsi="Cambria Math" w:cs="Arial"/>
                <w:color w:val="000000"/>
                <w:sz w:val="22"/>
                <w:szCs w:val="22"/>
              </w:rPr>
            </m:ctrlPr>
          </m:e>
        </m:nary>
      </m:oMath>
      <w:r>
        <w:rPr>
          <w:rFonts w:ascii="Arial" w:hAnsi="Arial" w:cs="Arial"/>
          <w:color w:val="000000"/>
          <w:sz w:val="22"/>
          <w:szCs w:val="22"/>
        </w:rPr>
        <w:t>×</w:t>
      </w:r>
      <w:r>
        <w:rPr>
          <w:rFonts w:hint="eastAsia" w:ascii="Arial" w:hAnsi="Arial" w:cs="Arial"/>
          <w:color w:val="000000"/>
          <w:sz w:val="22"/>
          <w:szCs w:val="22"/>
        </w:rPr>
        <w:t>固定管理费率</w:t>
      </w:r>
      <w:r>
        <w:rPr>
          <w:rFonts w:ascii="Arial" w:hAnsi="Arial" w:cs="Arial"/>
          <w:color w:val="000000"/>
          <w:sz w:val="22"/>
          <w:szCs w:val="22"/>
        </w:rPr>
        <w:t>÷365</w:t>
      </w:r>
    </w:p>
    <w:p>
      <w:pPr>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H</w:t>
      </w:r>
      <w:r>
        <w:rPr>
          <w:rFonts w:hint="eastAsia" w:ascii="Arial" w:hAnsi="Arial" w:cs="Arial"/>
          <w:color w:val="000000"/>
          <w:sz w:val="22"/>
          <w:szCs w:val="22"/>
        </w:rPr>
        <w:t>为每日应计提的产品固定管理费</w:t>
      </w:r>
    </w:p>
    <w:p>
      <w:pPr>
        <w:autoSpaceDE w:val="0"/>
        <w:autoSpaceDN w:val="0"/>
        <w:adjustRightInd w:val="0"/>
        <w:spacing w:line="360" w:lineRule="auto"/>
        <w:ind w:firstLine="440" w:firstLineChars="200"/>
        <w:rPr>
          <w:rFonts w:ascii="Arial" w:hAnsi="Arial" w:cs="Arial"/>
          <w:color w:val="000000"/>
          <w:sz w:val="22"/>
          <w:szCs w:val="22"/>
        </w:rPr>
      </w:pPr>
      <m:oMath>
        <m:sSub>
          <m:sSubPr>
            <m:ctrlPr>
              <w:rPr>
                <w:rFonts w:ascii="Cambria Math" w:hAnsi="Cambria Math" w:cs="Arial"/>
                <w:i/>
                <w:color w:val="000000"/>
                <w:sz w:val="22"/>
                <w:szCs w:val="22"/>
              </w:rPr>
            </m:ctrlPr>
          </m:sSubPr>
          <m:e>
            <m:r>
              <m:rPr/>
              <w:rPr>
                <w:rFonts w:ascii="Cambria Math" w:hAnsi="Cambria Math" w:cs="Arial"/>
                <w:color w:val="000000"/>
                <w:sz w:val="22"/>
                <w:szCs w:val="22"/>
              </w:rPr>
              <m:t>E</m:t>
            </m:r>
            <m:ctrlPr>
              <w:rPr>
                <w:rFonts w:ascii="Cambria Math" w:hAnsi="Cambria Math" w:cs="Arial"/>
                <w:i/>
                <w:color w:val="000000"/>
                <w:sz w:val="22"/>
                <w:szCs w:val="22"/>
              </w:rPr>
            </m:ctrlPr>
          </m:e>
          <m:sub>
            <m:r>
              <m:rPr/>
              <w:rPr>
                <w:rFonts w:ascii="Cambria Math" w:hAnsi="Cambria Math" w:cs="Arial"/>
                <w:color w:val="000000"/>
                <w:sz w:val="22"/>
                <w:szCs w:val="22"/>
              </w:rPr>
              <m:t>i</m:t>
            </m:r>
            <m:ctrlPr>
              <w:rPr>
                <w:rFonts w:ascii="Cambria Math" w:hAnsi="Cambria Math" w:cs="Arial"/>
                <w:i/>
                <w:color w:val="000000"/>
                <w:sz w:val="22"/>
                <w:szCs w:val="22"/>
              </w:rPr>
            </m:ctrlPr>
          </m:sub>
        </m:sSub>
      </m:oMath>
      <w:r>
        <w:rPr>
          <w:rFonts w:hint="eastAsia" w:ascii="Arial" w:hAnsi="Arial" w:cs="Arial"/>
          <w:color w:val="000000"/>
          <w:sz w:val="22"/>
          <w:szCs w:val="22"/>
        </w:rPr>
        <w:t>为前一日本理财产品某类份额资产净值</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产品固定管理费每日计提，按期支付。</w:t>
      </w:r>
    </w:p>
    <w:p>
      <w:pPr>
        <w:widowControl/>
        <w:numPr>
          <w:ilvl w:val="0"/>
          <w:numId w:val="21"/>
        </w:numPr>
        <w:autoSpaceDE w:val="0"/>
        <w:autoSpaceDN w:val="0"/>
        <w:adjustRightInd w:val="0"/>
        <w:spacing w:line="360" w:lineRule="auto"/>
        <w:ind w:left="0" w:firstLine="442" w:firstLineChars="200"/>
        <w:rPr>
          <w:rFonts w:ascii="Arial" w:hAnsi="Arial" w:cs="Arial"/>
          <w:b/>
          <w:color w:val="000000"/>
          <w:sz w:val="22"/>
          <w:szCs w:val="22"/>
        </w:rPr>
      </w:pPr>
      <w:r>
        <w:rPr>
          <w:rFonts w:ascii="Arial" w:hAnsi="Arial" w:cs="Arial"/>
          <w:b/>
          <w:color w:val="000000"/>
          <w:sz w:val="22"/>
          <w:szCs w:val="22"/>
        </w:rPr>
        <w:t>托管费</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各类份额</w:t>
      </w:r>
      <w:r>
        <w:rPr>
          <w:rFonts w:ascii="Arial" w:hAnsi="Arial" w:cs="Arial"/>
          <w:color w:val="000000"/>
          <w:sz w:val="22"/>
          <w:szCs w:val="22"/>
        </w:rPr>
        <w:t>托管费按不超过前一日</w:t>
      </w:r>
      <w:r>
        <w:rPr>
          <w:rFonts w:hint="eastAsia" w:ascii="Arial" w:hAnsi="Arial" w:cs="Arial"/>
          <w:color w:val="000000"/>
          <w:sz w:val="22"/>
          <w:szCs w:val="22"/>
        </w:rPr>
        <w:t>本</w:t>
      </w:r>
      <w:r>
        <w:rPr>
          <w:rFonts w:ascii="Arial" w:hAnsi="Arial" w:cs="Arial"/>
          <w:color w:val="000000"/>
          <w:sz w:val="22"/>
          <w:szCs w:val="22"/>
        </w:rPr>
        <w:t>理财产品</w:t>
      </w:r>
      <w:r>
        <w:rPr>
          <w:rFonts w:hint="eastAsia" w:ascii="Arial" w:hAnsi="Arial" w:cs="Arial"/>
          <w:color w:val="000000"/>
          <w:sz w:val="22"/>
          <w:szCs w:val="22"/>
        </w:rPr>
        <w:t>份额</w:t>
      </w:r>
      <w:r>
        <w:rPr>
          <w:rFonts w:ascii="Arial" w:hAnsi="Arial" w:cs="Arial"/>
          <w:color w:val="000000"/>
          <w:sz w:val="22"/>
          <w:szCs w:val="22"/>
        </w:rPr>
        <w:t>资产净值的0.03%年费率计提。具体</w:t>
      </w:r>
      <w:r>
        <w:rPr>
          <w:rFonts w:hint="eastAsia" w:ascii="Arial" w:hAnsi="Arial" w:cs="Arial"/>
          <w:color w:val="000000"/>
          <w:sz w:val="22"/>
          <w:szCs w:val="22"/>
        </w:rPr>
        <w:t>托管费</w:t>
      </w:r>
      <w:r>
        <w:rPr>
          <w:rFonts w:ascii="Arial" w:hAnsi="Arial" w:cs="Arial"/>
          <w:color w:val="000000"/>
          <w:sz w:val="22"/>
          <w:szCs w:val="22"/>
        </w:rPr>
        <w:t>率以管理人公</w:t>
      </w:r>
      <w:r>
        <w:rPr>
          <w:rFonts w:hint="eastAsia" w:ascii="Arial" w:hAnsi="Arial" w:cs="Arial"/>
          <w:color w:val="000000"/>
          <w:sz w:val="22"/>
          <w:szCs w:val="22"/>
        </w:rPr>
        <w:t>告</w:t>
      </w:r>
      <w:r>
        <w:rPr>
          <w:rFonts w:ascii="Arial" w:hAnsi="Arial" w:cs="Arial"/>
          <w:color w:val="000000"/>
          <w:sz w:val="22"/>
          <w:szCs w:val="22"/>
        </w:rPr>
        <w:t>为准。计算方法如下：</w:t>
      </w:r>
    </w:p>
    <w:p>
      <w:pPr>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H</w:t>
      </w:r>
      <w:r>
        <w:rPr>
          <w:rFonts w:hint="eastAsia" w:ascii="Arial" w:hAnsi="Arial" w:cs="Arial"/>
          <w:color w:val="000000"/>
          <w:sz w:val="22"/>
          <w:szCs w:val="22"/>
        </w:rPr>
        <w:t>＝</w:t>
      </w:r>
      <m:oMath>
        <m:nary>
          <m:naryPr>
            <m:chr m:val="∑"/>
            <m:limLoc m:val="undOvr"/>
            <m:subHide m:val="1"/>
            <m:supHide m:val="1"/>
            <m:ctrlPr>
              <w:rPr>
                <w:rFonts w:ascii="Cambria Math" w:hAnsi="Cambria Math" w:cs="Arial"/>
                <w:color w:val="000000"/>
                <w:sz w:val="22"/>
                <w:szCs w:val="22"/>
              </w:rPr>
            </m:ctrlPr>
          </m:naryPr>
          <m:sub>
            <m:ctrlPr>
              <w:rPr>
                <w:rFonts w:ascii="Cambria Math" w:hAnsi="Cambria Math" w:cs="Arial"/>
                <w:color w:val="000000"/>
                <w:sz w:val="22"/>
                <w:szCs w:val="22"/>
              </w:rPr>
            </m:ctrlPr>
          </m:sub>
          <m:sup>
            <m:ctrlPr>
              <w:rPr>
                <w:rFonts w:ascii="Cambria Math" w:hAnsi="Cambria Math" w:cs="Arial"/>
                <w:color w:val="000000"/>
                <w:sz w:val="22"/>
                <w:szCs w:val="22"/>
              </w:rPr>
            </m:ctrlPr>
          </m:sup>
          <m:e>
            <m:sSub>
              <m:sSubPr>
                <m:ctrlPr>
                  <w:rPr>
                    <w:rFonts w:ascii="Cambria Math" w:hAnsi="Cambria Math" w:cs="Arial"/>
                    <w:i/>
                    <w:color w:val="000000"/>
                    <w:sz w:val="22"/>
                    <w:szCs w:val="22"/>
                  </w:rPr>
                </m:ctrlPr>
              </m:sSubPr>
              <m:e>
                <m:r>
                  <m:rPr/>
                  <w:rPr>
                    <w:rFonts w:ascii="Cambria Math" w:hAnsi="Cambria Math" w:cs="Arial"/>
                    <w:color w:val="000000"/>
                    <w:sz w:val="22"/>
                    <w:szCs w:val="22"/>
                  </w:rPr>
                  <m:t>E</m:t>
                </m:r>
                <m:ctrlPr>
                  <w:rPr>
                    <w:rFonts w:ascii="Cambria Math" w:hAnsi="Cambria Math" w:cs="Arial"/>
                    <w:i/>
                    <w:color w:val="000000"/>
                    <w:sz w:val="22"/>
                    <w:szCs w:val="22"/>
                  </w:rPr>
                </m:ctrlPr>
              </m:e>
              <m:sub>
                <m:r>
                  <m:rPr/>
                  <w:rPr>
                    <w:rFonts w:ascii="Cambria Math" w:hAnsi="Cambria Math" w:cs="Arial"/>
                    <w:color w:val="000000"/>
                    <w:sz w:val="22"/>
                    <w:szCs w:val="22"/>
                  </w:rPr>
                  <m:t>i</m:t>
                </m:r>
                <m:ctrlPr>
                  <w:rPr>
                    <w:rFonts w:ascii="Cambria Math" w:hAnsi="Cambria Math" w:cs="Arial"/>
                    <w:i/>
                    <w:color w:val="000000"/>
                    <w:sz w:val="22"/>
                    <w:szCs w:val="22"/>
                  </w:rPr>
                </m:ctrlPr>
              </m:sub>
            </m:sSub>
            <m:ctrlPr>
              <w:rPr>
                <w:rFonts w:ascii="Cambria Math" w:hAnsi="Cambria Math" w:cs="Arial"/>
                <w:color w:val="000000"/>
                <w:sz w:val="22"/>
                <w:szCs w:val="22"/>
              </w:rPr>
            </m:ctrlPr>
          </m:e>
        </m:nary>
      </m:oMath>
      <w:r>
        <w:rPr>
          <w:rFonts w:ascii="Arial" w:hAnsi="Arial" w:cs="Arial"/>
          <w:color w:val="000000"/>
          <w:sz w:val="22"/>
          <w:szCs w:val="22"/>
        </w:rPr>
        <w:t>×</w:t>
      </w:r>
      <w:r>
        <w:rPr>
          <w:rFonts w:hint="eastAsia" w:ascii="Arial" w:hAnsi="Arial" w:cs="Arial"/>
          <w:color w:val="000000"/>
          <w:sz w:val="22"/>
          <w:szCs w:val="22"/>
        </w:rPr>
        <w:t>托管费率</w:t>
      </w:r>
      <w:r>
        <w:rPr>
          <w:rFonts w:ascii="Arial" w:hAnsi="Arial" w:cs="Arial"/>
          <w:color w:val="000000"/>
          <w:sz w:val="22"/>
          <w:szCs w:val="22"/>
        </w:rPr>
        <w:t>÷365</w:t>
      </w:r>
    </w:p>
    <w:p>
      <w:pPr>
        <w:tabs>
          <w:tab w:val="left" w:pos="8647"/>
        </w:tabs>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H</w:t>
      </w:r>
      <w:r>
        <w:rPr>
          <w:rFonts w:hint="eastAsia" w:ascii="Arial" w:hAnsi="Arial" w:cs="Arial"/>
          <w:color w:val="000000"/>
          <w:sz w:val="22"/>
          <w:szCs w:val="22"/>
        </w:rPr>
        <w:t>为每日应计提的产品托管费</w:t>
      </w:r>
    </w:p>
    <w:p>
      <w:pPr>
        <w:autoSpaceDE w:val="0"/>
        <w:autoSpaceDN w:val="0"/>
        <w:adjustRightInd w:val="0"/>
        <w:spacing w:line="360" w:lineRule="auto"/>
        <w:ind w:firstLine="440" w:firstLineChars="200"/>
        <w:rPr>
          <w:rFonts w:ascii="Arial" w:hAnsi="Arial" w:cs="Arial"/>
          <w:color w:val="000000"/>
          <w:sz w:val="22"/>
          <w:szCs w:val="22"/>
        </w:rPr>
      </w:pPr>
      <m:oMath>
        <m:sSub>
          <m:sSubPr>
            <m:ctrlPr>
              <w:rPr>
                <w:rFonts w:ascii="Cambria Math" w:hAnsi="Cambria Math" w:cs="Arial"/>
                <w:i/>
                <w:color w:val="000000"/>
                <w:sz w:val="22"/>
                <w:szCs w:val="22"/>
              </w:rPr>
            </m:ctrlPr>
          </m:sSubPr>
          <m:e>
            <m:r>
              <m:rPr/>
              <w:rPr>
                <w:rFonts w:ascii="Cambria Math" w:hAnsi="Cambria Math" w:cs="Arial"/>
                <w:color w:val="000000"/>
                <w:sz w:val="22"/>
                <w:szCs w:val="22"/>
              </w:rPr>
              <m:t>E</m:t>
            </m:r>
            <m:ctrlPr>
              <w:rPr>
                <w:rFonts w:ascii="Cambria Math" w:hAnsi="Cambria Math" w:cs="Arial"/>
                <w:i/>
                <w:color w:val="000000"/>
                <w:sz w:val="22"/>
                <w:szCs w:val="22"/>
              </w:rPr>
            </m:ctrlPr>
          </m:e>
          <m:sub>
            <m:r>
              <m:rPr/>
              <w:rPr>
                <w:rFonts w:ascii="Cambria Math" w:hAnsi="Cambria Math" w:cs="Arial"/>
                <w:color w:val="000000"/>
                <w:sz w:val="22"/>
                <w:szCs w:val="22"/>
              </w:rPr>
              <m:t>i</m:t>
            </m:r>
            <m:ctrlPr>
              <w:rPr>
                <w:rFonts w:ascii="Cambria Math" w:hAnsi="Cambria Math" w:cs="Arial"/>
                <w:i/>
                <w:color w:val="000000"/>
                <w:sz w:val="22"/>
                <w:szCs w:val="22"/>
              </w:rPr>
            </m:ctrlPr>
          </m:sub>
        </m:sSub>
      </m:oMath>
      <w:r>
        <w:rPr>
          <w:rFonts w:hint="eastAsia" w:ascii="Arial" w:hAnsi="Arial" w:cs="Arial"/>
          <w:color w:val="000000"/>
          <w:sz w:val="22"/>
          <w:szCs w:val="22"/>
        </w:rPr>
        <w:t>为前一日本理财产品某类份额资产净值</w:t>
      </w:r>
    </w:p>
    <w:p>
      <w:pPr>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产品托管费每日计提，按</w:t>
      </w:r>
      <w:r>
        <w:rPr>
          <w:rFonts w:hint="eastAsia" w:ascii="Arial" w:hAnsi="Arial" w:cs="Arial"/>
          <w:color w:val="000000"/>
          <w:sz w:val="22"/>
          <w:szCs w:val="22"/>
        </w:rPr>
        <w:t>期</w:t>
      </w:r>
      <w:r>
        <w:rPr>
          <w:rFonts w:ascii="Arial" w:hAnsi="Arial" w:cs="Arial"/>
          <w:color w:val="000000"/>
          <w:sz w:val="22"/>
          <w:szCs w:val="22"/>
        </w:rPr>
        <w:t>支付。</w:t>
      </w:r>
    </w:p>
    <w:p>
      <w:pPr>
        <w:widowControl/>
        <w:numPr>
          <w:ilvl w:val="0"/>
          <w:numId w:val="21"/>
        </w:numPr>
        <w:autoSpaceDE w:val="0"/>
        <w:autoSpaceDN w:val="0"/>
        <w:adjustRightInd w:val="0"/>
        <w:spacing w:line="360" w:lineRule="auto"/>
        <w:ind w:left="0" w:firstLine="442" w:firstLineChars="200"/>
        <w:rPr>
          <w:rFonts w:ascii="Arial" w:hAnsi="Arial" w:cs="Arial"/>
          <w:b/>
          <w:color w:val="000000"/>
          <w:sz w:val="22"/>
          <w:szCs w:val="22"/>
        </w:rPr>
      </w:pPr>
      <w:r>
        <w:rPr>
          <w:rFonts w:ascii="Arial" w:hAnsi="Arial" w:cs="Arial"/>
          <w:b/>
          <w:color w:val="000000"/>
          <w:sz w:val="22"/>
          <w:szCs w:val="22"/>
        </w:rPr>
        <w:t>销售服务费</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各类</w:t>
      </w:r>
      <w:r>
        <w:rPr>
          <w:rFonts w:ascii="Arial" w:hAnsi="Arial" w:cs="Arial"/>
          <w:color w:val="000000"/>
          <w:sz w:val="22"/>
          <w:szCs w:val="22"/>
        </w:rPr>
        <w:t>份额</w:t>
      </w:r>
      <w:r>
        <w:rPr>
          <w:rFonts w:hint="eastAsia" w:ascii="Arial" w:hAnsi="Arial" w:cs="Arial"/>
          <w:color w:val="000000"/>
          <w:sz w:val="22"/>
          <w:szCs w:val="22"/>
        </w:rPr>
        <w:t>销售服务费按不超过前一日本理财产品份额资产净值的</w:t>
      </w:r>
      <w:r>
        <w:rPr>
          <w:rFonts w:ascii="Arial" w:hAnsi="Arial" w:cs="Arial"/>
          <w:color w:val="000000"/>
          <w:sz w:val="22"/>
          <w:szCs w:val="22"/>
        </w:rPr>
        <w:t>0.50%</w:t>
      </w:r>
      <w:r>
        <w:rPr>
          <w:rFonts w:hint="eastAsia" w:ascii="Arial" w:hAnsi="Arial" w:cs="Arial"/>
          <w:color w:val="000000"/>
          <w:sz w:val="22"/>
          <w:szCs w:val="22"/>
        </w:rPr>
        <w:t>年费率计提。具体销售服务费率以管理人公告为准。计算方法如下：</w:t>
      </w:r>
    </w:p>
    <w:p>
      <w:pPr>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H</w:t>
      </w:r>
      <w:r>
        <w:rPr>
          <w:rFonts w:hint="eastAsia" w:ascii="Arial" w:hAnsi="Arial" w:cs="Arial"/>
          <w:color w:val="000000"/>
          <w:sz w:val="22"/>
          <w:szCs w:val="22"/>
        </w:rPr>
        <w:t>＝</w:t>
      </w:r>
      <m:oMath>
        <m:nary>
          <m:naryPr>
            <m:chr m:val="∑"/>
            <m:limLoc m:val="undOvr"/>
            <m:subHide m:val="1"/>
            <m:supHide m:val="1"/>
            <m:ctrlPr>
              <w:rPr>
                <w:rFonts w:ascii="Cambria Math" w:hAnsi="Cambria Math" w:cs="Arial"/>
                <w:color w:val="000000"/>
                <w:sz w:val="22"/>
                <w:szCs w:val="22"/>
              </w:rPr>
            </m:ctrlPr>
          </m:naryPr>
          <m:sub>
            <m:ctrlPr>
              <w:rPr>
                <w:rFonts w:ascii="Cambria Math" w:hAnsi="Cambria Math" w:cs="Arial"/>
                <w:color w:val="000000"/>
                <w:sz w:val="22"/>
                <w:szCs w:val="22"/>
              </w:rPr>
            </m:ctrlPr>
          </m:sub>
          <m:sup>
            <m:ctrlPr>
              <w:rPr>
                <w:rFonts w:ascii="Cambria Math" w:hAnsi="Cambria Math" w:cs="Arial"/>
                <w:color w:val="000000"/>
                <w:sz w:val="22"/>
                <w:szCs w:val="22"/>
              </w:rPr>
            </m:ctrlPr>
          </m:sup>
          <m:e>
            <m:sSub>
              <m:sSubPr>
                <m:ctrlPr>
                  <w:rPr>
                    <w:rFonts w:ascii="Cambria Math" w:hAnsi="Cambria Math" w:cs="Arial"/>
                    <w:i/>
                    <w:color w:val="000000"/>
                    <w:sz w:val="22"/>
                    <w:szCs w:val="22"/>
                  </w:rPr>
                </m:ctrlPr>
              </m:sSubPr>
              <m:e>
                <m:r>
                  <m:rPr/>
                  <w:rPr>
                    <w:rFonts w:ascii="Cambria Math" w:hAnsi="Cambria Math" w:cs="Arial"/>
                    <w:color w:val="000000"/>
                    <w:sz w:val="22"/>
                    <w:szCs w:val="22"/>
                  </w:rPr>
                  <m:t>E</m:t>
                </m:r>
                <m:ctrlPr>
                  <w:rPr>
                    <w:rFonts w:ascii="Cambria Math" w:hAnsi="Cambria Math" w:cs="Arial"/>
                    <w:i/>
                    <w:color w:val="000000"/>
                    <w:sz w:val="22"/>
                    <w:szCs w:val="22"/>
                  </w:rPr>
                </m:ctrlPr>
              </m:e>
              <m:sub>
                <m:r>
                  <m:rPr/>
                  <w:rPr>
                    <w:rFonts w:ascii="Cambria Math" w:hAnsi="Cambria Math" w:cs="Arial"/>
                    <w:color w:val="000000"/>
                    <w:sz w:val="22"/>
                    <w:szCs w:val="22"/>
                  </w:rPr>
                  <m:t>i</m:t>
                </m:r>
                <m:ctrlPr>
                  <w:rPr>
                    <w:rFonts w:ascii="Cambria Math" w:hAnsi="Cambria Math" w:cs="Arial"/>
                    <w:i/>
                    <w:color w:val="000000"/>
                    <w:sz w:val="22"/>
                    <w:szCs w:val="22"/>
                  </w:rPr>
                </m:ctrlPr>
              </m:sub>
            </m:sSub>
            <m:ctrlPr>
              <w:rPr>
                <w:rFonts w:ascii="Cambria Math" w:hAnsi="Cambria Math" w:cs="Arial"/>
                <w:color w:val="000000"/>
                <w:sz w:val="22"/>
                <w:szCs w:val="22"/>
              </w:rPr>
            </m:ctrlPr>
          </m:e>
        </m:nary>
      </m:oMath>
      <w:r>
        <w:rPr>
          <w:rFonts w:ascii="Arial" w:hAnsi="Arial" w:cs="Arial"/>
          <w:color w:val="000000"/>
          <w:sz w:val="22"/>
          <w:szCs w:val="22"/>
        </w:rPr>
        <w:t>×</w:t>
      </w:r>
      <w:r>
        <w:rPr>
          <w:rFonts w:hint="eastAsia" w:ascii="Arial" w:hAnsi="Arial" w:cs="Arial"/>
          <w:color w:val="000000"/>
          <w:sz w:val="22"/>
          <w:szCs w:val="22"/>
        </w:rPr>
        <w:t>各份额销售服务费率</w:t>
      </w:r>
      <w:r>
        <w:rPr>
          <w:rFonts w:ascii="Arial" w:hAnsi="Arial" w:cs="Arial"/>
          <w:color w:val="000000"/>
          <w:sz w:val="22"/>
          <w:szCs w:val="22"/>
        </w:rPr>
        <w:t>÷365</w:t>
      </w:r>
    </w:p>
    <w:p>
      <w:pPr>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H</w:t>
      </w:r>
      <w:r>
        <w:rPr>
          <w:rFonts w:hint="eastAsia" w:ascii="Arial" w:hAnsi="Arial" w:cs="Arial"/>
          <w:color w:val="000000"/>
          <w:sz w:val="22"/>
          <w:szCs w:val="22"/>
        </w:rPr>
        <w:t>为每日应计提的销售服务费</w:t>
      </w:r>
    </w:p>
    <w:p>
      <w:pPr>
        <w:autoSpaceDE w:val="0"/>
        <w:autoSpaceDN w:val="0"/>
        <w:adjustRightInd w:val="0"/>
        <w:spacing w:line="360" w:lineRule="auto"/>
        <w:ind w:firstLine="440" w:firstLineChars="200"/>
        <w:rPr>
          <w:rFonts w:ascii="Arial" w:hAnsi="Arial" w:cs="Arial"/>
          <w:color w:val="000000"/>
          <w:sz w:val="22"/>
          <w:szCs w:val="22"/>
        </w:rPr>
      </w:pPr>
      <m:oMath>
        <m:sSub>
          <m:sSubPr>
            <m:ctrlPr>
              <w:rPr>
                <w:rFonts w:ascii="Cambria Math" w:hAnsi="Cambria Math" w:cs="Arial"/>
                <w:i/>
                <w:color w:val="000000"/>
                <w:sz w:val="22"/>
                <w:szCs w:val="22"/>
              </w:rPr>
            </m:ctrlPr>
          </m:sSubPr>
          <m:e>
            <m:r>
              <m:rPr/>
              <w:rPr>
                <w:rFonts w:ascii="Cambria Math" w:hAnsi="Cambria Math" w:cs="Arial"/>
                <w:color w:val="000000"/>
                <w:sz w:val="22"/>
                <w:szCs w:val="22"/>
              </w:rPr>
              <m:t>E</m:t>
            </m:r>
            <m:ctrlPr>
              <w:rPr>
                <w:rFonts w:ascii="Cambria Math" w:hAnsi="Cambria Math" w:cs="Arial"/>
                <w:i/>
                <w:color w:val="000000"/>
                <w:sz w:val="22"/>
                <w:szCs w:val="22"/>
              </w:rPr>
            </m:ctrlPr>
          </m:e>
          <m:sub>
            <m:r>
              <m:rPr/>
              <w:rPr>
                <w:rFonts w:ascii="Cambria Math" w:hAnsi="Cambria Math" w:cs="Arial"/>
                <w:color w:val="000000"/>
                <w:sz w:val="22"/>
                <w:szCs w:val="22"/>
              </w:rPr>
              <m:t>i</m:t>
            </m:r>
            <m:ctrlPr>
              <w:rPr>
                <w:rFonts w:ascii="Cambria Math" w:hAnsi="Cambria Math" w:cs="Arial"/>
                <w:i/>
                <w:color w:val="000000"/>
                <w:sz w:val="22"/>
                <w:szCs w:val="22"/>
              </w:rPr>
            </m:ctrlPr>
          </m:sub>
        </m:sSub>
      </m:oMath>
      <w:r>
        <w:rPr>
          <w:rFonts w:hint="eastAsia" w:ascii="Arial" w:hAnsi="Arial" w:cs="Arial"/>
          <w:color w:val="000000"/>
          <w:sz w:val="22"/>
          <w:szCs w:val="22"/>
        </w:rPr>
        <w:t>为前一日本理财产品某类份额资产净值</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产品销售服务费每日计提，按期支付。</w:t>
      </w:r>
    </w:p>
    <w:p>
      <w:pPr>
        <w:widowControl/>
        <w:numPr>
          <w:ilvl w:val="0"/>
          <w:numId w:val="21"/>
        </w:numPr>
        <w:autoSpaceDE w:val="0"/>
        <w:autoSpaceDN w:val="0"/>
        <w:adjustRightInd w:val="0"/>
        <w:spacing w:line="360" w:lineRule="auto"/>
        <w:ind w:left="1" w:firstLine="426" w:firstLineChars="193"/>
        <w:rPr>
          <w:rFonts w:ascii="Arial" w:hAnsi="Arial" w:cs="Arial"/>
          <w:b/>
          <w:color w:val="000000"/>
          <w:sz w:val="22"/>
          <w:szCs w:val="22"/>
        </w:rPr>
      </w:pPr>
      <w:r>
        <w:rPr>
          <w:rFonts w:ascii="Arial" w:hAnsi="Arial" w:cs="Arial"/>
          <w:b/>
          <w:color w:val="000000"/>
          <w:sz w:val="22"/>
          <w:szCs w:val="22"/>
        </w:rPr>
        <w:t>增值税及附加税费</w:t>
      </w:r>
    </w:p>
    <w:p>
      <w:pPr>
        <w:spacing w:line="360" w:lineRule="auto"/>
        <w:ind w:left="1" w:firstLine="424" w:firstLineChars="193"/>
        <w:rPr>
          <w:rFonts w:ascii="Arial" w:hAnsi="Arial" w:cs="Arial"/>
          <w:sz w:val="22"/>
          <w:szCs w:val="22"/>
        </w:rPr>
      </w:pPr>
      <w:r>
        <w:rPr>
          <w:rFonts w:ascii="Arial" w:hAnsi="Arial" w:cs="Arial"/>
          <w:sz w:val="22"/>
          <w:szCs w:val="22"/>
        </w:rPr>
        <w:t>根据中国增值税相关法律法规、税收政策等要求，</w:t>
      </w:r>
      <w:r>
        <w:rPr>
          <w:rFonts w:hint="eastAsia" w:ascii="Arial" w:hAnsi="Arial" w:cs="Arial"/>
          <w:color w:val="000000"/>
          <w:sz w:val="22"/>
          <w:szCs w:val="22"/>
        </w:rPr>
        <w:t>本</w:t>
      </w:r>
      <w:r>
        <w:rPr>
          <w:rFonts w:ascii="Arial" w:hAnsi="Arial" w:cs="Arial"/>
          <w:sz w:val="22"/>
          <w:szCs w:val="22"/>
        </w:rPr>
        <w:t>理财产品运营过程中发生的增值税应税行为，以产品管理人为纳税人。签约各方同意本理财产品在运营过程中应缴纳的增值税及附加税费（包括但不限于城市维护建设税、教育费附加及地方教育附加等）由管理人从</w:t>
      </w:r>
      <w:r>
        <w:rPr>
          <w:rFonts w:hint="eastAsia" w:ascii="Arial" w:hAnsi="Arial" w:cs="Arial"/>
          <w:color w:val="000000"/>
          <w:sz w:val="22"/>
          <w:szCs w:val="22"/>
        </w:rPr>
        <w:t>本</w:t>
      </w:r>
      <w:r>
        <w:rPr>
          <w:rFonts w:ascii="Arial" w:hAnsi="Arial" w:cs="Arial"/>
          <w:sz w:val="22"/>
          <w:szCs w:val="22"/>
        </w:rPr>
        <w:t>理财产品财产中支付，并依据中国税务机关要求，履行相关纳税申报义务。投资者从</w:t>
      </w:r>
      <w:r>
        <w:rPr>
          <w:rFonts w:hint="eastAsia" w:ascii="Arial" w:hAnsi="Arial" w:cs="Arial"/>
          <w:color w:val="000000"/>
          <w:sz w:val="22"/>
          <w:szCs w:val="22"/>
        </w:rPr>
        <w:t>本</w:t>
      </w:r>
      <w:r>
        <w:rPr>
          <w:rFonts w:ascii="Arial" w:hAnsi="Arial" w:cs="Arial"/>
          <w:sz w:val="22"/>
          <w:szCs w:val="22"/>
        </w:rPr>
        <w:t>理财产品取得的收益应缴纳的税款，由投资者自行申报及缴纳。</w:t>
      </w:r>
    </w:p>
    <w:p>
      <w:pPr>
        <w:widowControl/>
        <w:numPr>
          <w:ilvl w:val="0"/>
          <w:numId w:val="21"/>
        </w:numPr>
        <w:autoSpaceDE w:val="0"/>
        <w:autoSpaceDN w:val="0"/>
        <w:adjustRightInd w:val="0"/>
        <w:spacing w:line="360" w:lineRule="auto"/>
        <w:ind w:left="1" w:firstLine="426" w:firstLineChars="193"/>
        <w:rPr>
          <w:rFonts w:ascii="Arial" w:hAnsi="Arial" w:cs="Arial"/>
          <w:b/>
          <w:color w:val="000000"/>
          <w:sz w:val="22"/>
          <w:szCs w:val="22"/>
        </w:rPr>
      </w:pPr>
      <w:r>
        <w:rPr>
          <w:rFonts w:ascii="Arial" w:hAnsi="Arial" w:cs="Arial"/>
          <w:b/>
          <w:color w:val="000000"/>
          <w:sz w:val="22"/>
          <w:szCs w:val="22"/>
        </w:rPr>
        <w:t>其它费用</w:t>
      </w:r>
    </w:p>
    <w:p>
      <w:pPr>
        <w:spacing w:line="360" w:lineRule="auto"/>
        <w:ind w:left="1" w:firstLine="424" w:firstLineChars="193"/>
        <w:rPr>
          <w:rFonts w:ascii="Arial" w:hAnsi="Arial" w:cs="Arial"/>
          <w:sz w:val="22"/>
          <w:szCs w:val="22"/>
        </w:rPr>
      </w:pPr>
      <w:r>
        <w:rPr>
          <w:rFonts w:hint="eastAsia" w:ascii="Arial" w:hAnsi="Arial" w:cs="Arial"/>
          <w:sz w:val="22"/>
          <w:szCs w:val="22"/>
        </w:rPr>
        <w:t>除理财产品所承担的固定管理费、托管费、销售服务费、增值税及附加税费等费用，以及其它应由理财产品资产承担的产品费用之外，还包括产品开户费用、账户维护费用、银行划款费用、</w:t>
      </w:r>
      <w:r>
        <w:rPr>
          <w:rFonts w:ascii="Arial" w:hAnsi="Arial" w:cs="Arial"/>
          <w:sz w:val="22"/>
          <w:szCs w:val="22"/>
        </w:rPr>
        <w:t>交易费用（包括但不限于交易佣金、撮合费用等）、验资费、审计费、律师费、</w:t>
      </w:r>
      <w:r>
        <w:rPr>
          <w:rFonts w:hint="eastAsia" w:ascii="Arial" w:hAnsi="Arial" w:cs="Arial"/>
          <w:sz w:val="22"/>
          <w:szCs w:val="22"/>
        </w:rPr>
        <w:t>诉讼费、</w:t>
      </w:r>
      <w:r>
        <w:rPr>
          <w:rFonts w:ascii="Arial" w:hAnsi="Arial" w:cs="Arial"/>
          <w:sz w:val="22"/>
          <w:szCs w:val="22"/>
        </w:rPr>
        <w:t>信息披露费、清算费、执行费等相关费用</w:t>
      </w:r>
      <w:r>
        <w:rPr>
          <w:rFonts w:hint="eastAsia" w:ascii="Arial" w:hAnsi="Arial" w:cs="Arial"/>
          <w:sz w:val="22"/>
          <w:szCs w:val="22"/>
        </w:rPr>
        <w:t>，按照法律法规规定在本理财产品资产中列支。</w:t>
      </w:r>
    </w:p>
    <w:p>
      <w:pPr>
        <w:widowControl/>
        <w:numPr>
          <w:ilvl w:val="0"/>
          <w:numId w:val="21"/>
        </w:numPr>
        <w:autoSpaceDE w:val="0"/>
        <w:autoSpaceDN w:val="0"/>
        <w:adjustRightInd w:val="0"/>
        <w:spacing w:line="360" w:lineRule="auto"/>
        <w:ind w:left="1" w:firstLine="426" w:firstLineChars="193"/>
        <w:rPr>
          <w:rFonts w:ascii="Arial" w:hAnsi="Arial" w:cs="Arial"/>
          <w:b/>
          <w:sz w:val="22"/>
          <w:szCs w:val="22"/>
        </w:rPr>
      </w:pPr>
      <w:r>
        <w:rPr>
          <w:rFonts w:ascii="Arial" w:hAnsi="Arial" w:cs="Arial"/>
          <w:b/>
          <w:sz w:val="22"/>
          <w:szCs w:val="22"/>
        </w:rPr>
        <w:t>本理财产品的产品成立日不计提</w:t>
      </w:r>
      <w:r>
        <w:rPr>
          <w:rFonts w:hint="eastAsia" w:ascii="Arial" w:hAnsi="Arial" w:cs="Arial"/>
          <w:b/>
          <w:sz w:val="22"/>
          <w:szCs w:val="22"/>
        </w:rPr>
        <w:t>固定</w:t>
      </w:r>
      <w:r>
        <w:rPr>
          <w:rFonts w:ascii="Arial" w:hAnsi="Arial" w:cs="Arial"/>
          <w:b/>
          <w:sz w:val="22"/>
          <w:szCs w:val="22"/>
        </w:rPr>
        <w:t>费用。</w:t>
      </w:r>
    </w:p>
    <w:p>
      <w:pPr>
        <w:widowControl/>
        <w:numPr>
          <w:ilvl w:val="0"/>
          <w:numId w:val="21"/>
        </w:numPr>
        <w:autoSpaceDE w:val="0"/>
        <w:autoSpaceDN w:val="0"/>
        <w:adjustRightInd w:val="0"/>
        <w:spacing w:line="360" w:lineRule="auto"/>
        <w:ind w:left="0" w:firstLine="426"/>
        <w:rPr>
          <w:rFonts w:ascii="Arial" w:hAnsi="Arial" w:cs="Arial"/>
          <w:b/>
          <w:sz w:val="22"/>
          <w:szCs w:val="22"/>
        </w:rPr>
      </w:pPr>
      <w:r>
        <w:rPr>
          <w:rFonts w:hint="eastAsia" w:ascii="Arial" w:hAnsi="Arial" w:cs="Arial"/>
          <w:b/>
          <w:sz w:val="22"/>
          <w:szCs w:val="22"/>
        </w:rPr>
        <w:t>如本理财产品的某类份额发生全部赎回，自该份额全部赎回确认之日起不再计提相关费用。</w:t>
      </w:r>
    </w:p>
    <w:p>
      <w:pPr>
        <w:pStyle w:val="20"/>
        <w:widowControl/>
        <w:numPr>
          <w:ilvl w:val="0"/>
          <w:numId w:val="20"/>
        </w:numPr>
        <w:spacing w:line="360" w:lineRule="auto"/>
        <w:ind w:left="0" w:firstLine="510" w:firstLineChars="0"/>
        <w:jc w:val="left"/>
        <w:rPr>
          <w:rFonts w:ascii="Arial" w:hAnsi="Arial" w:cs="Arial"/>
          <w:b/>
          <w:color w:val="000000"/>
          <w:sz w:val="22"/>
          <w:szCs w:val="22"/>
        </w:rPr>
      </w:pPr>
      <w:r>
        <w:rPr>
          <w:rFonts w:hint="eastAsia" w:ascii="Arial" w:hAnsi="Arial" w:cs="Arial"/>
          <w:b/>
          <w:color w:val="000000"/>
          <w:sz w:val="22"/>
          <w:szCs w:val="22"/>
        </w:rPr>
        <w:t>浮动管理费</w:t>
      </w:r>
    </w:p>
    <w:p>
      <w:pPr>
        <w:pStyle w:val="20"/>
        <w:autoSpaceDE w:val="0"/>
        <w:autoSpaceDN w:val="0"/>
        <w:adjustRightInd w:val="0"/>
        <w:spacing w:line="360" w:lineRule="auto"/>
        <w:ind w:left="1" w:firstLine="424" w:firstLineChars="193"/>
        <w:rPr>
          <w:rFonts w:ascii="Arial" w:hAnsi="Arial" w:cs="Arial"/>
          <w:color w:val="000000" w:themeColor="text1"/>
          <w:kern w:val="0"/>
          <w:sz w:val="22"/>
          <w:szCs w:val="22"/>
          <w14:textFill>
            <w14:solidFill>
              <w14:schemeClr w14:val="tx1"/>
            </w14:solidFill>
          </w14:textFill>
        </w:rPr>
      </w:pPr>
      <w:r>
        <w:rPr>
          <w:rFonts w:hint="eastAsia" w:ascii="Arial" w:hAnsi="Arial" w:cs="Arial"/>
          <w:sz w:val="22"/>
          <w:szCs w:val="22"/>
        </w:rPr>
        <w:t>管理人可对本理财产品收取浮动管理费</w:t>
      </w:r>
      <w:r>
        <w:rPr>
          <w:rFonts w:hint="eastAsia" w:ascii="Arial" w:hAnsi="Arial" w:cs="Arial"/>
          <w:color w:val="000000" w:themeColor="text1"/>
          <w:kern w:val="0"/>
          <w:sz w:val="22"/>
          <w:szCs w:val="22"/>
          <w14:textFill>
            <w14:solidFill>
              <w14:schemeClr w14:val="tx1"/>
            </w14:solidFill>
          </w14:textFill>
        </w:rPr>
        <w:t>。</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管理人对开放日提交赎回申请的投资者或理财产品终止日时持有本理财产品的投资者收取浮动管理费，本理财产品浮动管理费从赎回资金或理财产品终止分配的应得资金中扣除，不由理财产品承担。投资者赎回或理财产品终止时如果涉及多笔认/申购份额明细，将分别计算浮动管理费，予以计提，并从退出资金中扣除，浮动管理费精确到小数点后2位，小数点2位以后四舍五入。</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本理财产品浮动管理费计提基准为业绩比较基准上限。浮动管理费计提基准仅作为计算管理人收取浮动管理费的依据，不代表本理财产品的未来表现和实际收益，不构成管理人对本理财产品的任何收益承诺。本理财产品的浮动管理费计提评价日为投资者赎回对应的开放日或本理财产品终止日。在浮动管理费计提评价日，根据本理财产品扣除各项费用后的累计单位净值计算，若投资者的持有期年化投资收益率大于浮动管理费计提基准，管理人将对投资者超过浮动管理费计提基准部分以上的投资收益，按【</w:t>
      </w:r>
      <w:r>
        <w:rPr>
          <w:rFonts w:ascii="Arial" w:hAnsi="Arial" w:cs="Arial"/>
          <w:color w:val="000000"/>
          <w:sz w:val="22"/>
          <w:szCs w:val="22"/>
        </w:rPr>
        <w:t>30</w:t>
      </w:r>
      <w:r>
        <w:rPr>
          <w:rFonts w:hint="eastAsia" w:ascii="Arial" w:hAnsi="Arial" w:cs="Arial"/>
          <w:color w:val="000000"/>
          <w:sz w:val="22"/>
          <w:szCs w:val="22"/>
        </w:rPr>
        <w:t>】%收取浮动管理费。如对浮动管理费提计提基准及浮动管理费收取比例进行调整，管理人将以公告形式公布调整事宜。</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浮动管理费计算方法如下：</w:t>
      </w:r>
    </w:p>
    <w:p>
      <w:pPr>
        <w:spacing w:line="360" w:lineRule="auto"/>
        <w:ind w:right="141" w:firstLine="440" w:firstLineChars="200"/>
        <w:rPr>
          <w:rFonts w:ascii="Arial" w:hAnsi="Arial" w:cs="Arial"/>
          <w:color w:val="000000"/>
          <w:kern w:val="0"/>
          <w:sz w:val="22"/>
        </w:rPr>
      </w:pPr>
      <w:r>
        <w:rPr>
          <w:rFonts w:ascii="Arial" w:hAnsi="Arial" w:cs="Arial"/>
          <w:color w:val="000000"/>
          <w:kern w:val="0"/>
          <w:sz w:val="22"/>
        </w:rPr>
        <w:t>R=（P</w:t>
      </w:r>
      <w:r>
        <w:rPr>
          <w:rFonts w:hint="eastAsia" w:ascii="Arial" w:hAnsi="Arial" w:cs="Arial"/>
          <w:color w:val="000000"/>
          <w:kern w:val="0"/>
          <w:sz w:val="22"/>
          <w:vertAlign w:val="subscript"/>
        </w:rPr>
        <w:t>赎回对应开放日或本理财产品终止日累计单位</w:t>
      </w:r>
      <w:r>
        <w:rPr>
          <w:rFonts w:ascii="Arial" w:hAnsi="Arial" w:cs="Arial"/>
          <w:color w:val="000000"/>
          <w:kern w:val="0"/>
          <w:sz w:val="22"/>
          <w:vertAlign w:val="subscript"/>
        </w:rPr>
        <w:t>净值</w:t>
      </w:r>
      <w:r>
        <w:rPr>
          <w:rFonts w:ascii="Arial" w:hAnsi="Arial" w:cs="Arial"/>
          <w:color w:val="000000"/>
          <w:kern w:val="0"/>
          <w:sz w:val="22"/>
        </w:rPr>
        <w:t>- P</w:t>
      </w:r>
      <w:r>
        <w:rPr>
          <w:rFonts w:hint="eastAsia" w:ascii="Arial" w:hAnsi="Arial" w:cs="Arial"/>
          <w:color w:val="000000"/>
          <w:kern w:val="0"/>
          <w:sz w:val="22"/>
          <w:vertAlign w:val="subscript"/>
        </w:rPr>
        <w:t>认/申购对应开放日累计单位净值</w:t>
      </w:r>
      <w:r>
        <w:rPr>
          <w:rFonts w:ascii="Arial" w:hAnsi="Arial" w:cs="Arial"/>
          <w:color w:val="000000"/>
          <w:kern w:val="0"/>
          <w:sz w:val="22"/>
        </w:rPr>
        <w:t>）</w:t>
      </w:r>
      <w:r>
        <w:rPr>
          <w:rFonts w:hint="eastAsia" w:ascii="Arial" w:hAnsi="Arial" w:cs="Arial"/>
          <w:color w:val="000000"/>
          <w:kern w:val="0"/>
          <w:sz w:val="22"/>
        </w:rPr>
        <w:t>/</w:t>
      </w:r>
      <w:r>
        <w:rPr>
          <w:rFonts w:ascii="Arial" w:hAnsi="Arial" w:cs="Arial"/>
          <w:color w:val="000000"/>
          <w:kern w:val="0"/>
          <w:sz w:val="22"/>
        </w:rPr>
        <w:t xml:space="preserve"> P</w:t>
      </w:r>
      <w:r>
        <w:rPr>
          <w:rFonts w:hint="eastAsia" w:ascii="Arial" w:hAnsi="Arial" w:cs="Arial"/>
          <w:color w:val="000000"/>
          <w:kern w:val="0"/>
          <w:sz w:val="22"/>
          <w:vertAlign w:val="subscript"/>
        </w:rPr>
        <w:t>认/申购对应开放日单位净值</w:t>
      </w:r>
      <w:r>
        <w:rPr>
          <w:rFonts w:ascii="Arial" w:hAnsi="Arial" w:cs="Arial"/>
          <w:color w:val="000000"/>
          <w:kern w:val="0"/>
          <w:sz w:val="22"/>
        </w:rPr>
        <w:t>×365/D</w:t>
      </w:r>
    </w:p>
    <w:p>
      <w:pPr>
        <w:spacing w:line="360" w:lineRule="auto"/>
        <w:ind w:right="141" w:firstLine="440" w:firstLineChars="200"/>
        <w:rPr>
          <w:rFonts w:ascii="Arial" w:hAnsi="Arial" w:cs="Arial"/>
          <w:color w:val="000000"/>
          <w:kern w:val="0"/>
          <w:sz w:val="22"/>
        </w:rPr>
      </w:pPr>
      <w:r>
        <w:rPr>
          <w:rFonts w:ascii="Arial" w:hAnsi="Arial" w:cs="Arial"/>
          <w:color w:val="000000"/>
          <w:kern w:val="0"/>
          <w:sz w:val="22"/>
        </w:rPr>
        <w:t>R为在</w:t>
      </w:r>
      <w:r>
        <w:rPr>
          <w:rFonts w:hint="eastAsia" w:ascii="Arial" w:hAnsi="Arial" w:cs="Arial"/>
          <w:color w:val="000000"/>
          <w:kern w:val="0"/>
          <w:sz w:val="22"/>
        </w:rPr>
        <w:t>投资者赎回对应的开放日或</w:t>
      </w:r>
      <w:r>
        <w:rPr>
          <w:rFonts w:ascii="Arial" w:hAnsi="Arial" w:cs="Arial"/>
          <w:color w:val="000000"/>
          <w:kern w:val="0"/>
          <w:sz w:val="22"/>
        </w:rPr>
        <w:t>本理财产品终止日计提</w:t>
      </w:r>
      <w:r>
        <w:rPr>
          <w:rFonts w:hint="eastAsia" w:ascii="Arial" w:hAnsi="Arial" w:cs="Arial"/>
          <w:color w:val="000000"/>
          <w:kern w:val="0"/>
          <w:sz w:val="22"/>
        </w:rPr>
        <w:t>浮动管理费</w:t>
      </w:r>
      <w:r>
        <w:rPr>
          <w:rFonts w:ascii="Arial" w:hAnsi="Arial" w:cs="Arial"/>
          <w:color w:val="000000"/>
          <w:kern w:val="0"/>
          <w:sz w:val="22"/>
        </w:rPr>
        <w:t>前的</w:t>
      </w:r>
      <w:r>
        <w:rPr>
          <w:rFonts w:hint="eastAsia" w:ascii="Arial" w:hAnsi="Arial" w:cs="Arial"/>
          <w:color w:val="000000"/>
          <w:kern w:val="0"/>
          <w:sz w:val="22"/>
        </w:rPr>
        <w:t>持有期</w:t>
      </w:r>
      <w:r>
        <w:rPr>
          <w:rFonts w:ascii="Arial" w:hAnsi="Arial" w:cs="Arial"/>
          <w:color w:val="000000"/>
          <w:kern w:val="0"/>
          <w:sz w:val="22"/>
        </w:rPr>
        <w:t>年化</w:t>
      </w:r>
      <w:r>
        <w:rPr>
          <w:rFonts w:hint="eastAsia" w:ascii="Arial" w:hAnsi="Arial" w:cs="Arial"/>
          <w:color w:val="000000"/>
          <w:kern w:val="0"/>
          <w:sz w:val="22"/>
        </w:rPr>
        <w:t>投资</w:t>
      </w:r>
      <w:r>
        <w:rPr>
          <w:rFonts w:ascii="Arial" w:hAnsi="Arial" w:cs="Arial"/>
          <w:color w:val="000000"/>
          <w:kern w:val="0"/>
          <w:sz w:val="22"/>
        </w:rPr>
        <w:t>收益率</w:t>
      </w:r>
      <w:r>
        <w:rPr>
          <w:rFonts w:hint="eastAsia" w:ascii="Arial" w:hAnsi="Arial" w:cs="Arial"/>
          <w:color w:val="000000"/>
          <w:kern w:val="0"/>
          <w:sz w:val="22"/>
        </w:rPr>
        <w:t>（按四舍五入法保留</w:t>
      </w:r>
      <w:r>
        <w:rPr>
          <w:rFonts w:ascii="Arial" w:hAnsi="Arial" w:cs="Arial"/>
          <w:color w:val="000000"/>
          <w:kern w:val="0"/>
          <w:sz w:val="22"/>
        </w:rPr>
        <w:t>6</w:t>
      </w:r>
      <w:r>
        <w:rPr>
          <w:rFonts w:hint="eastAsia" w:ascii="Arial" w:hAnsi="Arial" w:cs="Arial"/>
          <w:color w:val="000000"/>
          <w:kern w:val="0"/>
          <w:sz w:val="22"/>
        </w:rPr>
        <w:t xml:space="preserve">位小数） </w:t>
      </w:r>
    </w:p>
    <w:p>
      <w:pPr>
        <w:spacing w:line="360" w:lineRule="auto"/>
        <w:ind w:right="141" w:firstLine="440" w:firstLineChars="200"/>
        <w:rPr>
          <w:rFonts w:ascii="Arial" w:hAnsi="Arial" w:cs="Arial"/>
          <w:color w:val="000000"/>
          <w:kern w:val="0"/>
          <w:sz w:val="22"/>
        </w:rPr>
      </w:pPr>
      <w:r>
        <w:rPr>
          <w:rFonts w:ascii="Arial" w:hAnsi="Arial" w:cs="Arial"/>
          <w:color w:val="000000"/>
          <w:kern w:val="0"/>
          <w:sz w:val="22"/>
        </w:rPr>
        <w:t>P</w:t>
      </w:r>
      <w:r>
        <w:rPr>
          <w:rFonts w:hint="eastAsia" w:ascii="Arial" w:hAnsi="Arial" w:cs="Arial"/>
          <w:color w:val="000000"/>
          <w:kern w:val="0"/>
          <w:sz w:val="22"/>
          <w:vertAlign w:val="subscript"/>
        </w:rPr>
        <w:t>赎回对应开放日或本理财产品终止日累计单位</w:t>
      </w:r>
      <w:r>
        <w:rPr>
          <w:rFonts w:ascii="Arial" w:hAnsi="Arial" w:cs="Arial"/>
          <w:color w:val="000000"/>
          <w:kern w:val="0"/>
          <w:sz w:val="22"/>
          <w:vertAlign w:val="subscript"/>
        </w:rPr>
        <w:t>净值</w:t>
      </w:r>
      <w:r>
        <w:rPr>
          <w:rFonts w:ascii="Arial" w:hAnsi="Arial" w:cs="Arial"/>
          <w:color w:val="000000"/>
          <w:kern w:val="0"/>
          <w:sz w:val="22"/>
        </w:rPr>
        <w:t>为</w:t>
      </w:r>
      <w:r>
        <w:rPr>
          <w:rFonts w:hint="eastAsia" w:ascii="Arial" w:hAnsi="Arial" w:cs="Arial"/>
          <w:color w:val="000000"/>
          <w:kern w:val="0"/>
          <w:sz w:val="22"/>
        </w:rPr>
        <w:t>在投资者赎回对应的开放日或</w:t>
      </w:r>
      <w:r>
        <w:rPr>
          <w:rFonts w:ascii="Arial" w:hAnsi="Arial" w:cs="Arial"/>
          <w:color w:val="000000"/>
          <w:kern w:val="0"/>
          <w:sz w:val="22"/>
        </w:rPr>
        <w:t>本理财产品终止日</w:t>
      </w:r>
      <w:r>
        <w:rPr>
          <w:rFonts w:hint="eastAsia" w:ascii="Arial" w:hAnsi="Arial" w:cs="Arial"/>
          <w:color w:val="000000"/>
          <w:kern w:val="0"/>
          <w:sz w:val="22"/>
        </w:rPr>
        <w:t>浮动管理费</w:t>
      </w:r>
      <w:r>
        <w:rPr>
          <w:rFonts w:ascii="Arial" w:hAnsi="Arial" w:cs="Arial"/>
          <w:color w:val="000000"/>
          <w:kern w:val="0"/>
          <w:sz w:val="22"/>
        </w:rPr>
        <w:t>计提前的</w:t>
      </w:r>
      <w:r>
        <w:rPr>
          <w:rFonts w:hint="eastAsia" w:ascii="Arial" w:hAnsi="Arial" w:cs="Arial"/>
          <w:color w:val="000000"/>
          <w:kern w:val="0"/>
          <w:sz w:val="22"/>
        </w:rPr>
        <w:t>产品累计单位</w:t>
      </w:r>
      <w:r>
        <w:rPr>
          <w:rFonts w:ascii="Arial" w:hAnsi="Arial" w:cs="Arial"/>
          <w:color w:val="000000"/>
          <w:kern w:val="0"/>
          <w:sz w:val="22"/>
        </w:rPr>
        <w:t>净值</w:t>
      </w:r>
      <w:r>
        <w:rPr>
          <w:rFonts w:hint="eastAsia" w:ascii="Arial" w:hAnsi="Arial" w:cs="Arial"/>
          <w:color w:val="000000"/>
          <w:kern w:val="0"/>
          <w:sz w:val="22"/>
        </w:rPr>
        <w:t xml:space="preserve"> </w:t>
      </w:r>
    </w:p>
    <w:p>
      <w:pPr>
        <w:spacing w:line="360" w:lineRule="auto"/>
        <w:ind w:right="141" w:firstLine="440" w:firstLineChars="200"/>
        <w:rPr>
          <w:rFonts w:ascii="Arial" w:hAnsi="Arial" w:cs="Arial"/>
          <w:color w:val="000000"/>
          <w:kern w:val="0"/>
          <w:sz w:val="22"/>
        </w:rPr>
      </w:pPr>
      <w:r>
        <w:rPr>
          <w:rFonts w:ascii="Arial" w:hAnsi="Arial" w:cs="Arial"/>
          <w:color w:val="000000"/>
          <w:kern w:val="0"/>
          <w:sz w:val="22"/>
        </w:rPr>
        <w:t>P</w:t>
      </w:r>
      <w:r>
        <w:rPr>
          <w:rFonts w:hint="eastAsia" w:ascii="Arial" w:hAnsi="Arial" w:cs="Arial"/>
          <w:color w:val="000000"/>
          <w:kern w:val="0"/>
          <w:sz w:val="22"/>
          <w:vertAlign w:val="subscript"/>
        </w:rPr>
        <w:t>认/申购对应开放日累计单位净值</w:t>
      </w:r>
      <w:r>
        <w:rPr>
          <w:rFonts w:hint="eastAsia" w:ascii="Arial" w:hAnsi="Arial" w:cs="Arial"/>
          <w:color w:val="000000"/>
          <w:kern w:val="0"/>
          <w:sz w:val="22"/>
        </w:rPr>
        <w:t>为投资者</w:t>
      </w:r>
      <w:r>
        <w:rPr>
          <w:rFonts w:hint="eastAsia"/>
          <w:sz w:val="22"/>
        </w:rPr>
        <w:t>认/申购对应开放日</w:t>
      </w:r>
      <w:r>
        <w:rPr>
          <w:rFonts w:ascii="Arial" w:hAnsi="Arial" w:cs="Arial"/>
          <w:color w:val="000000"/>
          <w:kern w:val="0"/>
          <w:sz w:val="22"/>
        </w:rPr>
        <w:t>的</w:t>
      </w:r>
      <w:r>
        <w:rPr>
          <w:rFonts w:hint="eastAsia" w:ascii="Arial" w:hAnsi="Arial" w:cs="Arial"/>
          <w:color w:val="000000"/>
          <w:kern w:val="0"/>
          <w:sz w:val="22"/>
        </w:rPr>
        <w:t>产品累计单位</w:t>
      </w:r>
      <w:r>
        <w:rPr>
          <w:rFonts w:ascii="Arial" w:hAnsi="Arial" w:cs="Arial"/>
          <w:color w:val="000000"/>
          <w:kern w:val="0"/>
          <w:sz w:val="22"/>
        </w:rPr>
        <w:t>净值</w:t>
      </w:r>
      <w:r>
        <w:rPr>
          <w:rFonts w:hint="eastAsia" w:ascii="Arial" w:hAnsi="Arial" w:cs="Arial"/>
          <w:color w:val="000000"/>
          <w:kern w:val="0"/>
          <w:sz w:val="22"/>
        </w:rPr>
        <w:t xml:space="preserve"> </w:t>
      </w:r>
    </w:p>
    <w:p>
      <w:pPr>
        <w:spacing w:line="360" w:lineRule="auto"/>
        <w:ind w:right="141" w:firstLine="440" w:firstLineChars="200"/>
        <w:rPr>
          <w:rFonts w:ascii="Arial" w:hAnsi="Arial" w:cs="Arial"/>
          <w:color w:val="000000"/>
          <w:kern w:val="0"/>
          <w:sz w:val="22"/>
        </w:rPr>
      </w:pPr>
      <w:r>
        <w:rPr>
          <w:rFonts w:ascii="Arial" w:hAnsi="Arial" w:cs="Arial"/>
          <w:color w:val="000000"/>
          <w:kern w:val="0"/>
          <w:sz w:val="22"/>
        </w:rPr>
        <w:t>P</w:t>
      </w:r>
      <w:r>
        <w:rPr>
          <w:rFonts w:hint="eastAsia" w:ascii="Arial" w:hAnsi="Arial" w:cs="Arial"/>
          <w:color w:val="000000"/>
          <w:kern w:val="0"/>
          <w:sz w:val="22"/>
          <w:vertAlign w:val="subscript"/>
        </w:rPr>
        <w:t>认/申购对应开放日单位净值</w:t>
      </w:r>
      <w:r>
        <w:rPr>
          <w:rFonts w:hint="eastAsia" w:ascii="Arial" w:hAnsi="Arial" w:cs="Arial"/>
          <w:color w:val="000000"/>
          <w:kern w:val="0"/>
          <w:sz w:val="22"/>
        </w:rPr>
        <w:t>为投资者</w:t>
      </w:r>
      <w:r>
        <w:rPr>
          <w:rFonts w:hint="eastAsia"/>
          <w:sz w:val="22"/>
        </w:rPr>
        <w:t>认/申购对应开放日</w:t>
      </w:r>
      <w:r>
        <w:rPr>
          <w:rFonts w:ascii="Arial" w:hAnsi="Arial" w:cs="Arial"/>
          <w:color w:val="000000"/>
          <w:kern w:val="0"/>
          <w:sz w:val="22"/>
        </w:rPr>
        <w:t>的</w:t>
      </w:r>
      <w:r>
        <w:rPr>
          <w:rFonts w:hint="eastAsia" w:ascii="Arial" w:hAnsi="Arial" w:cs="Arial"/>
          <w:color w:val="000000"/>
          <w:kern w:val="0"/>
          <w:sz w:val="22"/>
        </w:rPr>
        <w:t>单位</w:t>
      </w:r>
      <w:r>
        <w:rPr>
          <w:rFonts w:ascii="Arial" w:hAnsi="Arial" w:cs="Arial"/>
          <w:color w:val="000000"/>
          <w:kern w:val="0"/>
          <w:sz w:val="22"/>
        </w:rPr>
        <w:t>净值</w:t>
      </w:r>
      <w:r>
        <w:rPr>
          <w:rFonts w:hint="eastAsia" w:ascii="Arial" w:hAnsi="Arial" w:cs="Arial"/>
          <w:color w:val="000000"/>
          <w:kern w:val="0"/>
          <w:sz w:val="22"/>
        </w:rPr>
        <w:t xml:space="preserve"> </w:t>
      </w:r>
    </w:p>
    <w:p>
      <w:pPr>
        <w:spacing w:line="360" w:lineRule="auto"/>
        <w:ind w:right="141" w:firstLine="440" w:firstLineChars="200"/>
        <w:rPr>
          <w:rFonts w:ascii="Arial" w:hAnsi="Arial" w:cs="Arial"/>
          <w:color w:val="000000"/>
          <w:kern w:val="0"/>
          <w:sz w:val="22"/>
        </w:rPr>
      </w:pPr>
      <w:r>
        <w:rPr>
          <w:rFonts w:ascii="Arial" w:hAnsi="Arial" w:cs="Arial"/>
          <w:color w:val="000000"/>
          <w:kern w:val="0"/>
          <w:sz w:val="22"/>
        </w:rPr>
        <w:t>D为</w:t>
      </w:r>
      <w:r>
        <w:rPr>
          <w:rFonts w:hint="eastAsia" w:ascii="Arial" w:hAnsi="Arial" w:cs="Arial"/>
          <w:color w:val="000000"/>
          <w:kern w:val="0"/>
          <w:sz w:val="22"/>
        </w:rPr>
        <w:t>理财产品成立日（含）或申购确认日（含）至投资者赎回份额确认日（不含）的持有天数</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M=（R-r）×【</w:t>
      </w:r>
      <w:r>
        <w:rPr>
          <w:rFonts w:ascii="Arial" w:hAnsi="Arial" w:cs="Arial"/>
          <w:color w:val="000000"/>
          <w:sz w:val="22"/>
          <w:szCs w:val="22"/>
        </w:rPr>
        <w:t>30</w:t>
      </w:r>
      <w:r>
        <w:rPr>
          <w:rFonts w:hint="eastAsia" w:ascii="Arial" w:hAnsi="Arial" w:cs="Arial"/>
          <w:color w:val="000000"/>
          <w:sz w:val="22"/>
          <w:szCs w:val="22"/>
        </w:rPr>
        <w:t>】%</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M为浮动管理费率</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r为浮动管理费计提基准</w:t>
      </w:r>
    </w:p>
    <w:p>
      <w:pPr>
        <w:spacing w:line="360" w:lineRule="auto"/>
        <w:ind w:right="141" w:firstLine="440" w:firstLineChars="200"/>
        <w:rPr>
          <w:rFonts w:ascii="Arial" w:hAnsi="Arial" w:cs="Arial"/>
          <w:color w:val="000000"/>
          <w:kern w:val="0"/>
          <w:sz w:val="22"/>
        </w:rPr>
      </w:pPr>
      <w:r>
        <w:rPr>
          <w:rFonts w:ascii="Arial" w:hAnsi="Arial" w:cs="Arial"/>
          <w:color w:val="000000"/>
          <w:kern w:val="0"/>
          <w:sz w:val="22"/>
        </w:rPr>
        <w:t>F=M×本</w:t>
      </w:r>
      <w:r>
        <w:rPr>
          <w:rFonts w:hint="eastAsia" w:ascii="Arial" w:hAnsi="Arial" w:cs="Arial"/>
          <w:color w:val="000000"/>
          <w:kern w:val="0"/>
          <w:sz w:val="22"/>
        </w:rPr>
        <w:t>投资者在赎回对应开放日的赎回份额或在</w:t>
      </w:r>
      <w:r>
        <w:rPr>
          <w:rFonts w:ascii="Arial" w:hAnsi="Arial" w:cs="Arial"/>
          <w:color w:val="000000"/>
          <w:kern w:val="0"/>
          <w:sz w:val="22"/>
        </w:rPr>
        <w:t>本理财产品终止日</w:t>
      </w:r>
      <w:r>
        <w:rPr>
          <w:rFonts w:hint="eastAsia" w:ascii="Arial" w:hAnsi="Arial" w:cs="Arial"/>
          <w:color w:val="000000"/>
          <w:kern w:val="0"/>
          <w:sz w:val="22"/>
        </w:rPr>
        <w:t>的总</w:t>
      </w:r>
      <w:r>
        <w:rPr>
          <w:rFonts w:ascii="Arial" w:hAnsi="Arial" w:cs="Arial"/>
          <w:color w:val="000000"/>
          <w:kern w:val="0"/>
          <w:sz w:val="22"/>
        </w:rPr>
        <w:t>份额×P</w:t>
      </w:r>
      <w:r>
        <w:rPr>
          <w:rFonts w:hint="eastAsia" w:ascii="Arial" w:hAnsi="Arial" w:cs="Arial"/>
          <w:color w:val="000000"/>
          <w:kern w:val="0"/>
          <w:sz w:val="22"/>
          <w:vertAlign w:val="subscript"/>
        </w:rPr>
        <w:t>认/申购对应开放日单位净值</w:t>
      </w:r>
      <w:r>
        <w:rPr>
          <w:rFonts w:ascii="Arial" w:hAnsi="Arial" w:cs="Arial"/>
          <w:color w:val="000000"/>
          <w:kern w:val="0"/>
          <w:sz w:val="22"/>
        </w:rPr>
        <w:t>×D/365</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F为管理人向投资者收取的浮动管理费（按四舍五入法保留2位小数）</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本产品披露的单位净值未扣除浮动管理费（如有），浮动管理费按照投资者的每笔申请逐笔计提，在投资者赎回或理财产品终止时进行计算，并在向投资者支付赎回资金或分配应得资金时予以扣除，管理人按期收取（如有）。因此，投资者在赎回或理财产品终止时到账的款项，可能会少于理财产品单位净值乘以相应理财产品份额后所得的金额。</w:t>
      </w:r>
    </w:p>
    <w:p>
      <w:pPr>
        <w:pStyle w:val="20"/>
        <w:widowControl/>
        <w:numPr>
          <w:ilvl w:val="0"/>
          <w:numId w:val="20"/>
        </w:numPr>
        <w:spacing w:line="360" w:lineRule="auto"/>
        <w:ind w:left="0" w:firstLine="510" w:firstLineChars="0"/>
        <w:jc w:val="left"/>
        <w:rPr>
          <w:rFonts w:ascii="Arial" w:hAnsi="Arial" w:cs="Arial"/>
          <w:b/>
          <w:color w:val="000000"/>
          <w:sz w:val="22"/>
          <w:szCs w:val="22"/>
        </w:rPr>
      </w:pPr>
      <w:r>
        <w:rPr>
          <w:rFonts w:ascii="Arial" w:hAnsi="Arial" w:cs="Arial"/>
          <w:b/>
          <w:sz w:val="22"/>
          <w:szCs w:val="22"/>
        </w:rPr>
        <w:t>认/申购费、赎回费</w:t>
      </w:r>
    </w:p>
    <w:p>
      <w:pPr>
        <w:spacing w:line="360" w:lineRule="auto"/>
        <w:ind w:firstLine="440" w:firstLineChars="200"/>
        <w:rPr>
          <w:rFonts w:ascii="Arial" w:hAnsi="Arial" w:cs="Arial"/>
          <w:sz w:val="22"/>
          <w:szCs w:val="22"/>
        </w:rPr>
      </w:pPr>
      <w:r>
        <w:rPr>
          <w:rFonts w:hint="eastAsia" w:ascii="Arial" w:hAnsi="Arial" w:cs="Arial"/>
          <w:sz w:val="22"/>
          <w:szCs w:val="22"/>
        </w:rPr>
        <w:t>本理财产品不收取认购费、申购费、赎回费。</w:t>
      </w:r>
    </w:p>
    <w:p>
      <w:pPr>
        <w:pStyle w:val="20"/>
        <w:widowControl/>
        <w:numPr>
          <w:ilvl w:val="0"/>
          <w:numId w:val="20"/>
        </w:numPr>
        <w:spacing w:line="360" w:lineRule="auto"/>
        <w:ind w:left="0" w:firstLine="510" w:firstLineChars="0"/>
        <w:jc w:val="left"/>
        <w:rPr>
          <w:rFonts w:ascii="Arial" w:hAnsi="Arial" w:cs="Arial"/>
          <w:b/>
          <w:color w:val="000000"/>
          <w:sz w:val="22"/>
          <w:szCs w:val="22"/>
        </w:rPr>
      </w:pPr>
      <w:r>
        <w:rPr>
          <w:rFonts w:ascii="Arial" w:hAnsi="Arial" w:cs="Arial"/>
          <w:b/>
          <w:color w:val="000000"/>
          <w:sz w:val="22"/>
          <w:szCs w:val="22"/>
        </w:rPr>
        <w:t>费用调整</w:t>
      </w:r>
    </w:p>
    <w:p>
      <w:pPr>
        <w:spacing w:line="360" w:lineRule="auto"/>
        <w:ind w:firstLine="440" w:firstLineChars="200"/>
        <w:rPr>
          <w:rFonts w:ascii="Arial" w:hAnsi="Arial" w:cs="Arial"/>
          <w:sz w:val="22"/>
          <w:szCs w:val="22"/>
        </w:rPr>
      </w:pPr>
      <w:bookmarkStart w:id="0" w:name="TCSignDay"/>
      <w:bookmarkEnd w:id="0"/>
      <w:bookmarkStart w:id="1" w:name="TCSignYear"/>
      <w:bookmarkEnd w:id="1"/>
      <w:bookmarkStart w:id="2" w:name="TCSignMonth"/>
      <w:bookmarkEnd w:id="2"/>
      <w:bookmarkStart w:id="3" w:name="TAttachment"/>
      <w:bookmarkEnd w:id="3"/>
      <w:r>
        <w:rPr>
          <w:rFonts w:hint="eastAsia" w:ascii="Arial" w:hAnsi="Arial" w:cs="Arial"/>
          <w:sz w:val="22"/>
          <w:szCs w:val="22"/>
        </w:rPr>
        <w:t>管理人有权根据国家政策和适用法律法规的规定并结合实际情况，对本理财产品收费项目、收费条件、计算方法、收取方式及费率等在约定范围内进行调整，具体以管理人公告为准。</w:t>
      </w:r>
    </w:p>
    <w:p>
      <w:pPr>
        <w:spacing w:line="360" w:lineRule="auto"/>
        <w:ind w:firstLine="440" w:firstLineChars="200"/>
        <w:rPr>
          <w:rFonts w:ascii="Arial" w:hAnsi="Arial" w:cs="Arial"/>
          <w:sz w:val="22"/>
          <w:szCs w:val="22"/>
        </w:rPr>
      </w:pPr>
      <w:r>
        <w:rPr>
          <w:rFonts w:hint="eastAsia" w:ascii="Arial" w:hAnsi="Arial" w:cs="Arial"/>
          <w:sz w:val="22"/>
          <w:szCs w:val="22"/>
        </w:rPr>
        <w:t>超出约定范围的调整，管理人将至少提前</w:t>
      </w:r>
      <w:r>
        <w:rPr>
          <w:rFonts w:ascii="Arial" w:hAnsi="Arial" w:cs="Arial"/>
          <w:sz w:val="22"/>
          <w:szCs w:val="22"/>
        </w:rPr>
        <w:t>5</w:t>
      </w:r>
      <w:r>
        <w:rPr>
          <w:rFonts w:hint="eastAsia" w:ascii="Arial" w:hAnsi="Arial" w:cs="Arial"/>
          <w:sz w:val="22"/>
          <w:szCs w:val="22"/>
        </w:rPr>
        <w:t>个工作日进行公告。</w:t>
      </w:r>
      <w:r>
        <w:rPr>
          <w:rFonts w:ascii="Arial" w:hAnsi="Arial" w:cs="Arial"/>
          <w:sz w:val="22"/>
          <w:szCs w:val="22"/>
        </w:rPr>
        <w:t>投资者在信息披露期间未提出书面异议的，即视为书面同意</w:t>
      </w:r>
      <w:r>
        <w:rPr>
          <w:rFonts w:hint="eastAsia" w:ascii="Arial" w:hAnsi="Arial" w:cs="Arial"/>
          <w:sz w:val="22"/>
          <w:szCs w:val="22"/>
        </w:rPr>
        <w:t>。</w:t>
      </w:r>
      <w:r>
        <w:rPr>
          <w:rFonts w:ascii="Arial" w:hAnsi="Arial" w:cs="Arial"/>
          <w:sz w:val="22"/>
          <w:szCs w:val="22"/>
        </w:rPr>
        <w:t>产品说明书</w:t>
      </w:r>
      <w:r>
        <w:rPr>
          <w:rFonts w:hint="eastAsia" w:ascii="Arial" w:hAnsi="Arial" w:cs="Arial"/>
          <w:sz w:val="22"/>
          <w:szCs w:val="22"/>
        </w:rPr>
        <w:t>相关事项变更</w:t>
      </w:r>
      <w:r>
        <w:rPr>
          <w:rFonts w:ascii="Arial" w:hAnsi="Arial" w:cs="Arial"/>
          <w:sz w:val="22"/>
          <w:szCs w:val="22"/>
        </w:rPr>
        <w:t>自信息披露期结束后自动生效。投资者如不同意调整的，</w:t>
      </w:r>
      <w:r>
        <w:rPr>
          <w:rFonts w:hint="eastAsia" w:ascii="Arial" w:hAnsi="Arial" w:cs="Arial"/>
          <w:sz w:val="22"/>
          <w:szCs w:val="22"/>
        </w:rPr>
        <w:t>有权按照本理财产品销售文件的约定提前</w:t>
      </w:r>
      <w:r>
        <w:rPr>
          <w:rFonts w:ascii="Arial" w:hAnsi="Arial" w:cs="Arial"/>
          <w:sz w:val="22"/>
          <w:szCs w:val="22"/>
        </w:rPr>
        <w:t>赎回本理财产品</w:t>
      </w:r>
      <w:r>
        <w:rPr>
          <w:rFonts w:hint="eastAsia" w:ascii="Arial" w:hAnsi="Arial" w:cs="Arial"/>
          <w:sz w:val="22"/>
          <w:szCs w:val="22"/>
        </w:rPr>
        <w:t>，</w:t>
      </w:r>
      <w:r>
        <w:rPr>
          <w:rFonts w:ascii="Arial" w:hAnsi="Arial" w:cs="Arial"/>
          <w:sz w:val="22"/>
          <w:szCs w:val="22"/>
        </w:rPr>
        <w:t>此种情况下</w:t>
      </w:r>
      <w:r>
        <w:rPr>
          <w:rFonts w:hint="eastAsia" w:ascii="Arial" w:hAnsi="Arial" w:cs="Arial"/>
          <w:sz w:val="22"/>
          <w:szCs w:val="22"/>
        </w:rPr>
        <w:t>管理人</w:t>
      </w:r>
      <w:r>
        <w:rPr>
          <w:rFonts w:ascii="Arial" w:hAnsi="Arial" w:cs="Arial"/>
          <w:sz w:val="22"/>
          <w:szCs w:val="22"/>
        </w:rPr>
        <w:t>将可能在</w:t>
      </w:r>
      <w:r>
        <w:rPr>
          <w:rFonts w:hint="eastAsia" w:ascii="Arial" w:hAnsi="Arial" w:cs="Arial"/>
          <w:sz w:val="22"/>
          <w:szCs w:val="22"/>
        </w:rPr>
        <w:t>本理财产品说明书约定的开放期</w:t>
      </w:r>
      <w:r>
        <w:rPr>
          <w:rFonts w:ascii="Arial" w:hAnsi="Arial" w:cs="Arial"/>
          <w:sz w:val="22"/>
          <w:szCs w:val="22"/>
        </w:rPr>
        <w:t>外单独开放特殊赎回期间，具体以届时</w:t>
      </w:r>
      <w:r>
        <w:rPr>
          <w:rFonts w:hint="eastAsia" w:ascii="Arial" w:hAnsi="Arial" w:cs="Arial"/>
          <w:sz w:val="22"/>
          <w:szCs w:val="22"/>
        </w:rPr>
        <w:t>管理人</w:t>
      </w:r>
      <w:r>
        <w:rPr>
          <w:rFonts w:ascii="Arial" w:hAnsi="Arial" w:cs="Arial"/>
          <w:sz w:val="22"/>
          <w:szCs w:val="22"/>
        </w:rPr>
        <w:t>的信息披露为准，逾期未赎回的视为</w:t>
      </w:r>
      <w:r>
        <w:rPr>
          <w:rFonts w:hint="eastAsia" w:ascii="Arial" w:hAnsi="Arial" w:cs="Arial"/>
          <w:sz w:val="22"/>
          <w:szCs w:val="22"/>
        </w:rPr>
        <w:t>投资者</w:t>
      </w:r>
      <w:r>
        <w:rPr>
          <w:rFonts w:ascii="Arial" w:hAnsi="Arial" w:cs="Arial"/>
          <w:sz w:val="22"/>
          <w:szCs w:val="22"/>
        </w:rPr>
        <w:t>同意接受前述调整且继续持有本理财产品。</w:t>
      </w:r>
    </w:p>
    <w:p>
      <w:pPr>
        <w:pStyle w:val="2"/>
        <w:numPr>
          <w:ilvl w:val="0"/>
          <w:numId w:val="3"/>
        </w:numPr>
        <w:tabs>
          <w:tab w:val="left" w:pos="426"/>
        </w:tabs>
        <w:spacing w:line="240" w:lineRule="auto"/>
        <w:rPr>
          <w:rFonts w:ascii="Arial" w:hAnsi="Arial" w:cs="Arial"/>
          <w:color w:val="000000"/>
          <w:sz w:val="22"/>
          <w:szCs w:val="22"/>
        </w:rPr>
      </w:pPr>
      <w:r>
        <w:rPr>
          <w:rFonts w:ascii="Arial" w:hAnsi="Arial" w:cs="Arial"/>
          <w:color w:val="000000"/>
          <w:sz w:val="22"/>
          <w:szCs w:val="22"/>
        </w:rPr>
        <w:t>产品收益分配</w:t>
      </w:r>
    </w:p>
    <w:p>
      <w:pPr>
        <w:numPr>
          <w:ilvl w:val="1"/>
          <w:numId w:val="22"/>
        </w:numPr>
        <w:spacing w:line="360" w:lineRule="auto"/>
        <w:ind w:left="0" w:firstLine="442" w:firstLineChars="200"/>
        <w:rPr>
          <w:rFonts w:ascii="Arial" w:hAnsi="Arial" w:cs="Arial"/>
          <w:b/>
          <w:color w:val="000000"/>
          <w:sz w:val="22"/>
          <w:szCs w:val="22"/>
        </w:rPr>
      </w:pPr>
      <w:r>
        <w:rPr>
          <w:rFonts w:ascii="Arial" w:hAnsi="Arial" w:cs="Arial"/>
          <w:b/>
          <w:color w:val="000000"/>
          <w:sz w:val="22"/>
          <w:szCs w:val="22"/>
        </w:rPr>
        <w:t>收益的构成</w:t>
      </w:r>
    </w:p>
    <w:p>
      <w:pPr>
        <w:spacing w:line="360" w:lineRule="auto"/>
        <w:ind w:firstLine="440" w:firstLineChars="200"/>
        <w:rPr>
          <w:rFonts w:ascii="Arial" w:hAnsi="Arial" w:cs="Arial"/>
          <w:color w:val="000000"/>
          <w:sz w:val="22"/>
          <w:szCs w:val="22"/>
        </w:rPr>
      </w:pPr>
      <w:r>
        <w:rPr>
          <w:rFonts w:ascii="Arial" w:hAnsi="Arial" w:cs="Arial"/>
          <w:color w:val="000000"/>
          <w:sz w:val="22"/>
          <w:szCs w:val="22"/>
        </w:rPr>
        <w:t>本理财产品的收益包括：投资债券、货币市场工具等监管机构认可的相关资产或资产</w:t>
      </w:r>
      <w:r>
        <w:rPr>
          <w:rFonts w:hint="eastAsia" w:ascii="Arial" w:hAnsi="Arial" w:cs="Arial"/>
          <w:color w:val="000000"/>
          <w:sz w:val="22"/>
          <w:szCs w:val="22"/>
        </w:rPr>
        <w:t>管理产品</w:t>
      </w:r>
      <w:r>
        <w:rPr>
          <w:rFonts w:ascii="Arial" w:hAnsi="Arial" w:cs="Arial"/>
          <w:color w:val="000000"/>
          <w:sz w:val="22"/>
          <w:szCs w:val="22"/>
        </w:rPr>
        <w:t>所产生的利息收入、买卖证券差价收入、银行存款利息以及已实现的其他合法收入。净收益是收益扣除按监管部门有关规定可以在产品收益中提取的有关费用等项目后得出的余额。</w:t>
      </w:r>
      <w:r>
        <w:rPr>
          <w:rFonts w:ascii="Arial" w:hAnsi="Arial" w:cs="Arial"/>
          <w:b/>
          <w:color w:val="000000"/>
          <w:sz w:val="22"/>
          <w:szCs w:val="22"/>
        </w:rPr>
        <w:t>该收益的构成不代表投资者一定可以获得收益。</w:t>
      </w:r>
    </w:p>
    <w:p>
      <w:pPr>
        <w:numPr>
          <w:ilvl w:val="1"/>
          <w:numId w:val="22"/>
        </w:numPr>
        <w:spacing w:line="360" w:lineRule="auto"/>
        <w:ind w:left="0" w:firstLine="442" w:firstLineChars="200"/>
        <w:rPr>
          <w:rFonts w:ascii="Arial" w:hAnsi="Arial" w:cs="Arial"/>
          <w:b/>
          <w:color w:val="000000"/>
          <w:sz w:val="22"/>
          <w:szCs w:val="22"/>
        </w:rPr>
      </w:pPr>
      <w:r>
        <w:rPr>
          <w:rFonts w:ascii="Arial" w:hAnsi="Arial" w:cs="Arial"/>
          <w:b/>
          <w:color w:val="000000"/>
          <w:sz w:val="22"/>
          <w:szCs w:val="22"/>
        </w:rPr>
        <w:t>收益分配原则</w:t>
      </w:r>
    </w:p>
    <w:p>
      <w:pPr>
        <w:numPr>
          <w:ilvl w:val="0"/>
          <w:numId w:val="23"/>
        </w:numPr>
        <w:spacing w:line="360" w:lineRule="auto"/>
        <w:ind w:left="0" w:firstLine="440" w:firstLineChars="200"/>
        <w:rPr>
          <w:rFonts w:ascii="Arial" w:hAnsi="Arial" w:cs="Arial"/>
          <w:color w:val="000000"/>
          <w:sz w:val="22"/>
          <w:szCs w:val="22"/>
        </w:rPr>
      </w:pPr>
      <w:r>
        <w:rPr>
          <w:rFonts w:ascii="Arial" w:hAnsi="Arial" w:cs="Arial"/>
          <w:snapToGrid w:val="0"/>
          <w:color w:val="000000"/>
          <w:sz w:val="22"/>
          <w:szCs w:val="22"/>
        </w:rPr>
        <w:t>收益采用现金分配方式</w:t>
      </w:r>
      <w:r>
        <w:rPr>
          <w:rFonts w:ascii="Arial" w:hAnsi="Arial" w:cs="Arial"/>
          <w:color w:val="000000"/>
          <w:sz w:val="22"/>
          <w:szCs w:val="22"/>
        </w:rPr>
        <w:t>；</w:t>
      </w:r>
    </w:p>
    <w:p>
      <w:pPr>
        <w:numPr>
          <w:ilvl w:val="0"/>
          <w:numId w:val="23"/>
        </w:numPr>
        <w:spacing w:line="360" w:lineRule="auto"/>
        <w:ind w:left="0" w:firstLine="440" w:firstLineChars="200"/>
        <w:rPr>
          <w:rFonts w:ascii="Arial" w:hAnsi="Arial" w:cs="Arial"/>
          <w:snapToGrid w:val="0"/>
          <w:color w:val="000000"/>
          <w:sz w:val="22"/>
          <w:szCs w:val="22"/>
        </w:rPr>
      </w:pPr>
      <w:r>
        <w:rPr>
          <w:rFonts w:hint="eastAsia" w:ascii="Arial" w:hAnsi="Arial" w:cs="Arial"/>
          <w:snapToGrid w:val="0"/>
          <w:color w:val="000000"/>
          <w:sz w:val="22"/>
          <w:szCs w:val="22"/>
        </w:rPr>
        <w:t>同一类别的</w:t>
      </w:r>
      <w:r>
        <w:rPr>
          <w:rFonts w:ascii="Arial" w:hAnsi="Arial" w:cs="Arial"/>
          <w:snapToGrid w:val="0"/>
          <w:color w:val="000000"/>
          <w:sz w:val="22"/>
          <w:szCs w:val="22"/>
        </w:rPr>
        <w:t>每一</w:t>
      </w:r>
      <w:r>
        <w:rPr>
          <w:rFonts w:hint="eastAsia" w:ascii="Arial" w:hAnsi="Arial" w:cs="Arial"/>
          <w:snapToGrid w:val="0"/>
          <w:color w:val="000000"/>
          <w:sz w:val="22"/>
          <w:szCs w:val="22"/>
        </w:rPr>
        <w:t>产品</w:t>
      </w:r>
      <w:r>
        <w:rPr>
          <w:rFonts w:ascii="Arial" w:hAnsi="Arial" w:cs="Arial"/>
          <w:snapToGrid w:val="0"/>
          <w:color w:val="000000"/>
          <w:sz w:val="22"/>
          <w:szCs w:val="22"/>
        </w:rPr>
        <w:t>份额享有同等分配权。</w:t>
      </w:r>
    </w:p>
    <w:p>
      <w:pPr>
        <w:spacing w:line="360" w:lineRule="auto"/>
        <w:ind w:firstLine="440" w:firstLineChars="200"/>
        <w:rPr>
          <w:rFonts w:ascii="Arial" w:hAnsi="Arial" w:cs="Arial"/>
          <w:snapToGrid w:val="0"/>
          <w:color w:val="000000"/>
          <w:sz w:val="22"/>
          <w:szCs w:val="22"/>
        </w:rPr>
      </w:pPr>
      <w:r>
        <w:rPr>
          <w:rFonts w:ascii="Arial" w:hAnsi="Arial" w:cs="Arial"/>
          <w:snapToGrid w:val="0"/>
          <w:color w:val="000000"/>
          <w:sz w:val="22"/>
          <w:szCs w:val="22"/>
        </w:rPr>
        <w:t>如</w:t>
      </w:r>
      <w:r>
        <w:rPr>
          <w:rFonts w:hint="eastAsia" w:ascii="Arial" w:hAnsi="Arial" w:cs="Arial"/>
          <w:snapToGrid w:val="0"/>
          <w:color w:val="000000"/>
          <w:sz w:val="22"/>
          <w:szCs w:val="22"/>
        </w:rPr>
        <w:t>产品存续期间发生</w:t>
      </w:r>
      <w:r>
        <w:rPr>
          <w:rFonts w:ascii="Arial" w:hAnsi="Arial" w:cs="Arial"/>
          <w:snapToGrid w:val="0"/>
          <w:color w:val="000000"/>
          <w:sz w:val="22"/>
          <w:szCs w:val="22"/>
        </w:rPr>
        <w:t>收益分配的，具体分配规则以管理人的公告为准。</w:t>
      </w:r>
    </w:p>
    <w:p>
      <w:pPr>
        <w:numPr>
          <w:ilvl w:val="1"/>
          <w:numId w:val="22"/>
        </w:numPr>
        <w:spacing w:line="360" w:lineRule="auto"/>
        <w:ind w:left="0" w:firstLine="442" w:firstLineChars="200"/>
        <w:rPr>
          <w:rFonts w:ascii="Arial" w:hAnsi="Arial" w:cs="Arial"/>
          <w:b/>
          <w:color w:val="000000"/>
          <w:sz w:val="22"/>
          <w:szCs w:val="22"/>
        </w:rPr>
      </w:pPr>
      <w:r>
        <w:rPr>
          <w:rFonts w:ascii="Arial" w:hAnsi="Arial" w:cs="Arial"/>
          <w:b/>
          <w:color w:val="000000"/>
          <w:sz w:val="22"/>
          <w:szCs w:val="22"/>
        </w:rPr>
        <w:t>风险示例</w:t>
      </w:r>
    </w:p>
    <w:p>
      <w:pPr>
        <w:spacing w:line="360" w:lineRule="auto"/>
        <w:ind w:firstLine="440" w:firstLineChars="200"/>
        <w:rPr>
          <w:rFonts w:ascii="Arial" w:hAnsi="Arial" w:cs="Arial"/>
          <w:color w:val="000000"/>
          <w:sz w:val="22"/>
          <w:szCs w:val="22"/>
        </w:rPr>
      </w:pPr>
      <w:r>
        <w:rPr>
          <w:rFonts w:ascii="Arial" w:hAnsi="Arial" w:cs="Arial"/>
          <w:color w:val="000000"/>
          <w:sz w:val="22"/>
          <w:szCs w:val="22"/>
        </w:rPr>
        <w:t>本理财产品实际收益率容易受到企业信用变化、市场利率的变化、实际投资运作情况以及投资管理方投资能力</w:t>
      </w:r>
      <w:r>
        <w:rPr>
          <w:rFonts w:hint="eastAsia" w:ascii="Arial" w:hAnsi="Arial" w:cs="Arial"/>
          <w:color w:val="000000"/>
          <w:sz w:val="22"/>
          <w:szCs w:val="22"/>
        </w:rPr>
        <w:t>等</w:t>
      </w:r>
      <w:r>
        <w:rPr>
          <w:rFonts w:ascii="Arial" w:hAnsi="Arial" w:cs="Arial"/>
          <w:color w:val="000000"/>
          <w:sz w:val="22"/>
          <w:szCs w:val="22"/>
        </w:rPr>
        <w:t>的影响，</w:t>
      </w:r>
      <w:r>
        <w:rPr>
          <w:rFonts w:ascii="Arial" w:hAnsi="Arial" w:cs="Arial"/>
          <w:b/>
          <w:color w:val="000000"/>
          <w:sz w:val="22"/>
          <w:szCs w:val="22"/>
        </w:rPr>
        <w:t>在</w:t>
      </w:r>
      <w:r>
        <w:rPr>
          <w:rFonts w:hint="eastAsia" w:ascii="Arial" w:hAnsi="Arial" w:cs="Arial"/>
          <w:b/>
          <w:color w:val="000000"/>
          <w:sz w:val="22"/>
          <w:szCs w:val="22"/>
        </w:rPr>
        <w:t>发生资产违约且无法正常处置等</w:t>
      </w:r>
      <w:r>
        <w:rPr>
          <w:rFonts w:ascii="Arial" w:hAnsi="Arial" w:cs="Arial"/>
          <w:b/>
          <w:color w:val="000000"/>
          <w:sz w:val="22"/>
          <w:szCs w:val="22"/>
        </w:rPr>
        <w:t>最不利的情况下，本理财产品收益率可能为零或负，投资者有可能损失全部本金。</w:t>
      </w:r>
      <w:r>
        <w:rPr>
          <w:rFonts w:ascii="Arial" w:hAnsi="Arial" w:cs="Arial"/>
          <w:color w:val="000000"/>
          <w:sz w:val="22"/>
          <w:szCs w:val="22"/>
        </w:rPr>
        <w:t>对于因信用风险导致的损失，管理人将向发生信用风险的投资品种的发行主体进行追偿。所追偿的全部收益在扣除相关费用后，将继续向投资者进行清偿。</w:t>
      </w:r>
    </w:p>
    <w:p>
      <w:pPr>
        <w:pStyle w:val="2"/>
        <w:numPr>
          <w:ilvl w:val="0"/>
          <w:numId w:val="3"/>
        </w:numPr>
        <w:tabs>
          <w:tab w:val="left" w:pos="426"/>
        </w:tabs>
        <w:spacing w:line="240" w:lineRule="auto"/>
        <w:rPr>
          <w:rFonts w:ascii="Arial" w:hAnsi="Arial" w:cs="Arial"/>
          <w:color w:val="000000"/>
          <w:sz w:val="22"/>
          <w:szCs w:val="22"/>
        </w:rPr>
      </w:pPr>
      <w:r>
        <w:rPr>
          <w:rFonts w:ascii="Arial" w:hAnsi="Arial" w:cs="Arial"/>
          <w:color w:val="000000"/>
          <w:sz w:val="22"/>
          <w:szCs w:val="22"/>
        </w:rPr>
        <w:t>产品终止和清算</w:t>
      </w:r>
    </w:p>
    <w:p>
      <w:pPr>
        <w:pStyle w:val="20"/>
        <w:numPr>
          <w:ilvl w:val="0"/>
          <w:numId w:val="24"/>
        </w:numPr>
        <w:autoSpaceDE w:val="0"/>
        <w:autoSpaceDN w:val="0"/>
        <w:adjustRightInd w:val="0"/>
        <w:spacing w:line="360" w:lineRule="auto"/>
        <w:ind w:firstLineChars="0"/>
        <w:rPr>
          <w:rFonts w:ascii="Arial" w:hAnsi="Arial" w:cs="Arial"/>
          <w:b/>
          <w:color w:val="000000"/>
          <w:kern w:val="0"/>
          <w:sz w:val="22"/>
          <w:szCs w:val="22"/>
        </w:rPr>
      </w:pPr>
      <w:r>
        <w:rPr>
          <w:rFonts w:ascii="Arial" w:hAnsi="Arial" w:cs="Arial"/>
          <w:b/>
          <w:color w:val="000000"/>
          <w:kern w:val="0"/>
          <w:sz w:val="22"/>
          <w:szCs w:val="22"/>
        </w:rPr>
        <w:t>出现以下情况，管理人有权终止本理财产品：</w:t>
      </w:r>
    </w:p>
    <w:p>
      <w:pPr>
        <w:pStyle w:val="20"/>
        <w:numPr>
          <w:ilvl w:val="0"/>
          <w:numId w:val="25"/>
        </w:numPr>
        <w:autoSpaceDE w:val="0"/>
        <w:autoSpaceDN w:val="0"/>
        <w:adjustRightInd w:val="0"/>
        <w:spacing w:line="360" w:lineRule="auto"/>
        <w:ind w:firstLineChars="0"/>
        <w:rPr>
          <w:rFonts w:ascii="Arial" w:hAnsi="Arial" w:cs="Arial"/>
          <w:color w:val="000000"/>
          <w:kern w:val="0"/>
          <w:sz w:val="22"/>
          <w:szCs w:val="22"/>
        </w:rPr>
      </w:pPr>
      <w:r>
        <w:rPr>
          <w:rFonts w:ascii="Arial" w:hAnsi="Arial" w:cs="Arial"/>
          <w:color w:val="000000"/>
          <w:kern w:val="0"/>
          <w:sz w:val="22"/>
          <w:szCs w:val="22"/>
        </w:rPr>
        <w:t>根据法律法规规定、监管要求、</w:t>
      </w:r>
      <w:r>
        <w:rPr>
          <w:rFonts w:hint="eastAsia" w:ascii="Arial" w:hAnsi="Arial" w:cs="Arial"/>
          <w:color w:val="000000"/>
          <w:kern w:val="0"/>
          <w:sz w:val="22"/>
          <w:szCs w:val="22"/>
        </w:rPr>
        <w:t>本理财</w:t>
      </w:r>
      <w:r>
        <w:rPr>
          <w:rFonts w:ascii="Arial" w:hAnsi="Arial" w:cs="Arial"/>
          <w:color w:val="000000"/>
          <w:kern w:val="0"/>
          <w:sz w:val="22"/>
          <w:szCs w:val="22"/>
        </w:rPr>
        <w:t>产品</w:t>
      </w:r>
      <w:r>
        <w:rPr>
          <w:rFonts w:hint="eastAsia" w:ascii="Arial" w:hAnsi="Arial" w:cs="Arial"/>
          <w:color w:val="000000"/>
          <w:kern w:val="0"/>
          <w:sz w:val="22"/>
          <w:szCs w:val="22"/>
        </w:rPr>
        <w:t>销售文件</w:t>
      </w:r>
      <w:r>
        <w:rPr>
          <w:rFonts w:ascii="Arial" w:hAnsi="Arial" w:cs="Arial"/>
          <w:color w:val="000000"/>
          <w:kern w:val="0"/>
          <w:sz w:val="22"/>
          <w:szCs w:val="22"/>
        </w:rPr>
        <w:t>约定等需要终止</w:t>
      </w:r>
      <w:r>
        <w:rPr>
          <w:rFonts w:hint="eastAsia" w:ascii="Arial" w:hAnsi="Arial" w:cs="Arial"/>
          <w:color w:val="000000"/>
          <w:kern w:val="0"/>
          <w:sz w:val="22"/>
          <w:szCs w:val="22"/>
        </w:rPr>
        <w:t>本理财</w:t>
      </w:r>
      <w:r>
        <w:rPr>
          <w:rFonts w:ascii="Arial" w:hAnsi="Arial" w:cs="Arial"/>
          <w:color w:val="000000"/>
          <w:kern w:val="0"/>
          <w:sz w:val="22"/>
          <w:szCs w:val="22"/>
        </w:rPr>
        <w:t>产品的；</w:t>
      </w:r>
    </w:p>
    <w:p>
      <w:pPr>
        <w:pStyle w:val="20"/>
        <w:numPr>
          <w:ilvl w:val="0"/>
          <w:numId w:val="25"/>
        </w:numPr>
        <w:autoSpaceDE w:val="0"/>
        <w:autoSpaceDN w:val="0"/>
        <w:adjustRightInd w:val="0"/>
        <w:spacing w:line="360" w:lineRule="auto"/>
        <w:ind w:firstLineChars="0"/>
        <w:rPr>
          <w:rFonts w:ascii="Arial" w:hAnsi="Arial" w:cs="Arial"/>
          <w:color w:val="000000"/>
          <w:kern w:val="0"/>
          <w:sz w:val="22"/>
          <w:szCs w:val="22"/>
        </w:rPr>
      </w:pPr>
      <w:r>
        <w:rPr>
          <w:rFonts w:ascii="Arial" w:hAnsi="Arial" w:cs="Arial"/>
          <w:color w:val="000000"/>
          <w:kern w:val="0"/>
          <w:sz w:val="22"/>
          <w:szCs w:val="22"/>
        </w:rPr>
        <w:t>经投资者、管理人、托管人协商一致后决定终止的；</w:t>
      </w:r>
    </w:p>
    <w:p>
      <w:pPr>
        <w:pStyle w:val="20"/>
        <w:numPr>
          <w:ilvl w:val="0"/>
          <w:numId w:val="25"/>
        </w:numPr>
        <w:autoSpaceDE w:val="0"/>
        <w:autoSpaceDN w:val="0"/>
        <w:adjustRightInd w:val="0"/>
        <w:spacing w:line="360" w:lineRule="auto"/>
        <w:ind w:firstLineChars="0"/>
        <w:rPr>
          <w:rFonts w:ascii="Arial" w:hAnsi="Arial" w:cs="Arial"/>
          <w:color w:val="000000"/>
          <w:kern w:val="0"/>
          <w:sz w:val="22"/>
          <w:szCs w:val="22"/>
        </w:rPr>
      </w:pPr>
      <w:r>
        <w:rPr>
          <w:rFonts w:ascii="Arial" w:hAnsi="Arial" w:cs="Arial"/>
          <w:color w:val="000000"/>
          <w:kern w:val="0"/>
          <w:sz w:val="22"/>
          <w:szCs w:val="22"/>
        </w:rPr>
        <w:t>因不可抗力或意外事件导致产品管理人无法继续履行</w:t>
      </w:r>
      <w:r>
        <w:rPr>
          <w:rFonts w:hint="eastAsia" w:ascii="Arial" w:hAnsi="Arial" w:cs="Arial"/>
          <w:color w:val="000000"/>
          <w:kern w:val="0"/>
          <w:sz w:val="22"/>
          <w:szCs w:val="22"/>
        </w:rPr>
        <w:t>本理财产品销售文件</w:t>
      </w:r>
      <w:r>
        <w:rPr>
          <w:rFonts w:ascii="Arial" w:hAnsi="Arial" w:cs="Arial"/>
          <w:color w:val="000000"/>
          <w:kern w:val="0"/>
          <w:sz w:val="22"/>
          <w:szCs w:val="22"/>
        </w:rPr>
        <w:t>约定事项的；</w:t>
      </w:r>
    </w:p>
    <w:p>
      <w:pPr>
        <w:pStyle w:val="20"/>
        <w:numPr>
          <w:ilvl w:val="0"/>
          <w:numId w:val="25"/>
        </w:numPr>
        <w:autoSpaceDE w:val="0"/>
        <w:autoSpaceDN w:val="0"/>
        <w:adjustRightInd w:val="0"/>
        <w:spacing w:line="360" w:lineRule="auto"/>
        <w:ind w:firstLineChars="0"/>
        <w:rPr>
          <w:rFonts w:ascii="Arial" w:hAnsi="Arial" w:cs="Arial"/>
          <w:color w:val="000000"/>
          <w:kern w:val="0"/>
          <w:sz w:val="22"/>
          <w:szCs w:val="22"/>
        </w:rPr>
      </w:pPr>
      <w:r>
        <w:rPr>
          <w:rFonts w:ascii="Arial" w:hAnsi="Arial" w:cs="Arial"/>
          <w:color w:val="000000"/>
          <w:kern w:val="0"/>
          <w:sz w:val="22"/>
          <w:szCs w:val="22"/>
        </w:rPr>
        <w:t>管理人根据市场情况、实际投资情况、产品运营情况</w:t>
      </w:r>
      <w:r>
        <w:rPr>
          <w:rFonts w:hint="eastAsia" w:ascii="Arial" w:hAnsi="Arial" w:cs="Arial"/>
          <w:color w:val="000000"/>
          <w:kern w:val="0"/>
          <w:sz w:val="22"/>
          <w:szCs w:val="22"/>
        </w:rPr>
        <w:t>、产品正常投资运作所需的最小规模</w:t>
      </w:r>
      <w:r>
        <w:rPr>
          <w:rFonts w:ascii="Arial" w:hAnsi="Arial" w:cs="Arial"/>
          <w:color w:val="000000"/>
          <w:kern w:val="0"/>
          <w:sz w:val="22"/>
          <w:szCs w:val="22"/>
        </w:rPr>
        <w:t>等</w:t>
      </w:r>
      <w:r>
        <w:rPr>
          <w:rFonts w:hint="eastAsia" w:ascii="Arial" w:hAnsi="Arial" w:cs="Arial"/>
          <w:color w:val="000000"/>
          <w:kern w:val="0"/>
          <w:sz w:val="22"/>
          <w:szCs w:val="22"/>
        </w:rPr>
        <w:t>因素</w:t>
      </w:r>
      <w:r>
        <w:rPr>
          <w:rFonts w:ascii="Arial" w:hAnsi="Arial" w:cs="Arial"/>
          <w:color w:val="000000"/>
          <w:kern w:val="0"/>
          <w:sz w:val="22"/>
          <w:szCs w:val="22"/>
        </w:rPr>
        <w:t>认为需要终止</w:t>
      </w:r>
      <w:r>
        <w:rPr>
          <w:rFonts w:hint="eastAsia" w:ascii="Arial" w:hAnsi="Arial" w:cs="Arial"/>
          <w:color w:val="000000"/>
          <w:kern w:val="0"/>
          <w:sz w:val="22"/>
          <w:szCs w:val="22"/>
        </w:rPr>
        <w:t>本理财</w:t>
      </w:r>
      <w:r>
        <w:rPr>
          <w:rFonts w:ascii="Arial" w:hAnsi="Arial" w:cs="Arial"/>
          <w:color w:val="000000"/>
          <w:kern w:val="0"/>
          <w:sz w:val="22"/>
          <w:szCs w:val="22"/>
        </w:rPr>
        <w:t>产品的。</w:t>
      </w:r>
    </w:p>
    <w:p>
      <w:pPr>
        <w:pStyle w:val="20"/>
        <w:numPr>
          <w:ilvl w:val="0"/>
          <w:numId w:val="24"/>
        </w:numPr>
        <w:autoSpaceDE w:val="0"/>
        <w:autoSpaceDN w:val="0"/>
        <w:adjustRightInd w:val="0"/>
        <w:spacing w:line="360" w:lineRule="auto"/>
        <w:ind w:firstLineChars="0"/>
        <w:rPr>
          <w:rFonts w:ascii="Arial" w:hAnsi="Arial" w:cs="Arial"/>
          <w:b/>
          <w:color w:val="000000"/>
          <w:kern w:val="0"/>
          <w:sz w:val="22"/>
          <w:szCs w:val="22"/>
        </w:rPr>
      </w:pPr>
      <w:r>
        <w:rPr>
          <w:rFonts w:ascii="Arial" w:hAnsi="Arial" w:cs="Arial"/>
          <w:b/>
          <w:color w:val="000000"/>
          <w:kern w:val="0"/>
          <w:sz w:val="22"/>
          <w:szCs w:val="22"/>
        </w:rPr>
        <w:t>理财产品清算程序：</w:t>
      </w:r>
    </w:p>
    <w:p>
      <w:pPr>
        <w:pStyle w:val="20"/>
        <w:numPr>
          <w:ilvl w:val="0"/>
          <w:numId w:val="26"/>
        </w:numPr>
        <w:autoSpaceDE w:val="0"/>
        <w:autoSpaceDN w:val="0"/>
        <w:adjustRightInd w:val="0"/>
        <w:spacing w:line="360" w:lineRule="auto"/>
        <w:ind w:firstLineChars="0"/>
        <w:rPr>
          <w:rFonts w:ascii="Arial" w:hAnsi="Arial" w:cs="Arial"/>
          <w:color w:val="000000"/>
          <w:kern w:val="0"/>
          <w:sz w:val="22"/>
          <w:szCs w:val="22"/>
        </w:rPr>
      </w:pPr>
      <w:r>
        <w:rPr>
          <w:rFonts w:hint="eastAsia" w:ascii="Arial" w:hAnsi="Arial" w:cs="Arial"/>
          <w:color w:val="000000"/>
          <w:kern w:val="0"/>
          <w:sz w:val="22"/>
          <w:szCs w:val="22"/>
        </w:rPr>
        <w:t>本</w:t>
      </w:r>
      <w:r>
        <w:rPr>
          <w:rFonts w:ascii="Arial" w:hAnsi="Arial" w:cs="Arial"/>
          <w:color w:val="000000"/>
          <w:kern w:val="0"/>
          <w:sz w:val="22"/>
          <w:szCs w:val="22"/>
        </w:rPr>
        <w:t>理财产品终止情形出现时，由管理人及托管人对产品进行清算；</w:t>
      </w:r>
    </w:p>
    <w:p>
      <w:pPr>
        <w:pStyle w:val="20"/>
        <w:numPr>
          <w:ilvl w:val="0"/>
          <w:numId w:val="26"/>
        </w:numPr>
        <w:autoSpaceDE w:val="0"/>
        <w:autoSpaceDN w:val="0"/>
        <w:adjustRightInd w:val="0"/>
        <w:spacing w:line="360" w:lineRule="auto"/>
        <w:ind w:firstLineChars="0"/>
        <w:rPr>
          <w:rFonts w:ascii="Arial" w:hAnsi="Arial" w:cs="Arial"/>
          <w:color w:val="000000"/>
          <w:kern w:val="0"/>
          <w:sz w:val="22"/>
          <w:szCs w:val="22"/>
        </w:rPr>
      </w:pPr>
      <w:r>
        <w:rPr>
          <w:rFonts w:ascii="Arial" w:hAnsi="Arial" w:cs="Arial"/>
          <w:color w:val="000000"/>
          <w:kern w:val="0"/>
          <w:sz w:val="22"/>
          <w:szCs w:val="22"/>
        </w:rPr>
        <w:t>对</w:t>
      </w:r>
      <w:r>
        <w:rPr>
          <w:rFonts w:hint="eastAsia" w:ascii="Arial" w:hAnsi="Arial" w:cs="Arial"/>
          <w:color w:val="000000"/>
          <w:kern w:val="0"/>
          <w:sz w:val="22"/>
          <w:szCs w:val="22"/>
        </w:rPr>
        <w:t>本</w:t>
      </w:r>
      <w:r>
        <w:rPr>
          <w:rFonts w:ascii="Arial" w:hAnsi="Arial" w:cs="Arial"/>
          <w:color w:val="000000"/>
          <w:kern w:val="0"/>
          <w:sz w:val="22"/>
          <w:szCs w:val="22"/>
        </w:rPr>
        <w:t>理财产品财产和债权债务进行清理和确认；</w:t>
      </w:r>
    </w:p>
    <w:p>
      <w:pPr>
        <w:pStyle w:val="20"/>
        <w:numPr>
          <w:ilvl w:val="0"/>
          <w:numId w:val="26"/>
        </w:numPr>
        <w:autoSpaceDE w:val="0"/>
        <w:autoSpaceDN w:val="0"/>
        <w:adjustRightInd w:val="0"/>
        <w:spacing w:line="360" w:lineRule="auto"/>
        <w:ind w:firstLineChars="0"/>
        <w:rPr>
          <w:rFonts w:ascii="Arial" w:hAnsi="Arial" w:cs="Arial"/>
          <w:color w:val="000000"/>
          <w:kern w:val="0"/>
          <w:sz w:val="22"/>
          <w:szCs w:val="22"/>
        </w:rPr>
      </w:pPr>
      <w:r>
        <w:rPr>
          <w:rFonts w:ascii="Arial" w:hAnsi="Arial" w:cs="Arial"/>
          <w:color w:val="000000"/>
          <w:kern w:val="0"/>
          <w:sz w:val="22"/>
          <w:szCs w:val="22"/>
        </w:rPr>
        <w:t>对</w:t>
      </w:r>
      <w:r>
        <w:rPr>
          <w:rFonts w:hint="eastAsia" w:ascii="Arial" w:hAnsi="Arial" w:cs="Arial"/>
          <w:color w:val="000000"/>
          <w:kern w:val="0"/>
          <w:sz w:val="22"/>
          <w:szCs w:val="22"/>
        </w:rPr>
        <w:t>本</w:t>
      </w:r>
      <w:r>
        <w:rPr>
          <w:rFonts w:ascii="Arial" w:hAnsi="Arial" w:cs="Arial"/>
          <w:color w:val="000000"/>
          <w:kern w:val="0"/>
          <w:sz w:val="22"/>
          <w:szCs w:val="22"/>
        </w:rPr>
        <w:t>理财产品财产进行估值和变现；</w:t>
      </w:r>
    </w:p>
    <w:p>
      <w:pPr>
        <w:pStyle w:val="20"/>
        <w:numPr>
          <w:ilvl w:val="0"/>
          <w:numId w:val="26"/>
        </w:numPr>
        <w:autoSpaceDE w:val="0"/>
        <w:autoSpaceDN w:val="0"/>
        <w:adjustRightInd w:val="0"/>
        <w:spacing w:line="360" w:lineRule="auto"/>
        <w:ind w:firstLineChars="0"/>
        <w:rPr>
          <w:rFonts w:ascii="Arial" w:hAnsi="Arial" w:cs="Arial"/>
          <w:color w:val="000000"/>
          <w:kern w:val="0"/>
          <w:sz w:val="22"/>
          <w:szCs w:val="22"/>
        </w:rPr>
      </w:pPr>
      <w:r>
        <w:rPr>
          <w:rFonts w:ascii="Arial" w:hAnsi="Arial" w:cs="Arial"/>
          <w:color w:val="000000"/>
          <w:kern w:val="0"/>
          <w:sz w:val="22"/>
          <w:szCs w:val="22"/>
        </w:rPr>
        <w:t>制作</w:t>
      </w:r>
      <w:r>
        <w:rPr>
          <w:rFonts w:hint="eastAsia" w:ascii="Arial" w:hAnsi="Arial" w:cs="Arial"/>
          <w:color w:val="000000"/>
          <w:kern w:val="0"/>
          <w:sz w:val="22"/>
          <w:szCs w:val="22"/>
        </w:rPr>
        <w:t>本</w:t>
      </w:r>
      <w:r>
        <w:rPr>
          <w:rFonts w:ascii="Arial" w:hAnsi="Arial" w:cs="Arial"/>
          <w:color w:val="000000"/>
          <w:kern w:val="0"/>
          <w:sz w:val="22"/>
          <w:szCs w:val="22"/>
        </w:rPr>
        <w:t>理财产品到期报告；</w:t>
      </w:r>
    </w:p>
    <w:p>
      <w:pPr>
        <w:pStyle w:val="20"/>
        <w:numPr>
          <w:ilvl w:val="0"/>
          <w:numId w:val="26"/>
        </w:numPr>
        <w:autoSpaceDE w:val="0"/>
        <w:autoSpaceDN w:val="0"/>
        <w:adjustRightInd w:val="0"/>
        <w:spacing w:line="360" w:lineRule="auto"/>
        <w:ind w:firstLineChars="0"/>
        <w:rPr>
          <w:rFonts w:ascii="Arial" w:hAnsi="Arial" w:cs="Arial"/>
          <w:color w:val="000000"/>
          <w:kern w:val="0"/>
          <w:sz w:val="22"/>
          <w:szCs w:val="22"/>
        </w:rPr>
      </w:pPr>
      <w:r>
        <w:rPr>
          <w:rFonts w:ascii="Arial" w:hAnsi="Arial" w:cs="Arial"/>
          <w:color w:val="000000"/>
          <w:kern w:val="0"/>
          <w:sz w:val="22"/>
          <w:szCs w:val="22"/>
        </w:rPr>
        <w:t>对</w:t>
      </w:r>
      <w:r>
        <w:rPr>
          <w:rFonts w:hint="eastAsia" w:ascii="Arial" w:hAnsi="Arial" w:cs="Arial"/>
          <w:color w:val="000000"/>
          <w:kern w:val="0"/>
          <w:sz w:val="22"/>
          <w:szCs w:val="22"/>
        </w:rPr>
        <w:t>本</w:t>
      </w:r>
      <w:r>
        <w:rPr>
          <w:rFonts w:ascii="Arial" w:hAnsi="Arial" w:cs="Arial"/>
          <w:color w:val="000000"/>
          <w:kern w:val="0"/>
          <w:sz w:val="22"/>
          <w:szCs w:val="22"/>
        </w:rPr>
        <w:t>理财产品剩余财产进行分配。</w:t>
      </w:r>
    </w:p>
    <w:p>
      <w:pPr>
        <w:pStyle w:val="20"/>
        <w:numPr>
          <w:ilvl w:val="0"/>
          <w:numId w:val="24"/>
        </w:numPr>
        <w:autoSpaceDE w:val="0"/>
        <w:autoSpaceDN w:val="0"/>
        <w:adjustRightInd w:val="0"/>
        <w:spacing w:line="360" w:lineRule="auto"/>
        <w:ind w:firstLineChars="0"/>
        <w:rPr>
          <w:rFonts w:ascii="Arial" w:hAnsi="Arial" w:cs="Arial"/>
          <w:b/>
          <w:color w:val="000000"/>
          <w:kern w:val="0"/>
          <w:sz w:val="22"/>
          <w:szCs w:val="22"/>
        </w:rPr>
      </w:pPr>
      <w:r>
        <w:rPr>
          <w:rFonts w:ascii="Arial" w:hAnsi="Arial" w:cs="Arial"/>
          <w:b/>
          <w:color w:val="000000"/>
          <w:kern w:val="0"/>
          <w:sz w:val="22"/>
          <w:szCs w:val="22"/>
        </w:rPr>
        <w:t>理财产品财产清算剩余资产的分配</w:t>
      </w:r>
    </w:p>
    <w:p>
      <w:pPr>
        <w:spacing w:line="360" w:lineRule="auto"/>
        <w:ind w:firstLine="444" w:firstLineChars="202"/>
        <w:rPr>
          <w:rFonts w:asciiTheme="minorEastAsia" w:hAnsiTheme="minorEastAsia" w:eastAsiaTheme="minorEastAsia"/>
          <w:sz w:val="22"/>
          <w:szCs w:val="22"/>
        </w:rPr>
      </w:pPr>
      <w:r>
        <w:rPr>
          <w:rFonts w:hint="eastAsia" w:asciiTheme="minorEastAsia" w:hAnsiTheme="minorEastAsia" w:eastAsiaTheme="minorEastAsia"/>
          <w:sz w:val="22"/>
          <w:szCs w:val="22"/>
        </w:rPr>
        <w:t>依据本理财产品财产清算的分配方案，在理财产品终止日如本理财产品项下资产全部变现，将本理财产品财产清算后的全部剩余资产扣除本理财产品财产清算费用、交纳所欠税款并清偿理财产品债务，按照“四、产品交易规则”中的约定，计算各类份额的资产净值，并以各类份额资产净值为限，按照各投资者持有该类份额比例在</w:t>
      </w:r>
      <w:r>
        <w:rPr>
          <w:rFonts w:asciiTheme="minorEastAsia" w:hAnsiTheme="minorEastAsia" w:eastAsiaTheme="minorEastAsia"/>
          <w:sz w:val="22"/>
          <w:szCs w:val="22"/>
        </w:rPr>
        <w:t>5</w:t>
      </w:r>
      <w:r>
        <w:rPr>
          <w:rFonts w:hint="eastAsia" w:asciiTheme="minorEastAsia" w:hAnsiTheme="minorEastAsia" w:eastAsiaTheme="minorEastAsia"/>
          <w:sz w:val="22"/>
          <w:szCs w:val="22"/>
        </w:rPr>
        <w:t>个工作日内向投资者分配。如本理财产品项下所投资的标的资产因市场风险、信用风险等原因不能全部变现，则</w:t>
      </w:r>
      <w:r>
        <w:rPr>
          <w:rFonts w:hint="eastAsia" w:cs="Arial" w:asciiTheme="minorEastAsia" w:hAnsiTheme="minorEastAsia" w:eastAsiaTheme="minorEastAsia"/>
          <w:sz w:val="22"/>
          <w:szCs w:val="22"/>
        </w:rPr>
        <w:t>管理人</w:t>
      </w:r>
      <w:r>
        <w:rPr>
          <w:rFonts w:hint="eastAsia" w:asciiTheme="minorEastAsia" w:hAnsiTheme="minorEastAsia" w:eastAsiaTheme="minorEastAsia"/>
          <w:sz w:val="22"/>
          <w:szCs w:val="22"/>
        </w:rPr>
        <w:t>将现金类资产扣除应由本理财产品清算承担的税费及费用（包括但不限于固定管理费、销售服务费、托管费、由管理人或第三方垫付的费用等，下同）后，参考“四、产品交易规则”中的约定，计算各类份额对应的可分配资产净值，并按照各投资者持有本理财产品某一类份额占该类份额比例在</w:t>
      </w:r>
      <w:r>
        <w:rPr>
          <w:rFonts w:asciiTheme="minorEastAsia" w:hAnsiTheme="minorEastAsia" w:eastAsiaTheme="minorEastAsia"/>
          <w:sz w:val="22"/>
          <w:szCs w:val="22"/>
        </w:rPr>
        <w:t>5</w:t>
      </w:r>
      <w:r>
        <w:rPr>
          <w:rFonts w:hint="eastAsia" w:asciiTheme="minorEastAsia" w:hAnsiTheme="minorEastAsia" w:eastAsiaTheme="minorEastAsia"/>
          <w:sz w:val="22"/>
          <w:szCs w:val="22"/>
        </w:rPr>
        <w:t>个工作日内向投资者分配。对于未变现资产部分，管理人以投资者利益最大化的原则，寻求未变现资产变现方式，在资产变现后，扣除应由本理财产品承担的税费及费用，参考“四、产品交易规则”中的约定，计算各类份额对应的剩余可分配资产净值，按照各投资者持有本理财产品某一类份额占该类份额比例在</w:t>
      </w:r>
      <w:r>
        <w:rPr>
          <w:rFonts w:asciiTheme="minorEastAsia" w:hAnsiTheme="minorEastAsia" w:eastAsiaTheme="minorEastAsia"/>
          <w:sz w:val="22"/>
          <w:szCs w:val="22"/>
        </w:rPr>
        <w:t>5</w:t>
      </w:r>
      <w:r>
        <w:rPr>
          <w:rFonts w:hint="eastAsia" w:asciiTheme="minorEastAsia" w:hAnsiTheme="minorEastAsia" w:eastAsiaTheme="minorEastAsia"/>
          <w:sz w:val="22"/>
          <w:szCs w:val="22"/>
        </w:rPr>
        <w:t>个工作日内向投资者分配。自终止日起资金不计付收益。</w:t>
      </w:r>
    </w:p>
    <w:p>
      <w:pPr>
        <w:pStyle w:val="2"/>
        <w:numPr>
          <w:ilvl w:val="0"/>
          <w:numId w:val="3"/>
        </w:numPr>
        <w:tabs>
          <w:tab w:val="left" w:pos="426"/>
        </w:tabs>
        <w:spacing w:line="240" w:lineRule="auto"/>
        <w:rPr>
          <w:rFonts w:ascii="Arial" w:hAnsi="Arial" w:cs="Arial"/>
          <w:color w:val="000000"/>
          <w:sz w:val="22"/>
          <w:szCs w:val="22"/>
        </w:rPr>
      </w:pPr>
      <w:r>
        <w:rPr>
          <w:rFonts w:ascii="Arial" w:hAnsi="Arial" w:cs="Arial"/>
          <w:color w:val="000000"/>
          <w:sz w:val="22"/>
          <w:szCs w:val="22"/>
        </w:rPr>
        <w:t>信息披露</w:t>
      </w:r>
    </w:p>
    <w:p>
      <w:pPr>
        <w:adjustRightInd w:val="0"/>
        <w:snapToGrid w:val="0"/>
        <w:spacing w:line="360" w:lineRule="auto"/>
        <w:ind w:firstLine="440" w:firstLineChars="200"/>
        <w:textAlignment w:val="center"/>
        <w:rPr>
          <w:rFonts w:ascii="Arial" w:hAnsi="Arial" w:cs="Arial"/>
          <w:bCs/>
          <w:snapToGrid w:val="0"/>
          <w:color w:val="000000"/>
          <w:sz w:val="22"/>
          <w:szCs w:val="22"/>
        </w:rPr>
      </w:pPr>
      <w:r>
        <w:rPr>
          <w:rFonts w:ascii="Arial" w:hAnsi="Arial" w:cs="Arial"/>
          <w:bCs/>
          <w:snapToGrid w:val="0"/>
          <w:color w:val="000000"/>
          <w:sz w:val="22"/>
          <w:szCs w:val="22"/>
        </w:rPr>
        <w:t>本理财产品的公开信息将按照产品说明书约定通过</w:t>
      </w:r>
      <w:r>
        <w:rPr>
          <w:rFonts w:hint="eastAsia" w:ascii="Arial" w:hAnsi="Arial" w:cs="Arial"/>
          <w:sz w:val="22"/>
          <w:szCs w:val="22"/>
        </w:rPr>
        <w:t>管理人</w:t>
      </w:r>
      <w:r>
        <w:rPr>
          <w:rFonts w:ascii="Arial" w:hAnsi="Arial" w:cs="Arial"/>
          <w:bCs/>
          <w:snapToGrid w:val="0"/>
          <w:color w:val="000000"/>
          <w:sz w:val="22"/>
          <w:szCs w:val="22"/>
        </w:rPr>
        <w:t>授权的场所进行披露。</w:t>
      </w:r>
    </w:p>
    <w:p>
      <w:pPr>
        <w:tabs>
          <w:tab w:val="left" w:pos="8647"/>
        </w:tabs>
        <w:adjustRightInd w:val="0"/>
        <w:snapToGrid w:val="0"/>
        <w:spacing w:line="360" w:lineRule="auto"/>
        <w:ind w:firstLine="440" w:firstLineChars="200"/>
        <w:textAlignment w:val="center"/>
        <w:rPr>
          <w:rFonts w:ascii="Arial" w:hAnsi="Arial" w:cs="Arial"/>
          <w:bCs/>
          <w:snapToGrid w:val="0"/>
          <w:color w:val="000000"/>
          <w:sz w:val="22"/>
          <w:szCs w:val="22"/>
        </w:rPr>
      </w:pPr>
      <w:r>
        <w:rPr>
          <w:rFonts w:ascii="Arial" w:hAnsi="Arial" w:cs="Arial"/>
          <w:bCs/>
          <w:snapToGrid w:val="0"/>
          <w:color w:val="000000"/>
          <w:sz w:val="22"/>
          <w:szCs w:val="22"/>
        </w:rPr>
        <w:t>本理财产品信息披露的具体内容和时间规定等详见</w:t>
      </w:r>
      <w:r>
        <w:rPr>
          <w:rFonts w:hint="eastAsia" w:ascii="Arial" w:hAnsi="Arial" w:cs="Arial"/>
          <w:bCs/>
          <w:snapToGrid w:val="0"/>
          <w:color w:val="000000"/>
          <w:sz w:val="22"/>
          <w:szCs w:val="22"/>
        </w:rPr>
        <w:t>本理财产品销售文件</w:t>
      </w:r>
      <w:r>
        <w:rPr>
          <w:rFonts w:ascii="Arial" w:hAnsi="Arial" w:cs="Arial"/>
          <w:bCs/>
          <w:snapToGrid w:val="0"/>
          <w:color w:val="000000"/>
          <w:sz w:val="22"/>
          <w:szCs w:val="22"/>
        </w:rPr>
        <w:t>，请投资者详细阅读并注意查阅相关产品信息。</w:t>
      </w:r>
    </w:p>
    <w:p>
      <w:pPr>
        <w:widowControl/>
        <w:numPr>
          <w:ilvl w:val="0"/>
          <w:numId w:val="27"/>
        </w:numPr>
        <w:spacing w:line="360" w:lineRule="auto"/>
        <w:ind w:left="0" w:firstLine="440" w:firstLineChars="200"/>
        <w:rPr>
          <w:rFonts w:ascii="Arial" w:hAnsi="Arial" w:cs="Arial"/>
          <w:sz w:val="22"/>
          <w:szCs w:val="22"/>
        </w:rPr>
      </w:pPr>
      <w:r>
        <w:rPr>
          <w:rFonts w:ascii="Arial" w:hAnsi="Arial" w:cs="Arial"/>
          <w:sz w:val="22"/>
          <w:szCs w:val="22"/>
        </w:rPr>
        <w:t>信息披露的渠道</w:t>
      </w:r>
    </w:p>
    <w:p>
      <w:pPr>
        <w:spacing w:line="360" w:lineRule="auto"/>
        <w:ind w:firstLine="442" w:firstLineChars="200"/>
        <w:rPr>
          <w:rFonts w:ascii="Arial" w:hAnsi="Arial" w:cs="Arial"/>
          <w:sz w:val="22"/>
          <w:szCs w:val="22"/>
        </w:rPr>
      </w:pPr>
      <w:r>
        <w:rPr>
          <w:rFonts w:hint="eastAsia" w:ascii="Arial" w:hAnsi="Arial" w:cs="Arial"/>
          <w:b/>
          <w:sz w:val="22"/>
          <w:szCs w:val="22"/>
        </w:rPr>
        <w:t>管理人官方网站（https://wm.pingan.com）及管理人授权销售服务机构指定信息披露渠道（官方网站或APP或营业网点等） 作为本理财产品的信息披露场所。本理财产品认购期和存续期间，管理人将通过前述信息披露渠道进行本理财产品相关的信息披露。投资者应定期通过上述相关渠道获知有关本理财产品相关信息。</w:t>
      </w:r>
      <w:r>
        <w:rPr>
          <w:rFonts w:ascii="Arial" w:hAnsi="Arial" w:cs="Arial"/>
          <w:sz w:val="22"/>
          <w:szCs w:val="22"/>
        </w:rPr>
        <w:t>以上相关信息自披露之日即视为已送达投资者，也视为管理人与销售服务机构已适当披露代销</w:t>
      </w:r>
      <w:r>
        <w:rPr>
          <w:rFonts w:hint="eastAsia" w:ascii="Arial" w:hAnsi="Arial" w:cs="Arial"/>
          <w:sz w:val="22"/>
          <w:szCs w:val="22"/>
        </w:rPr>
        <w:t>本</w:t>
      </w:r>
      <w:r>
        <w:rPr>
          <w:rFonts w:ascii="Arial" w:hAnsi="Arial" w:cs="Arial"/>
          <w:sz w:val="22"/>
          <w:szCs w:val="22"/>
        </w:rPr>
        <w:t xml:space="preserve">理财产品相关信息。 </w:t>
      </w:r>
    </w:p>
    <w:p>
      <w:pPr>
        <w:spacing w:line="360" w:lineRule="auto"/>
        <w:ind w:firstLine="440" w:firstLineChars="200"/>
        <w:rPr>
          <w:rFonts w:ascii="Arial" w:hAnsi="Arial" w:cs="Arial"/>
          <w:sz w:val="22"/>
          <w:szCs w:val="22"/>
        </w:rPr>
      </w:pPr>
      <w:r>
        <w:rPr>
          <w:rFonts w:ascii="Arial" w:hAnsi="Arial" w:cs="Arial"/>
          <w:sz w:val="22"/>
          <w:szCs w:val="22"/>
        </w:rPr>
        <w:t>如有新增授权的信息披露场所，将以</w:t>
      </w:r>
      <w:r>
        <w:rPr>
          <w:rFonts w:hint="eastAsia" w:ascii="Arial" w:hAnsi="Arial" w:cs="Arial"/>
          <w:sz w:val="22"/>
          <w:szCs w:val="22"/>
        </w:rPr>
        <w:t>管理人</w:t>
      </w:r>
      <w:r>
        <w:rPr>
          <w:rFonts w:ascii="Arial" w:hAnsi="Arial" w:cs="Arial"/>
          <w:sz w:val="22"/>
          <w:szCs w:val="22"/>
        </w:rPr>
        <w:t>公告为准。</w:t>
      </w:r>
    </w:p>
    <w:p>
      <w:pPr>
        <w:widowControl/>
        <w:numPr>
          <w:ilvl w:val="0"/>
          <w:numId w:val="27"/>
        </w:numPr>
        <w:spacing w:line="360" w:lineRule="auto"/>
        <w:ind w:left="0" w:firstLine="440" w:firstLineChars="200"/>
        <w:rPr>
          <w:rFonts w:ascii="Arial" w:hAnsi="Arial" w:cs="Arial"/>
          <w:sz w:val="22"/>
          <w:szCs w:val="22"/>
        </w:rPr>
      </w:pPr>
      <w:r>
        <w:rPr>
          <w:rFonts w:ascii="Arial" w:hAnsi="Arial" w:cs="Arial"/>
          <w:sz w:val="22"/>
          <w:szCs w:val="22"/>
        </w:rPr>
        <w:t>信息披露的内容和时间</w:t>
      </w:r>
    </w:p>
    <w:p>
      <w:pPr>
        <w:widowControl/>
        <w:numPr>
          <w:ilvl w:val="0"/>
          <w:numId w:val="28"/>
        </w:numPr>
        <w:spacing w:line="360" w:lineRule="auto"/>
        <w:ind w:firstLine="440" w:firstLineChars="200"/>
        <w:rPr>
          <w:rFonts w:ascii="Arial" w:hAnsi="Arial" w:cs="Arial"/>
          <w:sz w:val="22"/>
          <w:szCs w:val="22"/>
        </w:rPr>
      </w:pPr>
      <w:r>
        <w:rPr>
          <w:rFonts w:ascii="Arial" w:hAnsi="Arial" w:cs="Arial"/>
          <w:sz w:val="22"/>
          <w:szCs w:val="22"/>
        </w:rPr>
        <w:t>理财产品发行公告</w:t>
      </w:r>
    </w:p>
    <w:p>
      <w:pPr>
        <w:spacing w:line="360" w:lineRule="auto"/>
        <w:ind w:firstLine="440" w:firstLineChars="200"/>
        <w:rPr>
          <w:rFonts w:ascii="Arial" w:hAnsi="Arial" w:cs="Arial"/>
          <w:sz w:val="22"/>
          <w:szCs w:val="22"/>
        </w:rPr>
      </w:pPr>
      <w:r>
        <w:rPr>
          <w:rFonts w:ascii="Arial" w:hAnsi="Arial" w:cs="Arial"/>
          <w:sz w:val="22"/>
          <w:szCs w:val="22"/>
        </w:rPr>
        <w:t>管理人将在</w:t>
      </w:r>
      <w:r>
        <w:rPr>
          <w:rFonts w:hint="eastAsia" w:ascii="Arial" w:hAnsi="Arial" w:cs="Arial"/>
          <w:sz w:val="22"/>
          <w:szCs w:val="22"/>
        </w:rPr>
        <w:t>本</w:t>
      </w:r>
      <w:r>
        <w:rPr>
          <w:rFonts w:ascii="Arial" w:hAnsi="Arial" w:cs="Arial"/>
          <w:sz w:val="22"/>
          <w:szCs w:val="22"/>
        </w:rPr>
        <w:t>理财产品成立之后5个工作日内披露发行公告，包括</w:t>
      </w:r>
      <w:r>
        <w:rPr>
          <w:rFonts w:hint="eastAsia" w:ascii="Arial" w:hAnsi="Arial" w:cs="Arial"/>
          <w:sz w:val="22"/>
          <w:szCs w:val="22"/>
        </w:rPr>
        <w:t>本</w:t>
      </w:r>
      <w:r>
        <w:rPr>
          <w:rFonts w:ascii="Arial" w:hAnsi="Arial" w:cs="Arial"/>
          <w:sz w:val="22"/>
          <w:szCs w:val="22"/>
        </w:rPr>
        <w:t>理财产品成立日期和募集规模等信息。若认购期内新出台的法律、法规导致本理财产品不适宜成立运行，或出现其他经产品管理人合理判断认为影响本理财产品正常运作的情况，则管理人有权宣布本理财产品不能成立，并在决定</w:t>
      </w:r>
      <w:r>
        <w:rPr>
          <w:rFonts w:hint="eastAsia" w:ascii="Arial" w:hAnsi="Arial" w:cs="Arial"/>
          <w:sz w:val="22"/>
          <w:szCs w:val="22"/>
        </w:rPr>
        <w:t>本</w:t>
      </w:r>
      <w:r>
        <w:rPr>
          <w:rFonts w:ascii="Arial" w:hAnsi="Arial" w:cs="Arial"/>
          <w:sz w:val="22"/>
          <w:szCs w:val="22"/>
        </w:rPr>
        <w:t xml:space="preserve">理财产品不成立后的5个工作日内进行披露。 </w:t>
      </w:r>
    </w:p>
    <w:p>
      <w:pPr>
        <w:widowControl/>
        <w:numPr>
          <w:ilvl w:val="0"/>
          <w:numId w:val="28"/>
        </w:numPr>
        <w:spacing w:line="360" w:lineRule="auto"/>
        <w:ind w:firstLine="440" w:firstLineChars="200"/>
        <w:rPr>
          <w:rFonts w:ascii="Arial" w:hAnsi="Arial" w:cs="Arial"/>
          <w:sz w:val="22"/>
          <w:szCs w:val="22"/>
        </w:rPr>
      </w:pPr>
      <w:r>
        <w:rPr>
          <w:rFonts w:ascii="Arial" w:hAnsi="Arial" w:cs="Arial"/>
          <w:sz w:val="22"/>
          <w:szCs w:val="22"/>
        </w:rPr>
        <w:t>理财产品定期报告</w:t>
      </w:r>
    </w:p>
    <w:p>
      <w:pPr>
        <w:spacing w:line="360" w:lineRule="auto"/>
        <w:ind w:firstLine="440" w:firstLineChars="200"/>
        <w:rPr>
          <w:rFonts w:ascii="Arial" w:hAnsi="Arial" w:cs="Arial"/>
          <w:sz w:val="22"/>
          <w:szCs w:val="22"/>
        </w:rPr>
      </w:pPr>
      <w:r>
        <w:rPr>
          <w:rFonts w:ascii="Arial" w:hAnsi="Arial" w:cs="Arial"/>
          <w:sz w:val="22"/>
          <w:szCs w:val="22"/>
        </w:rPr>
        <w:t>管理人将在每个季度结束之日起的 15 个工作日内、每个上半年度结束之日起的60个工作日内、每个年度结束之日起的90个工作日内向投资者披露季度、半年和年度报告等定期报告。</w:t>
      </w:r>
    </w:p>
    <w:p>
      <w:pPr>
        <w:spacing w:line="360" w:lineRule="auto"/>
        <w:ind w:firstLine="440" w:firstLineChars="200"/>
        <w:rPr>
          <w:rFonts w:ascii="Arial" w:hAnsi="Arial" w:cs="Arial"/>
          <w:sz w:val="22"/>
          <w:szCs w:val="22"/>
        </w:rPr>
      </w:pPr>
      <w:r>
        <w:rPr>
          <w:rFonts w:hint="eastAsia" w:ascii="Arial" w:hAnsi="Arial" w:cs="Arial"/>
          <w:sz w:val="22"/>
          <w:szCs w:val="22"/>
        </w:rPr>
        <w:t>本</w:t>
      </w:r>
      <w:r>
        <w:rPr>
          <w:rFonts w:ascii="Arial" w:hAnsi="Arial" w:cs="Arial"/>
          <w:sz w:val="22"/>
          <w:szCs w:val="22"/>
        </w:rPr>
        <w:t>理财产品成立不足90个工作日或者剩余存续期不超过90个工作日的，管理人可以不编制</w:t>
      </w:r>
      <w:r>
        <w:rPr>
          <w:rFonts w:hint="eastAsia" w:ascii="Arial" w:hAnsi="Arial" w:cs="Arial"/>
          <w:sz w:val="22"/>
          <w:szCs w:val="22"/>
        </w:rPr>
        <w:t>本</w:t>
      </w:r>
      <w:r>
        <w:rPr>
          <w:rFonts w:ascii="Arial" w:hAnsi="Arial" w:cs="Arial"/>
          <w:sz w:val="22"/>
          <w:szCs w:val="22"/>
        </w:rPr>
        <w:t>理财产品当期的季度、半年和年度报告。</w:t>
      </w:r>
    </w:p>
    <w:p>
      <w:pPr>
        <w:spacing w:line="360" w:lineRule="auto"/>
        <w:ind w:firstLine="440" w:firstLineChars="200"/>
        <w:rPr>
          <w:rFonts w:ascii="Arial" w:hAnsi="Arial" w:cs="Arial"/>
          <w:sz w:val="22"/>
          <w:szCs w:val="22"/>
        </w:rPr>
      </w:pPr>
      <w:r>
        <w:rPr>
          <w:rFonts w:ascii="Arial" w:hAnsi="Arial" w:cs="Arial"/>
          <w:sz w:val="22"/>
          <w:szCs w:val="22"/>
        </w:rPr>
        <w:t>管理人将在定期报告中披露本理财产品在季度、半年和年度最后一个交易日的产品份额净值、份额累计净值和资产净值</w:t>
      </w:r>
      <w:r>
        <w:rPr>
          <w:rFonts w:hint="eastAsia" w:ascii="Arial" w:hAnsi="Arial" w:cs="Arial"/>
          <w:sz w:val="22"/>
          <w:szCs w:val="22"/>
        </w:rPr>
        <w:t>等</w:t>
      </w:r>
      <w:r>
        <w:rPr>
          <w:rFonts w:ascii="Arial" w:hAnsi="Arial" w:cs="Arial"/>
          <w:sz w:val="22"/>
          <w:szCs w:val="22"/>
        </w:rPr>
        <w:t>。</w:t>
      </w:r>
    </w:p>
    <w:p>
      <w:pPr>
        <w:spacing w:line="360" w:lineRule="auto"/>
        <w:ind w:firstLine="440" w:firstLineChars="200"/>
        <w:rPr>
          <w:rFonts w:ascii="Arial" w:hAnsi="Arial" w:cs="Arial"/>
          <w:sz w:val="22"/>
          <w:szCs w:val="22"/>
        </w:rPr>
      </w:pPr>
      <w:r>
        <w:rPr>
          <w:rFonts w:ascii="Arial" w:hAnsi="Arial" w:cs="Arial"/>
          <w:sz w:val="22"/>
          <w:szCs w:val="22"/>
        </w:rPr>
        <w:t>管理人有权仅向本理财产品持有人披露定期报告。</w:t>
      </w:r>
    </w:p>
    <w:p>
      <w:pPr>
        <w:widowControl/>
        <w:numPr>
          <w:ilvl w:val="0"/>
          <w:numId w:val="28"/>
        </w:numPr>
        <w:spacing w:line="360" w:lineRule="auto"/>
        <w:ind w:firstLine="440" w:firstLineChars="200"/>
        <w:rPr>
          <w:rFonts w:ascii="Arial" w:hAnsi="Arial" w:cs="Arial"/>
          <w:sz w:val="22"/>
          <w:szCs w:val="22"/>
        </w:rPr>
      </w:pPr>
      <w:r>
        <w:rPr>
          <w:rFonts w:ascii="Arial" w:hAnsi="Arial" w:cs="Arial"/>
          <w:sz w:val="22"/>
          <w:szCs w:val="22"/>
        </w:rPr>
        <w:t>理财产品临时性信息披露</w:t>
      </w:r>
    </w:p>
    <w:p>
      <w:pPr>
        <w:pStyle w:val="20"/>
        <w:numPr>
          <w:ilvl w:val="0"/>
          <w:numId w:val="29"/>
        </w:numPr>
        <w:spacing w:line="360" w:lineRule="auto"/>
        <w:ind w:firstLineChars="0"/>
        <w:rPr>
          <w:rFonts w:ascii="Arial" w:hAnsi="Arial" w:cs="Arial"/>
          <w:sz w:val="22"/>
          <w:szCs w:val="22"/>
        </w:rPr>
      </w:pPr>
      <w:r>
        <w:rPr>
          <w:rFonts w:ascii="Arial" w:hAnsi="Arial" w:cs="Arial"/>
          <w:sz w:val="22"/>
          <w:szCs w:val="22"/>
        </w:rPr>
        <w:t>发生管理人、托管人变更情形的，</w:t>
      </w:r>
      <w:r>
        <w:rPr>
          <w:rFonts w:hint="eastAsia" w:ascii="Arial" w:hAnsi="Arial" w:cs="Arial"/>
          <w:sz w:val="22"/>
          <w:szCs w:val="22"/>
        </w:rPr>
        <w:t>管理人</w:t>
      </w:r>
      <w:r>
        <w:rPr>
          <w:rFonts w:ascii="Arial" w:hAnsi="Arial" w:cs="Arial"/>
          <w:sz w:val="22"/>
          <w:szCs w:val="22"/>
        </w:rPr>
        <w:t>将提前 5 个工作日以临时公告形式向投资者进行信息披露。</w:t>
      </w:r>
    </w:p>
    <w:p>
      <w:pPr>
        <w:pStyle w:val="20"/>
        <w:numPr>
          <w:ilvl w:val="0"/>
          <w:numId w:val="29"/>
        </w:numPr>
        <w:spacing w:line="360" w:lineRule="auto"/>
        <w:ind w:firstLineChars="0"/>
        <w:rPr>
          <w:rFonts w:ascii="Arial" w:hAnsi="Arial" w:cs="Arial"/>
          <w:sz w:val="22"/>
          <w:szCs w:val="22"/>
        </w:rPr>
      </w:pPr>
      <w:r>
        <w:rPr>
          <w:rFonts w:ascii="Arial" w:hAnsi="Arial" w:cs="Arial"/>
          <w:sz w:val="22"/>
          <w:szCs w:val="22"/>
        </w:rPr>
        <w:t>在本理财产品存续期间，</w:t>
      </w:r>
      <w:r>
        <w:rPr>
          <w:rFonts w:hint="eastAsia" w:ascii="Arial" w:hAnsi="Arial" w:cs="Arial"/>
          <w:sz w:val="22"/>
          <w:szCs w:val="22"/>
        </w:rPr>
        <w:t>管理人</w:t>
      </w:r>
      <w:r>
        <w:rPr>
          <w:rFonts w:ascii="Arial" w:hAnsi="Arial" w:cs="Arial"/>
          <w:sz w:val="22"/>
          <w:szCs w:val="22"/>
        </w:rPr>
        <w:t>对</w:t>
      </w:r>
      <w:r>
        <w:rPr>
          <w:rFonts w:hint="eastAsia" w:ascii="Arial" w:hAnsi="Arial" w:cs="Arial"/>
          <w:sz w:val="22"/>
          <w:szCs w:val="22"/>
        </w:rPr>
        <w:t>本</w:t>
      </w:r>
      <w:r>
        <w:rPr>
          <w:rFonts w:ascii="Arial" w:hAnsi="Arial" w:cs="Arial"/>
          <w:sz w:val="22"/>
          <w:szCs w:val="22"/>
        </w:rPr>
        <w:t>理财产品投资范围或比例或其他经管理人判断可能对</w:t>
      </w:r>
      <w:r>
        <w:rPr>
          <w:rFonts w:hint="eastAsia" w:ascii="Arial" w:hAnsi="Arial" w:cs="Arial"/>
          <w:sz w:val="22"/>
          <w:szCs w:val="22"/>
        </w:rPr>
        <w:t>本</w:t>
      </w:r>
      <w:r>
        <w:rPr>
          <w:rFonts w:ascii="Arial" w:hAnsi="Arial" w:cs="Arial"/>
          <w:sz w:val="22"/>
          <w:szCs w:val="22"/>
        </w:rPr>
        <w:t>理财产品份额持有人权益产生影响的条款进行补充、说明和修改，</w:t>
      </w:r>
      <w:r>
        <w:rPr>
          <w:rFonts w:hint="eastAsia" w:ascii="Arial" w:hAnsi="Arial" w:cs="Arial"/>
          <w:sz w:val="22"/>
          <w:szCs w:val="22"/>
        </w:rPr>
        <w:t>管理人</w:t>
      </w:r>
      <w:r>
        <w:rPr>
          <w:rFonts w:ascii="Arial" w:hAnsi="Arial" w:cs="Arial"/>
          <w:sz w:val="22"/>
          <w:szCs w:val="22"/>
        </w:rPr>
        <w:t>将提前5个工作日进行信息披露。其中，涉及投资范围、投资品种、投资比例调整导致其超出销售文件约定比例的，除超出比例投资比本理财产品风险更低的资产外，投资者如不同意相关调整的，可在</w:t>
      </w:r>
      <w:r>
        <w:rPr>
          <w:rFonts w:hint="eastAsia" w:ascii="Arial" w:hAnsi="Arial" w:cs="Arial"/>
          <w:sz w:val="22"/>
          <w:szCs w:val="22"/>
        </w:rPr>
        <w:t>管理人</w:t>
      </w:r>
      <w:r>
        <w:rPr>
          <w:rFonts w:ascii="Arial" w:hAnsi="Arial" w:cs="Arial"/>
          <w:sz w:val="22"/>
          <w:szCs w:val="22"/>
        </w:rPr>
        <w:t>披露的相关调整生效前赎回本理财产品。此种情况下</w:t>
      </w:r>
      <w:r>
        <w:rPr>
          <w:rFonts w:hint="eastAsia" w:ascii="Arial" w:hAnsi="Arial" w:cs="Arial"/>
          <w:sz w:val="22"/>
          <w:szCs w:val="22"/>
        </w:rPr>
        <w:t>管理人</w:t>
      </w:r>
      <w:r>
        <w:rPr>
          <w:rFonts w:ascii="Arial" w:hAnsi="Arial" w:cs="Arial"/>
          <w:sz w:val="22"/>
          <w:szCs w:val="22"/>
        </w:rPr>
        <w:t>将可能在本</w:t>
      </w:r>
      <w:r>
        <w:rPr>
          <w:rFonts w:hint="eastAsia" w:ascii="Arial" w:hAnsi="Arial" w:cs="Arial"/>
          <w:sz w:val="22"/>
          <w:szCs w:val="22"/>
        </w:rPr>
        <w:t>理财产品</w:t>
      </w:r>
      <w:r>
        <w:rPr>
          <w:rFonts w:ascii="Arial" w:hAnsi="Arial" w:cs="Arial"/>
          <w:sz w:val="22"/>
          <w:szCs w:val="22"/>
        </w:rPr>
        <w:t>说明书约定的开放期外单独开放特殊赎回期间，具体以届时</w:t>
      </w:r>
      <w:r>
        <w:rPr>
          <w:rFonts w:hint="eastAsia" w:ascii="Arial" w:hAnsi="Arial" w:cs="Arial"/>
          <w:sz w:val="22"/>
          <w:szCs w:val="22"/>
        </w:rPr>
        <w:t>管理人</w:t>
      </w:r>
      <w:r>
        <w:rPr>
          <w:rFonts w:ascii="Arial" w:hAnsi="Arial" w:cs="Arial"/>
          <w:sz w:val="22"/>
          <w:szCs w:val="22"/>
        </w:rPr>
        <w:t>的公告为准。投资者本金和收益（如有）将在赎回确认日后5个工作日内划转至投资者账户。逾期未赎回的视为投资者书面同意相关调整并继续持有本理财产品。</w:t>
      </w:r>
    </w:p>
    <w:p>
      <w:pPr>
        <w:pStyle w:val="20"/>
        <w:numPr>
          <w:ilvl w:val="0"/>
          <w:numId w:val="29"/>
        </w:numPr>
        <w:spacing w:line="360" w:lineRule="auto"/>
        <w:ind w:firstLineChars="0"/>
        <w:rPr>
          <w:rFonts w:ascii="Arial" w:hAnsi="Arial" w:cs="Arial"/>
          <w:sz w:val="22"/>
          <w:szCs w:val="22"/>
        </w:rPr>
      </w:pPr>
      <w:r>
        <w:rPr>
          <w:rFonts w:hint="eastAsia" w:ascii="Arial" w:hAnsi="Arial" w:cs="Arial"/>
          <w:sz w:val="22"/>
          <w:szCs w:val="22"/>
        </w:rPr>
        <w:t>理财产品管理人决定运用流动性风险应对措施时，应符合本理财产品说明书的约定并按本理财产品说明书的约定及时向投资者进行信息披露。</w:t>
      </w:r>
    </w:p>
    <w:p>
      <w:pPr>
        <w:pStyle w:val="20"/>
        <w:numPr>
          <w:ilvl w:val="0"/>
          <w:numId w:val="29"/>
        </w:numPr>
        <w:spacing w:line="360" w:lineRule="auto"/>
        <w:ind w:firstLineChars="0"/>
        <w:rPr>
          <w:rFonts w:ascii="Arial" w:hAnsi="Arial" w:cs="Arial"/>
          <w:sz w:val="22"/>
          <w:szCs w:val="22"/>
        </w:rPr>
      </w:pPr>
      <w:r>
        <w:rPr>
          <w:rFonts w:hint="eastAsia" w:ascii="Arial" w:hAnsi="Arial" w:cs="Arial"/>
          <w:sz w:val="22"/>
          <w:szCs w:val="22"/>
        </w:rPr>
        <w:t>根据法律法规、监管规定及本理财产品说明书约定需进行其他临时性信息披露的，按照相关法律法规、监管规定及本理财产品说明书约定执行。</w:t>
      </w:r>
    </w:p>
    <w:p>
      <w:pPr>
        <w:widowControl/>
        <w:numPr>
          <w:ilvl w:val="0"/>
          <w:numId w:val="28"/>
        </w:numPr>
        <w:spacing w:line="360" w:lineRule="auto"/>
        <w:ind w:firstLine="440" w:firstLineChars="200"/>
        <w:rPr>
          <w:rFonts w:ascii="Arial" w:hAnsi="Arial" w:cs="Arial"/>
          <w:sz w:val="22"/>
          <w:szCs w:val="22"/>
        </w:rPr>
      </w:pPr>
      <w:r>
        <w:rPr>
          <w:rFonts w:ascii="Arial" w:hAnsi="Arial" w:cs="Arial"/>
          <w:sz w:val="22"/>
          <w:szCs w:val="22"/>
        </w:rPr>
        <w:t>理财产品重大事项公告</w:t>
      </w:r>
    </w:p>
    <w:p>
      <w:pPr>
        <w:spacing w:line="360" w:lineRule="auto"/>
        <w:ind w:firstLine="440" w:firstLineChars="200"/>
        <w:rPr>
          <w:rFonts w:ascii="Arial" w:hAnsi="Arial" w:cs="Arial"/>
          <w:sz w:val="22"/>
          <w:szCs w:val="22"/>
        </w:rPr>
      </w:pPr>
      <w:r>
        <w:rPr>
          <w:rFonts w:hint="eastAsia" w:ascii="Arial" w:hAnsi="Arial" w:cs="Arial"/>
          <w:sz w:val="22"/>
          <w:szCs w:val="22"/>
        </w:rPr>
        <w:t>本</w:t>
      </w:r>
      <w:r>
        <w:rPr>
          <w:rFonts w:ascii="Arial" w:hAnsi="Arial" w:cs="Arial"/>
          <w:sz w:val="22"/>
          <w:szCs w:val="22"/>
        </w:rPr>
        <w:t>理财产品存续期间，如果发生</w:t>
      </w:r>
      <w:r>
        <w:rPr>
          <w:rFonts w:hint="eastAsia" w:ascii="Arial" w:hAnsi="Arial" w:cs="Arial"/>
          <w:sz w:val="22"/>
          <w:szCs w:val="22"/>
        </w:rPr>
        <w:t>管理人</w:t>
      </w:r>
      <w:r>
        <w:rPr>
          <w:rFonts w:ascii="Arial" w:hAnsi="Arial" w:cs="Arial"/>
          <w:sz w:val="22"/>
          <w:szCs w:val="22"/>
        </w:rPr>
        <w:t>认为可能影响产品运作的重大不利事项时，包括但不限于未按照产品说明书约定分配收益；</w:t>
      </w:r>
      <w:r>
        <w:rPr>
          <w:rFonts w:hint="eastAsia" w:ascii="Arial" w:hAnsi="Arial" w:cs="Arial"/>
          <w:sz w:val="22"/>
          <w:szCs w:val="22"/>
        </w:rPr>
        <w:t>本</w:t>
      </w:r>
      <w:r>
        <w:rPr>
          <w:rFonts w:ascii="Arial" w:hAnsi="Arial" w:cs="Arial"/>
          <w:sz w:val="22"/>
          <w:szCs w:val="22"/>
        </w:rPr>
        <w:t>理财产品所投资产出现重大损失；管理人、托管人等出现变更，经营情况出现重大变化或涉及法律纠纷；市场发生重大变化、投资的资产质量发生重大变化或者其它可能对投资者权益产生重大影响的突发事件等经</w:t>
      </w:r>
      <w:r>
        <w:rPr>
          <w:rFonts w:hint="eastAsia" w:ascii="Arial" w:hAnsi="Arial" w:cs="Arial"/>
          <w:sz w:val="22"/>
          <w:szCs w:val="22"/>
        </w:rPr>
        <w:t>管理人</w:t>
      </w:r>
      <w:r>
        <w:rPr>
          <w:rFonts w:ascii="Arial" w:hAnsi="Arial" w:cs="Arial"/>
          <w:sz w:val="22"/>
          <w:szCs w:val="22"/>
        </w:rPr>
        <w:t>判断对理财投资价值有实质性影响的重大事件，</w:t>
      </w:r>
      <w:r>
        <w:rPr>
          <w:rFonts w:hint="eastAsia" w:ascii="Arial" w:hAnsi="Arial" w:cs="Arial"/>
          <w:sz w:val="22"/>
          <w:szCs w:val="22"/>
        </w:rPr>
        <w:t>管理人</w:t>
      </w:r>
      <w:r>
        <w:rPr>
          <w:rFonts w:ascii="Arial" w:hAnsi="Arial" w:cs="Arial"/>
          <w:sz w:val="22"/>
          <w:szCs w:val="22"/>
        </w:rPr>
        <w:t>将在该事件发生后2个工作日内向投资者披露相关信息。</w:t>
      </w:r>
    </w:p>
    <w:p>
      <w:pPr>
        <w:widowControl/>
        <w:numPr>
          <w:ilvl w:val="0"/>
          <w:numId w:val="28"/>
        </w:numPr>
        <w:spacing w:line="360" w:lineRule="auto"/>
        <w:ind w:firstLine="440" w:firstLineChars="200"/>
        <w:rPr>
          <w:rFonts w:ascii="Arial" w:hAnsi="Arial" w:cs="Arial"/>
          <w:sz w:val="22"/>
          <w:szCs w:val="22"/>
        </w:rPr>
      </w:pPr>
      <w:r>
        <w:rPr>
          <w:rFonts w:ascii="Arial" w:hAnsi="Arial" w:cs="Arial"/>
          <w:sz w:val="22"/>
          <w:szCs w:val="22"/>
        </w:rPr>
        <w:t>理财产品到期公告</w:t>
      </w:r>
    </w:p>
    <w:p>
      <w:pPr>
        <w:spacing w:line="360" w:lineRule="auto"/>
        <w:ind w:firstLine="440" w:firstLineChars="200"/>
        <w:rPr>
          <w:rFonts w:ascii="Arial" w:hAnsi="Arial" w:cs="Arial"/>
          <w:sz w:val="22"/>
          <w:szCs w:val="22"/>
        </w:rPr>
      </w:pPr>
      <w:r>
        <w:rPr>
          <w:rFonts w:hint="eastAsia" w:ascii="Arial" w:hAnsi="Arial" w:cs="Arial"/>
          <w:sz w:val="22"/>
          <w:szCs w:val="22"/>
        </w:rPr>
        <w:t>管理人</w:t>
      </w:r>
      <w:r>
        <w:rPr>
          <w:rFonts w:ascii="Arial" w:hAnsi="Arial" w:cs="Arial"/>
          <w:sz w:val="22"/>
          <w:szCs w:val="22"/>
        </w:rPr>
        <w:t>将在</w:t>
      </w:r>
      <w:r>
        <w:rPr>
          <w:rFonts w:hint="eastAsia" w:ascii="Arial" w:hAnsi="Arial" w:cs="Arial"/>
          <w:sz w:val="22"/>
          <w:szCs w:val="22"/>
        </w:rPr>
        <w:t>本</w:t>
      </w:r>
      <w:r>
        <w:rPr>
          <w:rFonts w:ascii="Arial" w:hAnsi="Arial" w:cs="Arial"/>
          <w:sz w:val="22"/>
          <w:szCs w:val="22"/>
        </w:rPr>
        <w:t>理财产品终止后的5个工作日内披露</w:t>
      </w:r>
      <w:r>
        <w:rPr>
          <w:rFonts w:hint="eastAsia" w:ascii="Arial" w:hAnsi="Arial" w:cs="Arial"/>
          <w:sz w:val="22"/>
          <w:szCs w:val="22"/>
        </w:rPr>
        <w:t>本</w:t>
      </w:r>
      <w:r>
        <w:rPr>
          <w:rFonts w:ascii="Arial" w:hAnsi="Arial" w:cs="Arial"/>
          <w:sz w:val="22"/>
          <w:szCs w:val="22"/>
        </w:rPr>
        <w:t>理财产品到期公告。终止公告的内容包括</w:t>
      </w:r>
      <w:r>
        <w:rPr>
          <w:rFonts w:hint="eastAsia" w:ascii="Arial" w:hAnsi="Arial" w:cs="Arial"/>
          <w:sz w:val="22"/>
          <w:szCs w:val="22"/>
        </w:rPr>
        <w:t>本</w:t>
      </w:r>
      <w:r>
        <w:rPr>
          <w:rFonts w:ascii="Arial" w:hAnsi="Arial" w:cs="Arial"/>
          <w:sz w:val="22"/>
          <w:szCs w:val="22"/>
        </w:rPr>
        <w:t>理财产品的存续期限、终止日期、收费情况和收益分配情况等信息。</w:t>
      </w:r>
    </w:p>
    <w:p>
      <w:pPr>
        <w:widowControl/>
        <w:numPr>
          <w:ilvl w:val="0"/>
          <w:numId w:val="28"/>
        </w:numPr>
        <w:spacing w:line="360" w:lineRule="auto"/>
        <w:rPr>
          <w:rFonts w:ascii="Arial" w:hAnsi="Arial" w:cs="Arial"/>
          <w:sz w:val="22"/>
          <w:szCs w:val="22"/>
        </w:rPr>
      </w:pPr>
      <w:r>
        <w:rPr>
          <w:rFonts w:ascii="Arial" w:hAnsi="Arial" w:cs="Arial"/>
          <w:sz w:val="22"/>
          <w:szCs w:val="22"/>
        </w:rPr>
        <w:t>产品存续期间，投资者应定期通过本条第1款“信息披露的渠道”获取与本理财产品相关的信息。</w:t>
      </w:r>
    </w:p>
    <w:p>
      <w:pPr>
        <w:widowControl/>
        <w:spacing w:line="360" w:lineRule="auto"/>
        <w:ind w:firstLine="440" w:firstLineChars="200"/>
        <w:rPr>
          <w:rFonts w:ascii="Arial" w:hAnsi="Arial" w:cs="Arial"/>
          <w:sz w:val="22"/>
          <w:szCs w:val="22"/>
        </w:rPr>
      </w:pPr>
      <w:r>
        <w:rPr>
          <w:rFonts w:hint="eastAsia" w:ascii="Arial" w:hAnsi="Arial" w:cs="Arial"/>
          <w:sz w:val="22"/>
          <w:szCs w:val="22"/>
        </w:rPr>
        <w:t>在本理财产品存续期内，如出于维持本理财产品正常运营的需要且在不损害投资者利益的前提下，或因国家法律法规、监管规定发生变化，管理人有权单方对本理财产品销售文件进行修订。管理人决定对理财产品销售文件进行修订的，将提前5个工作日通过授权进行信息披露的场所发布相关信息公告通知投资者。修订后的理财产品销售文件对投资者具有法律约束力。</w:t>
      </w:r>
    </w:p>
    <w:p>
      <w:pPr>
        <w:pStyle w:val="2"/>
        <w:numPr>
          <w:ilvl w:val="0"/>
          <w:numId w:val="3"/>
        </w:numPr>
        <w:tabs>
          <w:tab w:val="left" w:pos="426"/>
        </w:tabs>
        <w:spacing w:line="240" w:lineRule="auto"/>
        <w:rPr>
          <w:rFonts w:ascii="Arial" w:hAnsi="Arial" w:cs="Arial"/>
          <w:sz w:val="22"/>
          <w:szCs w:val="22"/>
        </w:rPr>
      </w:pPr>
      <w:r>
        <w:rPr>
          <w:rFonts w:ascii="Arial" w:hAnsi="Arial" w:cs="Arial"/>
          <w:sz w:val="22"/>
          <w:szCs w:val="22"/>
        </w:rPr>
        <w:t>风险揭示</w:t>
      </w:r>
    </w:p>
    <w:p>
      <w:pPr>
        <w:tabs>
          <w:tab w:val="left" w:pos="8647"/>
        </w:tabs>
        <w:adjustRightInd w:val="0"/>
        <w:snapToGrid w:val="0"/>
        <w:spacing w:line="360" w:lineRule="auto"/>
        <w:ind w:firstLine="440" w:firstLineChars="200"/>
        <w:textAlignment w:val="center"/>
        <w:rPr>
          <w:rFonts w:ascii="Arial" w:hAnsi="Arial" w:cs="Arial"/>
          <w:snapToGrid w:val="0"/>
          <w:color w:val="000000"/>
          <w:sz w:val="22"/>
          <w:szCs w:val="22"/>
        </w:rPr>
      </w:pPr>
      <w:r>
        <w:rPr>
          <w:rFonts w:hint="eastAsia" w:ascii="Arial" w:hAnsi="Arial" w:cs="Arial"/>
          <w:sz w:val="22"/>
          <w:szCs w:val="22"/>
        </w:rPr>
        <w:t>管理人</w:t>
      </w:r>
      <w:r>
        <w:rPr>
          <w:rFonts w:ascii="Arial" w:hAnsi="Arial" w:cs="Arial"/>
          <w:sz w:val="22"/>
          <w:szCs w:val="22"/>
        </w:rPr>
        <w:t>对本理财产品的本金和收益不提供保证承诺</w:t>
      </w:r>
      <w:r>
        <w:rPr>
          <w:rFonts w:ascii="Arial" w:hAnsi="Arial" w:cs="Arial"/>
          <w:snapToGrid w:val="0"/>
          <w:color w:val="000000"/>
          <w:sz w:val="22"/>
          <w:szCs w:val="22"/>
        </w:rPr>
        <w:t>，</w:t>
      </w:r>
      <w:r>
        <w:rPr>
          <w:rFonts w:hint="eastAsia" w:ascii="Arial" w:hAnsi="Arial" w:cs="Arial"/>
          <w:snapToGrid w:val="0"/>
          <w:color w:val="000000"/>
          <w:sz w:val="22"/>
          <w:szCs w:val="22"/>
        </w:rPr>
        <w:t>投资者</w:t>
      </w:r>
      <w:r>
        <w:rPr>
          <w:rFonts w:ascii="Arial" w:hAnsi="Arial" w:cs="Arial"/>
          <w:snapToGrid w:val="0"/>
          <w:color w:val="000000"/>
          <w:sz w:val="22"/>
          <w:szCs w:val="22"/>
        </w:rPr>
        <w:t>的本金可能因市场变动而蒙受重大损失，</w:t>
      </w:r>
      <w:r>
        <w:rPr>
          <w:rFonts w:hint="eastAsia" w:ascii="Arial" w:hAnsi="Arial" w:cs="Arial"/>
          <w:snapToGrid w:val="0"/>
          <w:color w:val="000000"/>
          <w:sz w:val="22"/>
          <w:szCs w:val="22"/>
        </w:rPr>
        <w:t>投资者</w:t>
      </w:r>
      <w:r>
        <w:rPr>
          <w:rFonts w:ascii="Arial" w:hAnsi="Arial" w:cs="Arial"/>
          <w:snapToGrid w:val="0"/>
          <w:color w:val="000000"/>
          <w:sz w:val="22"/>
          <w:szCs w:val="22"/>
        </w:rPr>
        <w:t>应充分认识投资风险，谨慎投资。</w:t>
      </w:r>
    </w:p>
    <w:p>
      <w:pPr>
        <w:adjustRightInd w:val="0"/>
        <w:snapToGrid w:val="0"/>
        <w:spacing w:line="360" w:lineRule="auto"/>
        <w:ind w:firstLine="442" w:firstLineChars="200"/>
        <w:textAlignment w:val="center"/>
        <w:rPr>
          <w:rFonts w:ascii="Arial" w:hAnsi="Arial" w:cs="Arial"/>
          <w:snapToGrid w:val="0"/>
          <w:color w:val="000000"/>
          <w:sz w:val="22"/>
          <w:szCs w:val="22"/>
        </w:rPr>
      </w:pPr>
      <w:r>
        <w:rPr>
          <w:rFonts w:ascii="Arial" w:hAnsi="Arial" w:cs="Arial"/>
          <w:b/>
          <w:snapToGrid w:val="0"/>
          <w:color w:val="000000"/>
          <w:sz w:val="22"/>
          <w:szCs w:val="22"/>
        </w:rPr>
        <w:t>本理财产品有投资风险，不保证理财本金和收益，投资者应该充分认识投资风险，谨慎投资。</w:t>
      </w:r>
      <w:r>
        <w:rPr>
          <w:rFonts w:ascii="Arial" w:hAnsi="Arial" w:cs="Arial"/>
          <w:snapToGrid w:val="0"/>
          <w:color w:val="000000"/>
          <w:sz w:val="22"/>
          <w:szCs w:val="22"/>
        </w:rPr>
        <w:t>本理财产品风险揭示内容详见《</w:t>
      </w:r>
      <w:r>
        <w:rPr>
          <w:rFonts w:hint="eastAsia" w:ascii="Arial" w:hAnsi="Arial" w:cs="Arial"/>
          <w:snapToGrid w:val="0"/>
          <w:color w:val="000000"/>
          <w:sz w:val="22"/>
          <w:szCs w:val="22"/>
          <w:lang w:eastAsia="zh-CN"/>
        </w:rPr>
        <w:t>平安理财灵活成长创利日开90天持有2号固收类理财产品</w:t>
      </w:r>
      <w:r>
        <w:rPr>
          <w:rFonts w:ascii="Arial" w:hAnsi="Arial" w:cs="Arial"/>
          <w:snapToGrid w:val="0"/>
          <w:color w:val="000000"/>
          <w:sz w:val="22"/>
          <w:szCs w:val="22"/>
        </w:rPr>
        <w:t>风险揭示书》，请投资者详细阅读，在充分了解并清楚知晓本理财产品蕴含风险的基础上，通过自身判断自主参与交易，并自愿承担相关风险。</w:t>
      </w:r>
    </w:p>
    <w:p>
      <w:pPr>
        <w:adjustRightInd w:val="0"/>
        <w:spacing w:line="360" w:lineRule="auto"/>
        <w:ind w:firstLine="442" w:firstLineChars="200"/>
        <w:textAlignment w:val="center"/>
        <w:rPr>
          <w:rFonts w:ascii="Arial" w:hAnsi="Arial" w:cs="Arial"/>
          <w:b/>
          <w:color w:val="000000"/>
          <w:kern w:val="0"/>
          <w:sz w:val="22"/>
        </w:rPr>
      </w:pPr>
      <w:r>
        <w:rPr>
          <w:rFonts w:hint="eastAsia" w:ascii="Arial" w:hAnsi="Arial" w:cs="Arial"/>
          <w:b/>
          <w:color w:val="000000"/>
          <w:kern w:val="0"/>
          <w:sz w:val="22"/>
        </w:rPr>
        <w:t>本理财产品可运用的流动性风险应对措施、程序及对投资者的潜在影响</w:t>
      </w:r>
    </w:p>
    <w:p>
      <w:pPr>
        <w:spacing w:line="360" w:lineRule="auto"/>
        <w:ind w:firstLine="440" w:firstLineChars="200"/>
        <w:rPr>
          <w:rFonts w:ascii="Arial" w:hAnsi="Arial" w:cs="Arial"/>
          <w:sz w:val="22"/>
        </w:rPr>
      </w:pPr>
      <w:r>
        <w:rPr>
          <w:rFonts w:hint="eastAsia" w:ascii="Arial" w:hAnsi="Arial" w:cs="Arial"/>
          <w:sz w:val="22"/>
        </w:rPr>
        <w:t>除本理财</w:t>
      </w:r>
      <w:r>
        <w:rPr>
          <w:rFonts w:hint="eastAsia" w:ascii="Arial" w:hAnsi="Arial" w:cs="Arial"/>
          <w:color w:val="000000"/>
          <w:sz w:val="22"/>
        </w:rPr>
        <w:t>产品</w:t>
      </w:r>
      <w:r>
        <w:rPr>
          <w:rFonts w:ascii="Arial" w:hAnsi="Arial" w:cs="Arial"/>
          <w:color w:val="000000"/>
          <w:sz w:val="22"/>
        </w:rPr>
        <w:t>说明书</w:t>
      </w:r>
      <w:r>
        <w:rPr>
          <w:rFonts w:hint="eastAsia" w:ascii="Arial" w:hAnsi="Arial" w:cs="Arial"/>
          <w:color w:val="000000"/>
          <w:sz w:val="22"/>
        </w:rPr>
        <w:t>已约定的</w:t>
      </w:r>
      <w:r>
        <w:rPr>
          <w:rFonts w:hint="eastAsia" w:ascii="Arial" w:hAnsi="Arial" w:cs="Arial"/>
          <w:sz w:val="22"/>
        </w:rPr>
        <w:t>设定单一投资者认购/申购金额上限、暂停认购/申购、延期办理巨额赎回申请、暂停接受赎回申请、延缓支付赎回款项、暂停估值等流动性风险应对措施外</w:t>
      </w:r>
      <w:r>
        <w:rPr>
          <w:rFonts w:hint="eastAsia" w:ascii="Arial" w:hAnsi="Arial" w:cs="Arial"/>
          <w:color w:val="000000"/>
          <w:sz w:val="22"/>
        </w:rPr>
        <w:t>，</w:t>
      </w:r>
      <w:r>
        <w:rPr>
          <w:rFonts w:hint="eastAsia" w:ascii="Arial" w:hAnsi="Arial" w:cs="Arial"/>
          <w:sz w:val="22"/>
        </w:rPr>
        <w:t>当理财产品管理人认为支付投资人的赎回申请有困难或认为因支付投资人的赎回申请而进行的财产变现可能会对产品资产净值造成较大波动时，可依照法律法规及理财产品说明书的约定，在确保投资者得到公平对待的前提下，运用其他监管允许的流动性风险管理工具，对认购</w:t>
      </w:r>
      <w:r>
        <w:rPr>
          <w:rFonts w:ascii="Arial" w:hAnsi="Arial" w:cs="Arial"/>
          <w:sz w:val="22"/>
        </w:rPr>
        <w:t>/</w:t>
      </w:r>
      <w:r>
        <w:rPr>
          <w:rFonts w:hint="eastAsia" w:ascii="Arial" w:hAnsi="Arial" w:cs="Arial"/>
          <w:sz w:val="22"/>
        </w:rPr>
        <w:t>申购和赎回等进行适度调整，作为特定情形下理财产品管理人流动性风险的应对措施。</w:t>
      </w:r>
    </w:p>
    <w:p>
      <w:pPr>
        <w:spacing w:line="360" w:lineRule="auto"/>
        <w:ind w:firstLine="440" w:firstLineChars="200"/>
        <w:rPr>
          <w:rFonts w:ascii="Arial" w:hAnsi="Arial" w:cs="Arial"/>
          <w:sz w:val="22"/>
        </w:rPr>
      </w:pPr>
      <w:r>
        <w:rPr>
          <w:rFonts w:hint="eastAsia" w:ascii="Arial" w:hAnsi="Arial" w:cs="Arial"/>
          <w:sz w:val="22"/>
        </w:rPr>
        <w:t>管理人可运用的流动性风险应对措施包括但不限于：</w:t>
      </w:r>
    </w:p>
    <w:p>
      <w:pPr>
        <w:pStyle w:val="20"/>
        <w:numPr>
          <w:ilvl w:val="0"/>
          <w:numId w:val="30"/>
        </w:numPr>
        <w:spacing w:line="360" w:lineRule="auto"/>
        <w:ind w:left="0" w:firstLine="426" w:firstLineChars="0"/>
        <w:rPr>
          <w:rFonts w:ascii="Arial" w:hAnsi="Arial" w:cs="Arial"/>
          <w:sz w:val="22"/>
        </w:rPr>
      </w:pPr>
      <w:r>
        <w:rPr>
          <w:rFonts w:hint="eastAsia" w:ascii="Arial" w:hAnsi="Arial" w:cs="Arial"/>
          <w:sz w:val="22"/>
        </w:rPr>
        <w:t>设定单一投资者认购</w:t>
      </w:r>
      <w:r>
        <w:rPr>
          <w:rFonts w:ascii="Arial" w:hAnsi="Arial" w:cs="Arial"/>
          <w:sz w:val="22"/>
        </w:rPr>
        <w:t>/</w:t>
      </w:r>
      <w:r>
        <w:rPr>
          <w:rFonts w:hint="eastAsia" w:ascii="Arial" w:hAnsi="Arial" w:cs="Arial"/>
          <w:sz w:val="22"/>
        </w:rPr>
        <w:t>申购金额上限、暂停认购</w:t>
      </w:r>
      <w:r>
        <w:rPr>
          <w:rFonts w:ascii="Arial" w:hAnsi="Arial" w:cs="Arial"/>
          <w:sz w:val="22"/>
        </w:rPr>
        <w:t>/</w:t>
      </w:r>
      <w:r>
        <w:rPr>
          <w:rFonts w:hint="eastAsia" w:ascii="Arial" w:hAnsi="Arial" w:cs="Arial"/>
          <w:sz w:val="22"/>
        </w:rPr>
        <w:t>申购、设定理财产品单日净认购</w:t>
      </w:r>
      <w:r>
        <w:rPr>
          <w:rFonts w:ascii="Arial" w:hAnsi="Arial" w:cs="Arial"/>
          <w:sz w:val="22"/>
        </w:rPr>
        <w:t>/</w:t>
      </w:r>
      <w:r>
        <w:rPr>
          <w:rFonts w:hint="eastAsia" w:ascii="Arial" w:hAnsi="Arial" w:cs="Arial"/>
          <w:sz w:val="22"/>
        </w:rPr>
        <w:t>申购比例上限、拒绝大额认购</w:t>
      </w:r>
      <w:r>
        <w:rPr>
          <w:rFonts w:ascii="Arial" w:hAnsi="Arial" w:cs="Arial"/>
          <w:sz w:val="22"/>
        </w:rPr>
        <w:t>/</w:t>
      </w:r>
      <w:r>
        <w:rPr>
          <w:rFonts w:hint="eastAsia" w:ascii="Arial" w:hAnsi="Arial" w:cs="Arial"/>
          <w:sz w:val="22"/>
        </w:rPr>
        <w:t>申购。在此情形下，投资者新增的全部或部分认购</w:t>
      </w:r>
      <w:r>
        <w:rPr>
          <w:rFonts w:ascii="Arial" w:hAnsi="Arial" w:cs="Arial"/>
          <w:sz w:val="22"/>
        </w:rPr>
        <w:t>/</w:t>
      </w:r>
      <w:r>
        <w:rPr>
          <w:rFonts w:hint="eastAsia" w:ascii="Arial" w:hAnsi="Arial" w:cs="Arial"/>
          <w:sz w:val="22"/>
        </w:rPr>
        <w:t>申购申请可能被拒绝。</w:t>
      </w:r>
    </w:p>
    <w:p>
      <w:pPr>
        <w:pStyle w:val="20"/>
        <w:numPr>
          <w:ilvl w:val="0"/>
          <w:numId w:val="30"/>
        </w:numPr>
        <w:spacing w:line="360" w:lineRule="auto"/>
        <w:ind w:left="0" w:firstLine="426" w:firstLineChars="0"/>
        <w:rPr>
          <w:rFonts w:ascii="Arial" w:hAnsi="Arial" w:cs="Arial"/>
          <w:sz w:val="22"/>
        </w:rPr>
      </w:pPr>
      <w:r>
        <w:rPr>
          <w:rFonts w:hint="eastAsia" w:ascii="Arial" w:hAnsi="Arial" w:cs="Arial"/>
          <w:sz w:val="22"/>
        </w:rPr>
        <w:t>延期办理巨额赎回申请、暂停接受赎回申请、延缓支付赎回款项、设置赎回上限。在此情形下，投资者的部分或全部赎回申请可能被拒绝，或者投资者完成赎回时的理财产品份额净值可能与其提交赎回申请时的理财产品份额净值不同，或者投资者接收赎回款项的时间将可能比一般正常情形下有所延迟。</w:t>
      </w:r>
    </w:p>
    <w:p>
      <w:pPr>
        <w:pStyle w:val="20"/>
        <w:numPr>
          <w:ilvl w:val="0"/>
          <w:numId w:val="30"/>
        </w:numPr>
        <w:spacing w:line="360" w:lineRule="auto"/>
        <w:ind w:left="0" w:firstLine="426" w:firstLineChars="0"/>
        <w:rPr>
          <w:rFonts w:ascii="Arial" w:hAnsi="Arial" w:cs="Arial"/>
          <w:sz w:val="22"/>
        </w:rPr>
      </w:pPr>
      <w:r>
        <w:rPr>
          <w:rFonts w:hint="eastAsia" w:ascii="Arial" w:hAnsi="Arial" w:cs="Arial"/>
          <w:sz w:val="22"/>
        </w:rPr>
        <w:t>暂停理财产品估值。在此情形下，投资者没有可供参考的产品份额净值，同时赎回申请可能被暂停接受，或被延缓支付赎回款项。</w:t>
      </w:r>
    </w:p>
    <w:p>
      <w:pPr>
        <w:pStyle w:val="20"/>
        <w:numPr>
          <w:ilvl w:val="0"/>
          <w:numId w:val="30"/>
        </w:numPr>
        <w:spacing w:line="360" w:lineRule="auto"/>
        <w:ind w:left="0" w:firstLine="426" w:firstLineChars="0"/>
        <w:rPr>
          <w:rFonts w:ascii="Arial" w:hAnsi="Arial" w:cs="Arial"/>
          <w:sz w:val="22"/>
        </w:rPr>
      </w:pPr>
      <w:r>
        <w:rPr>
          <w:rFonts w:hint="eastAsia" w:ascii="Arial" w:hAnsi="Arial" w:cs="Arial"/>
          <w:sz w:val="22"/>
        </w:rPr>
        <w:t>收取短期赎回费，对持续持有期少于</w:t>
      </w:r>
      <w:r>
        <w:rPr>
          <w:rFonts w:ascii="Arial" w:hAnsi="Arial" w:cs="Arial"/>
          <w:sz w:val="22"/>
        </w:rPr>
        <w:t>7</w:t>
      </w:r>
      <w:r>
        <w:rPr>
          <w:rFonts w:hint="eastAsia" w:ascii="Arial" w:hAnsi="Arial" w:cs="Arial"/>
          <w:sz w:val="22"/>
        </w:rPr>
        <w:t>日的投资者收取一定比例的赎回费，并全额计入理财财产。在此情形下，投资者在提交赎回申请时，实际赎回金额可能少于按照赎回申请当日理财产品份额净值计算出的赎回金额。若实施收取短期赎回费措施，管理人应于</w:t>
      </w:r>
      <w:r>
        <w:rPr>
          <w:rFonts w:ascii="Arial" w:hAnsi="Arial" w:cs="Arial"/>
          <w:sz w:val="22"/>
        </w:rPr>
        <w:t>3</w:t>
      </w:r>
      <w:r>
        <w:rPr>
          <w:rFonts w:hint="eastAsia" w:ascii="Arial" w:hAnsi="Arial" w:cs="Arial"/>
          <w:sz w:val="22"/>
        </w:rPr>
        <w:t>个交易日内告知本理财产品的相关投资者。</w:t>
      </w:r>
    </w:p>
    <w:p>
      <w:pPr>
        <w:pStyle w:val="20"/>
        <w:numPr>
          <w:ilvl w:val="0"/>
          <w:numId w:val="30"/>
        </w:numPr>
        <w:spacing w:line="360" w:lineRule="auto"/>
        <w:ind w:left="0" w:firstLine="426" w:firstLineChars="0"/>
        <w:rPr>
          <w:rFonts w:ascii="Arial" w:hAnsi="Arial" w:cs="Arial"/>
          <w:sz w:val="22"/>
        </w:rPr>
      </w:pPr>
      <w:r>
        <w:rPr>
          <w:rFonts w:hint="eastAsia" w:ascii="Arial" w:hAnsi="Arial" w:cs="Arial"/>
          <w:sz w:val="22"/>
        </w:rPr>
        <w:t>摆动定价等国家金融监督管理总局允许运用的其他措施。若实施摆动定价措施，管理人应于</w:t>
      </w:r>
      <w:r>
        <w:rPr>
          <w:rFonts w:ascii="Arial" w:hAnsi="Arial" w:cs="Arial"/>
          <w:sz w:val="22"/>
        </w:rPr>
        <w:t>3</w:t>
      </w:r>
      <w:r>
        <w:rPr>
          <w:rFonts w:hint="eastAsia" w:ascii="Arial" w:hAnsi="Arial" w:cs="Arial"/>
          <w:sz w:val="22"/>
        </w:rPr>
        <w:t>个交易日内告知本理财产品的相关投资者。</w:t>
      </w:r>
    </w:p>
    <w:p>
      <w:pPr>
        <w:adjustRightInd w:val="0"/>
        <w:spacing w:line="360" w:lineRule="auto"/>
        <w:ind w:firstLine="440" w:firstLineChars="200"/>
        <w:textAlignment w:val="center"/>
        <w:rPr>
          <w:rFonts w:ascii="Arial" w:hAnsi="Arial" w:cs="Arial"/>
          <w:snapToGrid w:val="0"/>
          <w:color w:val="000000"/>
          <w:sz w:val="22"/>
          <w:szCs w:val="22"/>
        </w:rPr>
      </w:pPr>
      <w:r>
        <w:rPr>
          <w:rFonts w:hint="eastAsia" w:ascii="Arial" w:hAnsi="Arial" w:cs="Arial"/>
          <w:sz w:val="22"/>
        </w:rPr>
        <w:t>理财产品管理人决定运用流动性风险应对措施时，应符合本理财产品说明书的约定并按本理财产品说明书的约定及时向投资者进行信息披露。</w:t>
      </w:r>
    </w:p>
    <w:p>
      <w:pPr>
        <w:pStyle w:val="2"/>
        <w:numPr>
          <w:ilvl w:val="0"/>
          <w:numId w:val="3"/>
        </w:numPr>
        <w:tabs>
          <w:tab w:val="left" w:pos="426"/>
        </w:tabs>
        <w:spacing w:line="240" w:lineRule="auto"/>
        <w:rPr>
          <w:rFonts w:ascii="Arial" w:hAnsi="Arial" w:cs="Arial"/>
          <w:sz w:val="22"/>
          <w:szCs w:val="22"/>
        </w:rPr>
      </w:pPr>
      <w:r>
        <w:rPr>
          <w:rFonts w:ascii="Arial" w:hAnsi="Arial" w:cs="Arial"/>
          <w:sz w:val="22"/>
          <w:szCs w:val="22"/>
        </w:rPr>
        <w:t>其他重要事项说明</w:t>
      </w:r>
    </w:p>
    <w:p>
      <w:pPr>
        <w:pStyle w:val="20"/>
        <w:numPr>
          <w:ilvl w:val="0"/>
          <w:numId w:val="31"/>
        </w:numPr>
        <w:tabs>
          <w:tab w:val="left" w:pos="8647"/>
        </w:tabs>
        <w:adjustRightInd w:val="0"/>
        <w:snapToGrid w:val="0"/>
        <w:spacing w:line="360" w:lineRule="auto"/>
        <w:ind w:firstLineChars="0"/>
        <w:textAlignment w:val="center"/>
        <w:rPr>
          <w:rFonts w:ascii="Arial" w:hAnsi="Arial" w:cs="Arial"/>
          <w:snapToGrid w:val="0"/>
          <w:color w:val="000000"/>
          <w:sz w:val="22"/>
          <w:szCs w:val="22"/>
        </w:rPr>
      </w:pPr>
      <w:r>
        <w:rPr>
          <w:rFonts w:ascii="Arial" w:hAnsi="Arial" w:cs="Arial"/>
          <w:b/>
          <w:snapToGrid w:val="0"/>
          <w:color w:val="000000"/>
          <w:sz w:val="22"/>
          <w:szCs w:val="22"/>
        </w:rPr>
        <w:t>由于投资者原因导致</w:t>
      </w:r>
      <w:r>
        <w:rPr>
          <w:rFonts w:hint="eastAsia" w:ascii="Arial" w:hAnsi="Arial" w:cs="Arial"/>
          <w:b/>
          <w:snapToGrid w:val="0"/>
          <w:color w:val="000000"/>
          <w:sz w:val="22"/>
          <w:szCs w:val="22"/>
        </w:rPr>
        <w:t>管理人</w:t>
      </w:r>
      <w:r>
        <w:rPr>
          <w:rFonts w:ascii="Arial" w:hAnsi="Arial" w:cs="Arial"/>
          <w:b/>
          <w:snapToGrid w:val="0"/>
          <w:color w:val="000000"/>
          <w:sz w:val="22"/>
          <w:szCs w:val="22"/>
        </w:rPr>
        <w:t>终止双方理财关系的情形</w:t>
      </w:r>
    </w:p>
    <w:p>
      <w:pPr>
        <w:pStyle w:val="20"/>
        <w:numPr>
          <w:ilvl w:val="0"/>
          <w:numId w:val="32"/>
        </w:numPr>
        <w:adjustRightInd w:val="0"/>
        <w:snapToGrid w:val="0"/>
        <w:spacing w:line="360" w:lineRule="auto"/>
        <w:ind w:left="0" w:firstLine="440"/>
        <w:textAlignment w:val="center"/>
        <w:rPr>
          <w:rFonts w:ascii="Arial" w:hAnsi="Arial" w:cs="Arial"/>
          <w:snapToGrid w:val="0"/>
          <w:color w:val="000000"/>
          <w:sz w:val="22"/>
          <w:szCs w:val="22"/>
        </w:rPr>
      </w:pPr>
      <w:r>
        <w:rPr>
          <w:rFonts w:ascii="Arial" w:hAnsi="Arial" w:cs="Arial"/>
          <w:snapToGrid w:val="0"/>
          <w:color w:val="000000"/>
          <w:sz w:val="22"/>
          <w:szCs w:val="22"/>
        </w:rPr>
        <w:t>若因投资者原因导致扣款失败，则投资者认购本理财产品失败。</w:t>
      </w:r>
    </w:p>
    <w:p>
      <w:pPr>
        <w:pStyle w:val="20"/>
        <w:numPr>
          <w:ilvl w:val="0"/>
          <w:numId w:val="32"/>
        </w:numPr>
        <w:adjustRightInd w:val="0"/>
        <w:snapToGrid w:val="0"/>
        <w:spacing w:line="360" w:lineRule="auto"/>
        <w:ind w:left="0" w:firstLine="440"/>
        <w:textAlignment w:val="center"/>
        <w:rPr>
          <w:rFonts w:ascii="Arial" w:hAnsi="Arial" w:cs="Arial"/>
          <w:snapToGrid w:val="0"/>
          <w:color w:val="000000"/>
          <w:sz w:val="22"/>
          <w:szCs w:val="22"/>
        </w:rPr>
      </w:pPr>
      <w:r>
        <w:rPr>
          <w:rFonts w:ascii="Arial" w:hAnsi="Arial" w:cs="Arial"/>
          <w:snapToGrid w:val="0"/>
          <w:color w:val="000000"/>
          <w:sz w:val="22"/>
          <w:szCs w:val="22"/>
        </w:rPr>
        <w:t>若投资者的理财资金被有权机关扣划或者采取其它限制权利的措施，则视同投资者违约，</w:t>
      </w:r>
      <w:r>
        <w:rPr>
          <w:rFonts w:hint="eastAsia" w:ascii="Arial" w:hAnsi="Arial" w:cs="Arial"/>
          <w:snapToGrid w:val="0"/>
          <w:color w:val="000000"/>
          <w:sz w:val="22"/>
          <w:szCs w:val="22"/>
        </w:rPr>
        <w:t>管理人</w:t>
      </w:r>
      <w:r>
        <w:rPr>
          <w:rFonts w:ascii="Arial" w:hAnsi="Arial" w:cs="Arial"/>
          <w:snapToGrid w:val="0"/>
          <w:color w:val="000000"/>
          <w:sz w:val="22"/>
          <w:szCs w:val="22"/>
        </w:rPr>
        <w:t>有权扣划或采取其它限制权利的措施之日起终止与该投资者对于本理财产品的理财关系，投资者应自行承担违约导致的损失，如因此造成</w:t>
      </w:r>
      <w:r>
        <w:rPr>
          <w:rFonts w:hint="eastAsia" w:ascii="Arial" w:hAnsi="Arial" w:cs="Arial"/>
          <w:snapToGrid w:val="0"/>
          <w:color w:val="000000"/>
          <w:sz w:val="22"/>
          <w:szCs w:val="22"/>
        </w:rPr>
        <w:t>管理人</w:t>
      </w:r>
      <w:r>
        <w:rPr>
          <w:rFonts w:ascii="Arial" w:hAnsi="Arial" w:cs="Arial"/>
          <w:snapToGrid w:val="0"/>
          <w:color w:val="000000"/>
          <w:sz w:val="22"/>
          <w:szCs w:val="22"/>
        </w:rPr>
        <w:t>损失，投资者应赔偿</w:t>
      </w:r>
      <w:r>
        <w:rPr>
          <w:rFonts w:hint="eastAsia" w:ascii="Arial" w:hAnsi="Arial" w:cs="Arial"/>
          <w:snapToGrid w:val="0"/>
          <w:color w:val="000000"/>
          <w:sz w:val="22"/>
          <w:szCs w:val="22"/>
        </w:rPr>
        <w:t>管理人</w:t>
      </w:r>
      <w:r>
        <w:rPr>
          <w:rFonts w:ascii="Arial" w:hAnsi="Arial" w:cs="Arial"/>
          <w:snapToGrid w:val="0"/>
          <w:color w:val="000000"/>
          <w:sz w:val="22"/>
          <w:szCs w:val="22"/>
        </w:rPr>
        <w:t>损失。</w:t>
      </w:r>
    </w:p>
    <w:p>
      <w:pPr>
        <w:pStyle w:val="20"/>
        <w:numPr>
          <w:ilvl w:val="0"/>
          <w:numId w:val="32"/>
        </w:numPr>
        <w:adjustRightInd w:val="0"/>
        <w:snapToGrid w:val="0"/>
        <w:spacing w:line="360" w:lineRule="auto"/>
        <w:ind w:left="0" w:firstLine="440"/>
        <w:textAlignment w:val="center"/>
        <w:rPr>
          <w:rFonts w:ascii="Arial" w:hAnsi="Arial" w:cs="Arial"/>
          <w:snapToGrid w:val="0"/>
          <w:color w:val="000000"/>
          <w:sz w:val="22"/>
          <w:szCs w:val="22"/>
        </w:rPr>
      </w:pPr>
      <w:r>
        <w:rPr>
          <w:rFonts w:ascii="Arial" w:hAnsi="Arial" w:cs="Arial"/>
          <w:snapToGrid w:val="0"/>
          <w:color w:val="000000"/>
          <w:sz w:val="22"/>
          <w:szCs w:val="22"/>
        </w:rPr>
        <w:t>由于投资者原因导致，在法律允许的范围内</w:t>
      </w:r>
      <w:r>
        <w:rPr>
          <w:rFonts w:hint="eastAsia" w:ascii="Arial" w:hAnsi="Arial" w:cs="Arial"/>
          <w:snapToGrid w:val="0"/>
          <w:color w:val="000000"/>
          <w:sz w:val="22"/>
          <w:szCs w:val="22"/>
        </w:rPr>
        <w:t>管理人</w:t>
      </w:r>
      <w:r>
        <w:rPr>
          <w:rFonts w:ascii="Arial" w:hAnsi="Arial" w:cs="Arial"/>
          <w:snapToGrid w:val="0"/>
          <w:color w:val="000000"/>
          <w:sz w:val="22"/>
          <w:szCs w:val="22"/>
        </w:rPr>
        <w:t>认定必须终止与该投资者对于本理财产品的理财关系的其他情形。</w:t>
      </w:r>
    </w:p>
    <w:p>
      <w:pPr>
        <w:pStyle w:val="20"/>
        <w:numPr>
          <w:ilvl w:val="0"/>
          <w:numId w:val="31"/>
        </w:numPr>
        <w:tabs>
          <w:tab w:val="left" w:pos="8647"/>
        </w:tabs>
        <w:adjustRightInd w:val="0"/>
        <w:snapToGrid w:val="0"/>
        <w:spacing w:line="360" w:lineRule="auto"/>
        <w:ind w:firstLineChars="0"/>
        <w:textAlignment w:val="center"/>
        <w:rPr>
          <w:rFonts w:ascii="Arial" w:hAnsi="Arial" w:cs="Arial"/>
          <w:snapToGrid w:val="0"/>
          <w:color w:val="000000"/>
          <w:sz w:val="22"/>
          <w:szCs w:val="22"/>
        </w:rPr>
      </w:pPr>
      <w:r>
        <w:rPr>
          <w:rFonts w:ascii="Arial" w:hAnsi="Arial" w:cs="Arial"/>
          <w:b/>
          <w:snapToGrid w:val="0"/>
          <w:color w:val="000000"/>
          <w:sz w:val="22"/>
          <w:szCs w:val="22"/>
        </w:rPr>
        <w:t>理财产品</w:t>
      </w:r>
      <w:r>
        <w:rPr>
          <w:rFonts w:hint="eastAsia" w:ascii="Arial" w:hAnsi="Arial" w:cs="Arial"/>
          <w:b/>
          <w:snapToGrid w:val="0"/>
          <w:color w:val="000000"/>
          <w:sz w:val="22"/>
          <w:szCs w:val="22"/>
        </w:rPr>
        <w:t>销售文件</w:t>
      </w:r>
      <w:r>
        <w:rPr>
          <w:rFonts w:ascii="Arial" w:hAnsi="Arial" w:cs="Arial"/>
          <w:b/>
          <w:snapToGrid w:val="0"/>
          <w:color w:val="000000"/>
          <w:sz w:val="22"/>
          <w:szCs w:val="22"/>
        </w:rPr>
        <w:t>违约</w:t>
      </w:r>
    </w:p>
    <w:p>
      <w:pPr>
        <w:pStyle w:val="20"/>
        <w:numPr>
          <w:ilvl w:val="0"/>
          <w:numId w:val="33"/>
        </w:numPr>
        <w:adjustRightInd w:val="0"/>
        <w:snapToGrid w:val="0"/>
        <w:spacing w:line="360" w:lineRule="auto"/>
        <w:ind w:left="0" w:firstLine="440"/>
        <w:textAlignment w:val="center"/>
        <w:rPr>
          <w:rFonts w:ascii="Arial" w:hAnsi="Arial" w:cs="Arial"/>
          <w:b/>
          <w:snapToGrid w:val="0"/>
          <w:color w:val="000000"/>
          <w:sz w:val="22"/>
          <w:szCs w:val="22"/>
        </w:rPr>
      </w:pPr>
      <w:r>
        <w:rPr>
          <w:rFonts w:hint="eastAsia" w:ascii="Arial" w:hAnsi="Arial" w:cs="Arial"/>
          <w:snapToGrid w:val="0"/>
          <w:color w:val="000000"/>
          <w:sz w:val="22"/>
          <w:szCs w:val="22"/>
        </w:rPr>
        <w:t>本</w:t>
      </w:r>
      <w:r>
        <w:rPr>
          <w:rFonts w:ascii="Arial" w:hAnsi="Arial" w:cs="Arial"/>
          <w:snapToGrid w:val="0"/>
          <w:color w:val="000000"/>
          <w:sz w:val="22"/>
          <w:szCs w:val="22"/>
        </w:rPr>
        <w:t>理财产品存续期内，投资者不得以本理财资金设定</w:t>
      </w:r>
      <w:r>
        <w:rPr>
          <w:rFonts w:hint="eastAsia" w:ascii="Arial" w:hAnsi="Arial" w:cs="Arial"/>
          <w:b/>
          <w:snapToGrid w:val="0"/>
          <w:color w:val="000000"/>
          <w:sz w:val="22"/>
          <w:szCs w:val="22"/>
        </w:rPr>
        <w:t>除</w:t>
      </w:r>
      <w:r>
        <w:rPr>
          <w:rFonts w:hint="eastAsia" w:ascii="Arial" w:hAnsi="Arial" w:cs="Arial"/>
          <w:b/>
          <w:snapToGrid w:val="0"/>
          <w:color w:val="000000" w:themeColor="text1"/>
          <w:sz w:val="22"/>
          <w:szCs w:val="22"/>
          <w14:textFill>
            <w14:solidFill>
              <w14:schemeClr w14:val="tx1"/>
            </w14:solidFill>
          </w14:textFill>
        </w:rPr>
        <w:t>销售服务机构或管理人</w:t>
      </w:r>
      <w:r>
        <w:rPr>
          <w:rFonts w:hint="eastAsia" w:ascii="Arial" w:hAnsi="Arial" w:cs="Arial"/>
          <w:b/>
          <w:snapToGrid w:val="0"/>
          <w:color w:val="000000"/>
          <w:sz w:val="22"/>
          <w:szCs w:val="22"/>
        </w:rPr>
        <w:t>外</w:t>
      </w:r>
      <w:r>
        <w:rPr>
          <w:rFonts w:ascii="Arial" w:hAnsi="Arial" w:cs="Arial"/>
          <w:snapToGrid w:val="0"/>
          <w:color w:val="000000"/>
          <w:sz w:val="22"/>
          <w:szCs w:val="22"/>
        </w:rPr>
        <w:t>其他任何第三方权益。如因司法或行政机构采取强制措施导致理财账户内资产的部分或全部被扣划，均被视为投资者违反本理财产品</w:t>
      </w:r>
      <w:r>
        <w:rPr>
          <w:rFonts w:hint="eastAsia" w:ascii="Arial" w:hAnsi="Arial" w:cs="Arial"/>
          <w:snapToGrid w:val="0"/>
          <w:color w:val="000000"/>
          <w:sz w:val="22"/>
          <w:szCs w:val="22"/>
        </w:rPr>
        <w:t>销售文件</w:t>
      </w:r>
      <w:r>
        <w:rPr>
          <w:rFonts w:ascii="Arial" w:hAnsi="Arial" w:cs="Arial"/>
          <w:snapToGrid w:val="0"/>
          <w:color w:val="000000"/>
          <w:sz w:val="22"/>
          <w:szCs w:val="22"/>
        </w:rPr>
        <w:t>，投资者应承担由此造成的全部经济损失。</w:t>
      </w:r>
    </w:p>
    <w:p>
      <w:pPr>
        <w:pStyle w:val="20"/>
        <w:numPr>
          <w:ilvl w:val="0"/>
          <w:numId w:val="33"/>
        </w:numPr>
        <w:adjustRightInd w:val="0"/>
        <w:snapToGrid w:val="0"/>
        <w:spacing w:line="360" w:lineRule="auto"/>
        <w:ind w:left="0" w:firstLine="440"/>
        <w:textAlignment w:val="center"/>
        <w:rPr>
          <w:rFonts w:ascii="Arial" w:hAnsi="Arial" w:cs="Arial"/>
          <w:snapToGrid w:val="0"/>
          <w:color w:val="000000"/>
          <w:sz w:val="22"/>
          <w:szCs w:val="22"/>
        </w:rPr>
      </w:pPr>
      <w:r>
        <w:rPr>
          <w:rFonts w:ascii="Arial" w:hAnsi="Arial" w:cs="Arial"/>
          <w:snapToGrid w:val="0"/>
          <w:color w:val="000000"/>
          <w:sz w:val="22"/>
          <w:szCs w:val="22"/>
        </w:rPr>
        <w:t>若投资者发生违约，给本理财产品或本理财产品下的其他投资者、</w:t>
      </w:r>
      <w:r>
        <w:rPr>
          <w:rFonts w:hint="eastAsia" w:ascii="Arial" w:hAnsi="Arial" w:cs="Arial"/>
          <w:snapToGrid w:val="0"/>
          <w:color w:val="000000"/>
          <w:sz w:val="22"/>
          <w:szCs w:val="22"/>
        </w:rPr>
        <w:t>管理人</w:t>
      </w:r>
      <w:r>
        <w:rPr>
          <w:rFonts w:ascii="Arial" w:hAnsi="Arial" w:cs="Arial"/>
          <w:snapToGrid w:val="0"/>
          <w:color w:val="000000"/>
          <w:sz w:val="22"/>
          <w:szCs w:val="22"/>
        </w:rPr>
        <w:t>造成损失，均由违约投资者承担经济赔偿责任；同时</w:t>
      </w:r>
      <w:r>
        <w:rPr>
          <w:rFonts w:hint="eastAsia" w:ascii="Arial" w:hAnsi="Arial" w:cs="Arial"/>
          <w:snapToGrid w:val="0"/>
          <w:color w:val="000000"/>
          <w:sz w:val="22"/>
          <w:szCs w:val="22"/>
        </w:rPr>
        <w:t>管理人</w:t>
      </w:r>
      <w:r>
        <w:rPr>
          <w:rFonts w:ascii="Arial" w:hAnsi="Arial" w:cs="Arial"/>
          <w:snapToGrid w:val="0"/>
          <w:color w:val="000000"/>
          <w:sz w:val="22"/>
          <w:szCs w:val="22"/>
        </w:rPr>
        <w:t>有权代表本理财产品向责任方依法追偿，追偿所得在扣除追偿费用后计入本理财产品资产。</w:t>
      </w:r>
    </w:p>
    <w:p>
      <w:pPr>
        <w:pStyle w:val="20"/>
        <w:numPr>
          <w:ilvl w:val="0"/>
          <w:numId w:val="33"/>
        </w:numPr>
        <w:adjustRightInd w:val="0"/>
        <w:snapToGrid w:val="0"/>
        <w:spacing w:line="360" w:lineRule="auto"/>
        <w:ind w:left="0" w:firstLine="440"/>
        <w:textAlignment w:val="center"/>
        <w:rPr>
          <w:rFonts w:ascii="Arial" w:hAnsi="Arial" w:cs="Arial"/>
          <w:snapToGrid w:val="0"/>
          <w:color w:val="000000" w:themeColor="text1"/>
          <w:sz w:val="22"/>
          <w:szCs w:val="22"/>
          <w14:textFill>
            <w14:solidFill>
              <w14:schemeClr w14:val="tx1"/>
            </w14:solidFill>
          </w14:textFill>
        </w:rPr>
      </w:pPr>
      <w:r>
        <w:rPr>
          <w:rFonts w:hint="eastAsia" w:ascii="Arial" w:hAnsi="Arial" w:cs="Arial"/>
          <w:snapToGrid w:val="0"/>
          <w:color w:val="000000" w:themeColor="text1"/>
          <w:sz w:val="22"/>
          <w:szCs w:val="22"/>
          <w14:textFill>
            <w14:solidFill>
              <w14:schemeClr w14:val="tx1"/>
            </w14:solidFill>
          </w14:textFill>
        </w:rPr>
        <w:t>本</w:t>
      </w:r>
      <w:r>
        <w:rPr>
          <w:rFonts w:ascii="Arial" w:hAnsi="Arial" w:cs="Arial"/>
          <w:snapToGrid w:val="0"/>
          <w:color w:val="000000" w:themeColor="text1"/>
          <w:sz w:val="22"/>
          <w:szCs w:val="22"/>
          <w14:textFill>
            <w14:solidFill>
              <w14:schemeClr w14:val="tx1"/>
            </w14:solidFill>
          </w14:textFill>
        </w:rPr>
        <w:t>理财产品</w:t>
      </w:r>
      <w:r>
        <w:rPr>
          <w:rFonts w:hint="eastAsia" w:ascii="Arial" w:hAnsi="Arial" w:cs="Arial"/>
          <w:snapToGrid w:val="0"/>
          <w:color w:val="000000" w:themeColor="text1"/>
          <w:sz w:val="22"/>
          <w:szCs w:val="22"/>
          <w14:textFill>
            <w14:solidFill>
              <w14:schemeClr w14:val="tx1"/>
            </w14:solidFill>
          </w14:textFill>
        </w:rPr>
        <w:t>销售文件</w:t>
      </w:r>
      <w:r>
        <w:rPr>
          <w:rFonts w:ascii="Arial" w:hAnsi="Arial" w:cs="Arial"/>
          <w:snapToGrid w:val="0"/>
          <w:color w:val="000000" w:themeColor="text1"/>
          <w:sz w:val="22"/>
          <w:szCs w:val="22"/>
          <w14:textFill>
            <w14:solidFill>
              <w14:schemeClr w14:val="tx1"/>
            </w14:solidFill>
          </w14:textFill>
        </w:rPr>
        <w:t>适用</w:t>
      </w:r>
      <w:r>
        <w:rPr>
          <w:rFonts w:hint="eastAsia" w:ascii="Arial" w:hAnsi="Arial" w:cs="Arial"/>
          <w:snapToGrid w:val="0"/>
          <w:color w:val="000000" w:themeColor="text1"/>
          <w:sz w:val="22"/>
          <w:szCs w:val="22"/>
          <w14:textFill>
            <w14:solidFill>
              <w14:schemeClr w14:val="tx1"/>
            </w14:solidFill>
          </w14:textFill>
        </w:rPr>
        <w:t>中国法律并依据中国法律解释。为本销售文件之目的，中国法律指中华人民共和国大陆地区的法律，不包括香港特别行政区、澳门特别行政区和台湾地区的法律。</w:t>
      </w:r>
    </w:p>
    <w:p>
      <w:pPr>
        <w:pStyle w:val="20"/>
        <w:numPr>
          <w:ilvl w:val="0"/>
          <w:numId w:val="33"/>
        </w:numPr>
        <w:adjustRightInd w:val="0"/>
        <w:snapToGrid w:val="0"/>
        <w:spacing w:line="360" w:lineRule="auto"/>
        <w:ind w:left="0" w:firstLine="440"/>
        <w:textAlignment w:val="center"/>
        <w:rPr>
          <w:rFonts w:ascii="Arial" w:hAnsi="Arial" w:cs="Arial"/>
          <w:snapToGrid w:val="0"/>
          <w:color w:val="000000"/>
          <w:sz w:val="22"/>
          <w:szCs w:val="22"/>
        </w:rPr>
      </w:pPr>
      <w:r>
        <w:rPr>
          <w:rFonts w:hint="eastAsia" w:ascii="Arial" w:hAnsi="Arial" w:cs="Arial"/>
          <w:snapToGrid w:val="0"/>
          <w:color w:val="000000" w:themeColor="text1"/>
          <w:sz w:val="22"/>
          <w:szCs w:val="22"/>
          <w14:textFill>
            <w14:solidFill>
              <w14:schemeClr w14:val="tx1"/>
            </w14:solidFill>
          </w14:textFill>
        </w:rPr>
        <w:t>由本理财产品说明书引起的或与本理财产品说明书有关的，包括本理财产品说明书的效力、无效、违约或终止的任何争议、争论或主张，应由双方协商解决。协商解决不成的，双方应将该等争议、争论或主张提交</w:t>
      </w:r>
      <w:r>
        <w:rPr>
          <w:rFonts w:hint="eastAsia" w:ascii="Arial" w:hAnsi="Arial" w:cs="Arial"/>
          <w:b/>
          <w:snapToGrid w:val="0"/>
          <w:color w:val="000000" w:themeColor="text1"/>
          <w:sz w:val="22"/>
          <w:szCs w:val="22"/>
          <w14:textFill>
            <w14:solidFill>
              <w14:schemeClr w14:val="tx1"/>
            </w14:solidFill>
          </w14:textFill>
        </w:rPr>
        <w:t>深圳国际仲裁院（深圳仲裁委员会）</w:t>
      </w:r>
      <w:r>
        <w:rPr>
          <w:rFonts w:hint="eastAsia" w:ascii="Arial" w:hAnsi="Arial" w:cs="Arial"/>
          <w:snapToGrid w:val="0"/>
          <w:color w:val="000000" w:themeColor="text1"/>
          <w:sz w:val="22"/>
          <w:szCs w:val="22"/>
          <w14:textFill>
            <w14:solidFill>
              <w14:schemeClr w14:val="tx1"/>
            </w14:solidFill>
          </w14:textFill>
        </w:rPr>
        <w:t>仲裁，仲裁地点在深圳。仲裁裁决是终局性的，对双方均有约束力。除非仲裁裁决另有规定，双方为仲裁而实际支付的费用（包括但不限于仲裁费和律师费）由败诉方承担。</w:t>
      </w:r>
    </w:p>
    <w:p>
      <w:pPr>
        <w:pStyle w:val="20"/>
        <w:numPr>
          <w:ilvl w:val="0"/>
          <w:numId w:val="31"/>
        </w:numPr>
        <w:tabs>
          <w:tab w:val="left" w:pos="8647"/>
        </w:tabs>
        <w:adjustRightInd w:val="0"/>
        <w:snapToGrid w:val="0"/>
        <w:spacing w:line="360" w:lineRule="auto"/>
        <w:ind w:firstLineChars="0"/>
        <w:textAlignment w:val="center"/>
        <w:rPr>
          <w:rFonts w:ascii="Arial" w:hAnsi="Arial" w:cs="Arial"/>
          <w:b/>
          <w:snapToGrid w:val="0"/>
          <w:color w:val="000000"/>
          <w:sz w:val="22"/>
          <w:szCs w:val="22"/>
        </w:rPr>
      </w:pPr>
      <w:r>
        <w:rPr>
          <w:rFonts w:ascii="Arial" w:hAnsi="Arial" w:cs="Arial"/>
          <w:b/>
          <w:snapToGrid w:val="0"/>
          <w:color w:val="000000"/>
          <w:sz w:val="22"/>
          <w:szCs w:val="22"/>
        </w:rPr>
        <w:t>保密信息</w:t>
      </w:r>
    </w:p>
    <w:p>
      <w:pPr>
        <w:spacing w:line="360" w:lineRule="auto"/>
        <w:ind w:firstLine="440" w:firstLineChars="200"/>
        <w:rPr>
          <w:rFonts w:ascii="Arial" w:hAnsi="Arial" w:cs="Arial"/>
          <w:sz w:val="22"/>
          <w:szCs w:val="22"/>
        </w:rPr>
      </w:pPr>
      <w:r>
        <w:rPr>
          <w:rFonts w:ascii="Arial" w:hAnsi="Arial" w:cs="Arial"/>
          <w:sz w:val="22"/>
          <w:szCs w:val="22"/>
        </w:rPr>
        <w:t>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理财产品</w:t>
      </w:r>
      <w:r>
        <w:rPr>
          <w:rFonts w:hint="eastAsia" w:ascii="Arial" w:hAnsi="Arial" w:cs="Arial"/>
          <w:sz w:val="22"/>
          <w:szCs w:val="22"/>
        </w:rPr>
        <w:t>销售文件</w:t>
      </w:r>
      <w:r>
        <w:rPr>
          <w:rFonts w:ascii="Arial" w:hAnsi="Arial" w:cs="Arial"/>
          <w:sz w:val="22"/>
          <w:szCs w:val="22"/>
        </w:rPr>
        <w:t>另有约定的。前述保密义务不因本理财产品销售文件或相关协议的无效、被撤销、终止而受影响。</w:t>
      </w:r>
    </w:p>
    <w:p>
      <w:pPr>
        <w:pStyle w:val="2"/>
        <w:numPr>
          <w:ilvl w:val="0"/>
          <w:numId w:val="3"/>
        </w:numPr>
        <w:tabs>
          <w:tab w:val="left" w:pos="426"/>
        </w:tabs>
        <w:spacing w:line="240" w:lineRule="auto"/>
        <w:rPr>
          <w:rFonts w:ascii="Arial" w:hAnsi="Arial" w:cs="Arial"/>
          <w:color w:val="000000"/>
          <w:sz w:val="22"/>
          <w:szCs w:val="22"/>
        </w:rPr>
      </w:pPr>
      <w:r>
        <w:rPr>
          <w:rFonts w:ascii="Arial" w:hAnsi="Arial" w:cs="Arial"/>
          <w:color w:val="000000"/>
          <w:sz w:val="22"/>
          <w:szCs w:val="22"/>
        </w:rPr>
        <w:t>特别提示</w:t>
      </w:r>
    </w:p>
    <w:p>
      <w:pPr>
        <w:spacing w:line="360" w:lineRule="auto"/>
        <w:ind w:firstLine="444" w:firstLineChars="202"/>
        <w:rPr>
          <w:rFonts w:ascii="Arial" w:hAnsi="Arial" w:cs="Arial"/>
          <w:color w:val="000000"/>
          <w:sz w:val="22"/>
          <w:szCs w:val="22"/>
        </w:rPr>
      </w:pPr>
      <w:r>
        <w:rPr>
          <w:rFonts w:ascii="Arial" w:hAnsi="Arial" w:cs="Arial"/>
          <w:color w:val="000000"/>
          <w:sz w:val="22"/>
          <w:szCs w:val="22"/>
        </w:rPr>
        <w:t>针对所有投资者：本理财产品说明书与《</w:t>
      </w:r>
      <w:r>
        <w:rPr>
          <w:rFonts w:hint="eastAsia" w:ascii="Arial" w:hAnsi="Arial" w:cs="Arial"/>
          <w:color w:val="000000"/>
          <w:sz w:val="22"/>
          <w:szCs w:val="22"/>
          <w:lang w:eastAsia="zh-CN"/>
        </w:rPr>
        <w:t>平安理财灵活成长创利日开90天持有2号固收类理财产品</w:t>
      </w:r>
      <w:r>
        <w:rPr>
          <w:rFonts w:ascii="Arial" w:hAnsi="Arial" w:cs="Arial"/>
          <w:color w:val="000000"/>
          <w:sz w:val="22"/>
          <w:szCs w:val="22"/>
        </w:rPr>
        <w:t>风险揭示书》、</w:t>
      </w:r>
      <w:r>
        <w:rPr>
          <w:rFonts w:hint="eastAsia" w:ascii="Arial" w:hAnsi="Arial" w:cs="Arial"/>
          <w:color w:val="000000"/>
          <w:sz w:val="22"/>
          <w:szCs w:val="22"/>
        </w:rPr>
        <w:t>《投资协议书》</w:t>
      </w:r>
      <w:r>
        <w:rPr>
          <w:rFonts w:ascii="Arial" w:hAnsi="Arial" w:cs="Arial"/>
          <w:color w:val="000000"/>
          <w:sz w:val="22"/>
          <w:szCs w:val="22"/>
        </w:rPr>
        <w:t>、《客户权益须知》、《</w:t>
      </w:r>
      <w:r>
        <w:rPr>
          <w:rFonts w:hint="eastAsia" w:ascii="Arial" w:hAnsi="Arial" w:cs="Arial"/>
          <w:color w:val="000000"/>
          <w:sz w:val="22"/>
          <w:szCs w:val="22"/>
        </w:rPr>
        <w:t>代理</w:t>
      </w:r>
      <w:r>
        <w:rPr>
          <w:rFonts w:ascii="Arial" w:hAnsi="Arial" w:cs="Arial"/>
          <w:color w:val="000000"/>
          <w:sz w:val="22"/>
          <w:szCs w:val="22"/>
        </w:rPr>
        <w:t>销售协议书》共同构成</w:t>
      </w:r>
      <w:r>
        <w:rPr>
          <w:rFonts w:hint="eastAsia" w:ascii="Arial" w:hAnsi="Arial" w:cs="Arial"/>
          <w:color w:val="000000"/>
          <w:sz w:val="22"/>
          <w:szCs w:val="22"/>
        </w:rPr>
        <w:t>本理财产品销售文件</w:t>
      </w:r>
      <w:r>
        <w:rPr>
          <w:rFonts w:ascii="Arial" w:hAnsi="Arial" w:cs="Arial"/>
          <w:color w:val="000000"/>
          <w:sz w:val="22"/>
          <w:szCs w:val="22"/>
        </w:rPr>
        <w:t>。</w:t>
      </w:r>
    </w:p>
    <w:p>
      <w:pPr>
        <w:spacing w:line="360" w:lineRule="auto"/>
        <w:ind w:firstLine="444" w:firstLineChars="202"/>
        <w:rPr>
          <w:rFonts w:ascii="Arial" w:hAnsi="Arial" w:cs="Arial"/>
          <w:color w:val="000000"/>
          <w:sz w:val="22"/>
          <w:szCs w:val="22"/>
        </w:rPr>
      </w:pPr>
      <w:r>
        <w:rPr>
          <w:rFonts w:ascii="Arial" w:hAnsi="Arial" w:cs="Arial"/>
          <w:color w:val="000000"/>
          <w:sz w:val="22"/>
          <w:szCs w:val="22"/>
        </w:rPr>
        <w:t>本理财产品说明书为</w:t>
      </w:r>
      <w:r>
        <w:rPr>
          <w:rFonts w:hint="eastAsia" w:ascii="Arial" w:hAnsi="Arial" w:cs="Arial"/>
          <w:color w:val="000000"/>
          <w:sz w:val="22"/>
          <w:szCs w:val="22"/>
        </w:rPr>
        <w:t>《投资协议书》</w:t>
      </w:r>
      <w:r>
        <w:rPr>
          <w:rFonts w:ascii="Arial" w:hAnsi="Arial" w:cs="Arial"/>
          <w:color w:val="000000"/>
          <w:sz w:val="22"/>
          <w:szCs w:val="22"/>
        </w:rPr>
        <w:t>不可分割之组成部分，与</w:t>
      </w:r>
      <w:r>
        <w:rPr>
          <w:rFonts w:hint="eastAsia" w:ascii="Arial" w:hAnsi="Arial" w:cs="Arial"/>
          <w:color w:val="000000"/>
          <w:sz w:val="22"/>
          <w:szCs w:val="22"/>
        </w:rPr>
        <w:t>《投资协议书》</w:t>
      </w:r>
      <w:r>
        <w:rPr>
          <w:rFonts w:ascii="Arial" w:hAnsi="Arial" w:cs="Arial"/>
          <w:color w:val="000000"/>
          <w:sz w:val="22"/>
          <w:szCs w:val="22"/>
        </w:rPr>
        <w:t>不同之处，以本理财产品说明书为准。</w:t>
      </w:r>
    </w:p>
    <w:p>
      <w:pPr>
        <w:spacing w:line="360" w:lineRule="auto"/>
        <w:ind w:firstLine="444" w:firstLineChars="202"/>
        <w:rPr>
          <w:rFonts w:ascii="Arial" w:hAnsi="Arial" w:cs="Arial"/>
          <w:color w:val="000000"/>
          <w:sz w:val="22"/>
          <w:szCs w:val="22"/>
        </w:rPr>
      </w:pPr>
      <w:r>
        <w:rPr>
          <w:rFonts w:ascii="Arial" w:hAnsi="Arial" w:cs="Arial"/>
          <w:color w:val="000000"/>
          <w:sz w:val="22"/>
          <w:szCs w:val="22"/>
        </w:rPr>
        <w:t>本理财产品仅向依据中华人民共和国有关法律法规及本</w:t>
      </w:r>
      <w:r>
        <w:rPr>
          <w:rFonts w:hint="eastAsia" w:ascii="Arial" w:hAnsi="Arial" w:cs="Arial"/>
          <w:color w:val="000000"/>
          <w:sz w:val="22"/>
          <w:szCs w:val="22"/>
        </w:rPr>
        <w:t>理财产品</w:t>
      </w:r>
      <w:r>
        <w:rPr>
          <w:rFonts w:ascii="Arial" w:hAnsi="Arial" w:cs="Arial"/>
          <w:color w:val="000000"/>
          <w:sz w:val="22"/>
          <w:szCs w:val="22"/>
        </w:rPr>
        <w:t>说明书规定可以购买本理财产品的投资者发售。</w:t>
      </w:r>
    </w:p>
    <w:p>
      <w:pPr>
        <w:spacing w:line="360" w:lineRule="auto"/>
        <w:ind w:firstLine="444" w:firstLineChars="202"/>
        <w:rPr>
          <w:rFonts w:ascii="Arial" w:hAnsi="Arial" w:cs="Arial"/>
          <w:color w:val="000000"/>
          <w:sz w:val="22"/>
          <w:szCs w:val="22"/>
        </w:rPr>
      </w:pPr>
      <w:r>
        <w:rPr>
          <w:rFonts w:ascii="Arial" w:hAnsi="Arial" w:cs="Arial"/>
          <w:color w:val="000000"/>
          <w:sz w:val="22"/>
          <w:szCs w:val="22"/>
        </w:rPr>
        <w:t>在购买本理财产品前，请投资者确保完全了解本理财产品的性质、其中涉及的风险以及投资者的自身情况。</w:t>
      </w:r>
    </w:p>
    <w:p>
      <w:pPr>
        <w:spacing w:line="360" w:lineRule="auto"/>
        <w:ind w:firstLine="446" w:firstLineChars="202"/>
        <w:rPr>
          <w:rFonts w:ascii="Arial" w:hAnsi="Arial" w:cs="Arial"/>
          <w:b/>
          <w:color w:val="000000"/>
          <w:sz w:val="22"/>
          <w:szCs w:val="22"/>
        </w:rPr>
      </w:pPr>
      <w:r>
        <w:rPr>
          <w:rFonts w:ascii="Arial" w:hAnsi="Arial" w:cs="Arial"/>
          <w:b/>
          <w:color w:val="000000"/>
          <w:sz w:val="22"/>
          <w:szCs w:val="22"/>
        </w:rPr>
        <w:t>本理财产品说明书中任何其他收益表述均属不具有法律约束力的用语，不代表投资者可能获得的实际收益，亦不构成</w:t>
      </w:r>
      <w:r>
        <w:rPr>
          <w:rFonts w:hint="eastAsia" w:ascii="Arial" w:hAnsi="Arial" w:cs="Arial"/>
          <w:b/>
          <w:color w:val="000000"/>
          <w:sz w:val="22"/>
          <w:szCs w:val="22"/>
        </w:rPr>
        <w:t>管理人</w:t>
      </w:r>
      <w:r>
        <w:rPr>
          <w:rFonts w:ascii="Arial" w:hAnsi="Arial" w:cs="Arial"/>
          <w:b/>
          <w:color w:val="000000"/>
          <w:sz w:val="22"/>
          <w:szCs w:val="22"/>
        </w:rPr>
        <w:t>对本理财产品的额外收益承诺。</w:t>
      </w:r>
    </w:p>
    <w:p>
      <w:pPr>
        <w:spacing w:line="360" w:lineRule="auto"/>
        <w:ind w:firstLine="444" w:firstLineChars="202"/>
        <w:rPr>
          <w:rFonts w:ascii="Arial" w:hAnsi="Arial" w:cs="Arial"/>
          <w:color w:val="000000"/>
          <w:sz w:val="22"/>
          <w:szCs w:val="22"/>
        </w:rPr>
      </w:pPr>
      <w:r>
        <w:rPr>
          <w:rFonts w:ascii="Arial" w:hAnsi="Arial" w:cs="Arial"/>
          <w:color w:val="000000"/>
          <w:sz w:val="22"/>
          <w:szCs w:val="22"/>
        </w:rPr>
        <w:t>本理财产品只根据本理财产品说明书所载的内容操作。</w:t>
      </w:r>
    </w:p>
    <w:p>
      <w:pPr>
        <w:spacing w:line="360" w:lineRule="auto"/>
        <w:ind w:firstLine="446" w:firstLineChars="202"/>
        <w:rPr>
          <w:rFonts w:ascii="Arial" w:hAnsi="Arial" w:cs="Arial"/>
          <w:b/>
          <w:color w:val="000000"/>
          <w:sz w:val="22"/>
          <w:szCs w:val="22"/>
        </w:rPr>
      </w:pPr>
      <w:r>
        <w:rPr>
          <w:rFonts w:ascii="Arial" w:hAnsi="Arial" w:cs="Arial"/>
          <w:b/>
          <w:color w:val="000000"/>
          <w:sz w:val="22"/>
          <w:szCs w:val="22"/>
        </w:rPr>
        <w:t>本理财产品不等同于银行存款。</w:t>
      </w:r>
    </w:p>
    <w:p>
      <w:pPr>
        <w:spacing w:line="360" w:lineRule="auto"/>
        <w:ind w:firstLine="444" w:firstLineChars="202"/>
        <w:rPr>
          <w:rFonts w:ascii="Arial" w:hAnsi="Arial" w:cs="Arial"/>
          <w:color w:val="000000"/>
          <w:sz w:val="22"/>
          <w:szCs w:val="22"/>
        </w:rPr>
      </w:pPr>
      <w:r>
        <w:rPr>
          <w:rFonts w:ascii="Arial" w:hAnsi="Arial" w:cs="Arial"/>
          <w:color w:val="000000"/>
          <w:sz w:val="22"/>
          <w:szCs w:val="22"/>
        </w:rPr>
        <w:t>如投资者对本理财产品说明书存在任何意见或建议，投资者</w:t>
      </w:r>
      <w:r>
        <w:rPr>
          <w:rFonts w:hint="eastAsia" w:ascii="Arial" w:hAnsi="Arial" w:cs="Arial"/>
          <w:color w:val="000000"/>
          <w:sz w:val="22"/>
          <w:szCs w:val="22"/>
        </w:rPr>
        <w:t>可通过《代理</w:t>
      </w:r>
      <w:r>
        <w:rPr>
          <w:rFonts w:ascii="Arial" w:hAnsi="Arial" w:cs="Arial"/>
          <w:color w:val="000000"/>
          <w:sz w:val="22"/>
          <w:szCs w:val="22"/>
        </w:rPr>
        <w:t>销售协议书</w:t>
      </w:r>
      <w:r>
        <w:rPr>
          <w:rFonts w:hint="eastAsia" w:ascii="Arial" w:hAnsi="Arial" w:cs="Arial"/>
          <w:color w:val="000000"/>
          <w:sz w:val="22"/>
          <w:szCs w:val="22"/>
        </w:rPr>
        <w:t>》披露的方式</w:t>
      </w:r>
      <w:r>
        <w:rPr>
          <w:rFonts w:ascii="Arial" w:hAnsi="Arial" w:cs="Arial"/>
          <w:color w:val="000000"/>
          <w:sz w:val="22"/>
          <w:szCs w:val="22"/>
        </w:rPr>
        <w:t>进行咨询或投诉。</w:t>
      </w:r>
    </w:p>
    <w:p>
      <w:pPr>
        <w:adjustRightInd w:val="0"/>
        <w:snapToGrid w:val="0"/>
        <w:spacing w:line="360" w:lineRule="auto"/>
        <w:textAlignment w:val="center"/>
        <w:rPr>
          <w:rFonts w:ascii="Arial" w:hAnsi="Arial" w:cs="Arial"/>
          <w:snapToGrid w:val="0"/>
          <w:color w:val="000000"/>
          <w:sz w:val="22"/>
          <w:szCs w:val="22"/>
        </w:rPr>
      </w:pPr>
    </w:p>
    <w:p>
      <w:pPr>
        <w:tabs>
          <w:tab w:val="left" w:pos="8647"/>
        </w:tabs>
        <w:adjustRightInd w:val="0"/>
        <w:snapToGrid w:val="0"/>
        <w:spacing w:line="360" w:lineRule="auto"/>
        <w:rPr>
          <w:rFonts w:ascii="Arial" w:hAnsi="Arial" w:cs="Arial"/>
          <w:snapToGrid w:val="0"/>
          <w:color w:val="000000"/>
          <w:sz w:val="22"/>
          <w:szCs w:val="22"/>
        </w:rPr>
      </w:pPr>
      <w:r>
        <w:rPr>
          <w:rFonts w:ascii="Arial" w:hAnsi="Arial" w:cs="Arial"/>
          <w:snapToGrid w:val="0"/>
          <w:color w:val="000000"/>
          <w:sz w:val="22"/>
          <w:szCs w:val="22"/>
        </w:rPr>
        <w:t>―――――――――――――――――――――――――――――――――――――</w:t>
      </w:r>
    </w:p>
    <w:p>
      <w:pPr>
        <w:adjustRightInd w:val="0"/>
        <w:snapToGrid w:val="0"/>
        <w:spacing w:line="360" w:lineRule="auto"/>
        <w:rPr>
          <w:rFonts w:ascii="Arial" w:hAnsi="Arial" w:cs="Arial"/>
          <w:b/>
          <w:bCs/>
          <w:color w:val="000000"/>
          <w:kern w:val="0"/>
          <w:sz w:val="22"/>
          <w:szCs w:val="22"/>
        </w:rPr>
      </w:pPr>
      <w:r>
        <w:rPr>
          <w:rFonts w:ascii="Arial" w:hAnsi="Arial" w:cs="Arial"/>
          <w:b/>
          <w:bCs/>
          <w:color w:val="000000"/>
          <w:kern w:val="0"/>
          <w:sz w:val="22"/>
          <w:szCs w:val="22"/>
        </w:rPr>
        <w:t>本理财产品投资者已阅读并领取《</w:t>
      </w:r>
      <w:r>
        <w:rPr>
          <w:rFonts w:hint="eastAsia" w:ascii="Arial" w:hAnsi="Arial" w:cs="Arial"/>
          <w:b/>
          <w:bCs/>
          <w:color w:val="000000"/>
          <w:kern w:val="0"/>
          <w:sz w:val="22"/>
          <w:szCs w:val="22"/>
          <w:lang w:eastAsia="zh-CN"/>
        </w:rPr>
        <w:t>平安理财灵活成长创利日开90天持有2号固收类理财产品</w:t>
      </w:r>
      <w:r>
        <w:rPr>
          <w:rFonts w:ascii="Arial" w:hAnsi="Arial" w:cs="Arial"/>
          <w:b/>
          <w:bCs/>
          <w:color w:val="000000"/>
          <w:kern w:val="0"/>
          <w:sz w:val="22"/>
          <w:szCs w:val="22"/>
        </w:rPr>
        <w:t>说明书》，充分了解本理财产品的收益和风险，自愿购买。</w:t>
      </w:r>
    </w:p>
    <w:p>
      <w:pPr>
        <w:adjustRightInd w:val="0"/>
        <w:snapToGrid w:val="0"/>
        <w:spacing w:line="360" w:lineRule="auto"/>
        <w:ind w:firstLine="442" w:firstLineChars="200"/>
        <w:textAlignment w:val="center"/>
        <w:rPr>
          <w:rFonts w:ascii="Arial" w:hAnsi="Arial" w:cs="Arial"/>
          <w:snapToGrid w:val="0"/>
          <w:color w:val="000000"/>
          <w:sz w:val="22"/>
          <w:szCs w:val="22"/>
        </w:rPr>
      </w:pPr>
      <w:r>
        <w:rPr>
          <w:rFonts w:ascii="Arial" w:hAnsi="Arial" w:cs="Arial"/>
          <w:b/>
          <w:bCs/>
          <w:color w:val="000000"/>
          <w:kern w:val="0"/>
          <w:sz w:val="22"/>
          <w:szCs w:val="22"/>
        </w:rPr>
        <w:t xml:space="preserve">投资者签字：                     </w:t>
      </w:r>
      <w:r>
        <w:rPr>
          <w:rFonts w:ascii="Arial" w:hAnsi="Arial" w:cs="Arial"/>
          <w:b/>
          <w:bCs/>
          <w:color w:val="000000"/>
          <w:kern w:val="0"/>
          <w:sz w:val="24"/>
        </w:rPr>
        <w:t xml:space="preserve">      </w:t>
      </w:r>
      <w:r>
        <w:rPr>
          <w:rFonts w:ascii="Arial" w:hAnsi="Arial" w:cs="Arial"/>
          <w:b/>
          <w:bCs/>
          <w:color w:val="000000"/>
          <w:kern w:val="0"/>
          <w:sz w:val="22"/>
          <w:szCs w:val="22"/>
        </w:rPr>
        <w:t xml:space="preserve"> </w:t>
      </w:r>
      <w:r>
        <w:rPr>
          <w:rFonts w:hint="eastAsia" w:ascii="Arial" w:hAnsi="Arial" w:cs="Arial"/>
          <w:b/>
          <w:bCs/>
          <w:color w:val="000000"/>
          <w:kern w:val="0"/>
          <w:sz w:val="22"/>
          <w:szCs w:val="22"/>
        </w:rPr>
        <w:t>日期：</w:t>
      </w:r>
      <w:r>
        <w:rPr>
          <w:rFonts w:ascii="Arial" w:hAnsi="Arial" w:cs="Arial"/>
          <w:b/>
          <w:bCs/>
          <w:color w:val="000000"/>
          <w:kern w:val="0"/>
          <w:sz w:val="24"/>
        </w:rPr>
        <w:t xml:space="preserve">  </w:t>
      </w:r>
      <w:r>
        <w:rPr>
          <w:rFonts w:ascii="Arial" w:hAnsi="Arial" w:eastAsia="仿宋_GB2312" w:cs="Arial"/>
          <w:b/>
          <w:bCs/>
          <w:color w:val="000000"/>
          <w:kern w:val="0"/>
          <w:sz w:val="24"/>
        </w:rPr>
        <w:t xml:space="preserve"> </w:t>
      </w:r>
    </w:p>
    <w:sectPr>
      <w:footerReference r:id="rId3" w:type="default"/>
      <w:footerReference r:id="rId4" w:type="even"/>
      <w:pgSz w:w="11906" w:h="16838"/>
      <w:pgMar w:top="1440" w:right="1701"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PUA">
    <w:panose1 w:val="02010600030101010101"/>
    <w:charset w:val="86"/>
    <w:family w:val="roman"/>
    <w:pitch w:val="default"/>
    <w:sig w:usb0="00000000" w:usb1="1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175508"/>
      <w:docPartObj>
        <w:docPartGallery w:val="autotext"/>
      </w:docPartObj>
    </w:sdtPr>
    <w:sdtContent>
      <w:sdt>
        <w:sdtPr>
          <w:id w:val="-1705238520"/>
          <w:docPartObj>
            <w:docPartGallery w:val="autotext"/>
          </w:docPartObj>
        </w:sdtPr>
        <w:sdtContent>
          <w:p>
            <w:pPr>
              <w:pStyle w:val="5"/>
              <w:jc w:val="center"/>
            </w:pPr>
            <w:r>
              <w:rPr>
                <w:rFonts w:ascii="Arial" w:hAnsi="Arial" w:cs="Arial"/>
                <w:lang w:val="zh-CN"/>
              </w:rPr>
              <w:t xml:space="preserve"> </w:t>
            </w:r>
            <w:r>
              <w:rPr>
                <w:rFonts w:ascii="Arial" w:hAnsi="Arial" w:cs="Arial"/>
                <w:b/>
                <w:bCs/>
                <w:sz w:val="24"/>
                <w:szCs w:val="24"/>
              </w:rPr>
              <w:fldChar w:fldCharType="begin"/>
            </w:r>
            <w:r>
              <w:rPr>
                <w:rFonts w:ascii="Arial" w:hAnsi="Arial" w:cs="Arial"/>
                <w:b/>
                <w:bCs/>
              </w:rPr>
              <w:instrText xml:space="preserve">PAGE</w:instrText>
            </w:r>
            <w:r>
              <w:rPr>
                <w:rFonts w:ascii="Arial" w:hAnsi="Arial" w:cs="Arial"/>
                <w:b/>
                <w:bCs/>
                <w:sz w:val="24"/>
                <w:szCs w:val="24"/>
              </w:rPr>
              <w:fldChar w:fldCharType="separate"/>
            </w:r>
            <w:r>
              <w:rPr>
                <w:rFonts w:ascii="Arial" w:hAnsi="Arial" w:cs="Arial"/>
                <w:b/>
                <w:bCs/>
              </w:rPr>
              <w:t>21</w:t>
            </w:r>
            <w:r>
              <w:rPr>
                <w:rFonts w:ascii="Arial" w:hAnsi="Arial" w:cs="Arial"/>
                <w:b/>
                <w:bCs/>
                <w:sz w:val="24"/>
                <w:szCs w:val="24"/>
              </w:rPr>
              <w:fldChar w:fldCharType="end"/>
            </w:r>
            <w:r>
              <w:rPr>
                <w:rFonts w:ascii="Arial" w:hAnsi="Arial" w:cs="Arial"/>
                <w:lang w:val="zh-CN"/>
              </w:rPr>
              <w:t xml:space="preserve"> / </w:t>
            </w:r>
            <w:r>
              <w:rPr>
                <w:rFonts w:ascii="Arial" w:hAnsi="Arial" w:cs="Arial"/>
                <w:b/>
                <w:bCs/>
                <w:sz w:val="24"/>
                <w:szCs w:val="24"/>
              </w:rPr>
              <w:fldChar w:fldCharType="begin"/>
            </w:r>
            <w:r>
              <w:rPr>
                <w:rFonts w:ascii="Arial" w:hAnsi="Arial" w:cs="Arial"/>
                <w:b/>
                <w:bCs/>
              </w:rPr>
              <w:instrText xml:space="preserve">NUMPAGES</w:instrText>
            </w:r>
            <w:r>
              <w:rPr>
                <w:rFonts w:ascii="Arial" w:hAnsi="Arial" w:cs="Arial"/>
                <w:b/>
                <w:bCs/>
                <w:sz w:val="24"/>
                <w:szCs w:val="24"/>
              </w:rPr>
              <w:fldChar w:fldCharType="separate"/>
            </w:r>
            <w:r>
              <w:rPr>
                <w:rFonts w:ascii="Arial" w:hAnsi="Arial" w:cs="Arial"/>
                <w:b/>
                <w:bCs/>
              </w:rPr>
              <w:t>32</w:t>
            </w:r>
            <w:r>
              <w:rPr>
                <w:rFonts w:ascii="Arial" w:hAnsi="Arial" w:cs="Arial"/>
                <w:b/>
                <w:bCs/>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D41BE"/>
    <w:multiLevelType w:val="multilevel"/>
    <w:tmpl w:val="04DD41BE"/>
    <w:lvl w:ilvl="0" w:tentative="0">
      <w:start w:val="1"/>
      <w:numFmt w:val="decimal"/>
      <w:lvlText w:val="%1）"/>
      <w:lvlJc w:val="left"/>
      <w:pPr>
        <w:ind w:left="844" w:hanging="420"/>
      </w:pPr>
      <w:rPr>
        <w:rFonts w:hint="default" w:ascii="Arial" w:hAnsi="Arial" w:eastAsia="宋体" w:cs="Arial"/>
        <w:b w:val="0"/>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05CD45D9"/>
    <w:multiLevelType w:val="multilevel"/>
    <w:tmpl w:val="05CD45D9"/>
    <w:lvl w:ilvl="0" w:tentative="0">
      <w:start w:val="1"/>
      <w:numFmt w:val="decimal"/>
      <w:lvlText w:val="%1）"/>
      <w:lvlJc w:val="left"/>
      <w:pPr>
        <w:ind w:left="846" w:hanging="420"/>
      </w:pPr>
      <w:rPr>
        <w:rFonts w:hint="default" w:ascii="Arial" w:hAnsi="Arial" w:eastAsia="宋体" w:cs="Arial"/>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07E45C84"/>
    <w:multiLevelType w:val="multilevel"/>
    <w:tmpl w:val="07E45C84"/>
    <w:lvl w:ilvl="0" w:tentative="0">
      <w:start w:val="1"/>
      <w:numFmt w:val="decimal"/>
      <w:suff w:val="space"/>
      <w:lvlText w:val="（%1）"/>
      <w:lvlJc w:val="left"/>
      <w:pPr>
        <w:ind w:left="703" w:hanging="420"/>
      </w:pPr>
      <w:rPr>
        <w:rFonts w:hint="default" w:ascii="Arial" w:hAnsi="Arial" w:eastAsia="宋体" w:cs="Arial"/>
        <w:b w:val="0"/>
        <w:i w:val="0"/>
        <w:strike w:val="0"/>
        <w:dstrike w:val="0"/>
        <w:color w:val="000000"/>
        <w:sz w:val="22"/>
        <w:szCs w:val="22"/>
        <w:u w:val="none" w:color="000000"/>
        <w:vertAlign w:val="baseline"/>
        <w:lang w:val="en-US"/>
      </w:rPr>
    </w:lvl>
    <w:lvl w:ilvl="1" w:tentative="0">
      <w:start w:val="1"/>
      <w:numFmt w:val="lowerLetter"/>
      <w:lvlText w:val="%2)"/>
      <w:lvlJc w:val="left"/>
      <w:pPr>
        <w:ind w:left="697" w:hanging="420"/>
      </w:pPr>
    </w:lvl>
    <w:lvl w:ilvl="2" w:tentative="0">
      <w:start w:val="1"/>
      <w:numFmt w:val="lowerRoman"/>
      <w:lvlText w:val="%3."/>
      <w:lvlJc w:val="right"/>
      <w:pPr>
        <w:ind w:left="1117" w:hanging="420"/>
      </w:pPr>
    </w:lvl>
    <w:lvl w:ilvl="3" w:tentative="0">
      <w:start w:val="1"/>
      <w:numFmt w:val="decimal"/>
      <w:lvlText w:val="%4."/>
      <w:lvlJc w:val="left"/>
      <w:pPr>
        <w:ind w:left="1537" w:hanging="420"/>
      </w:pPr>
    </w:lvl>
    <w:lvl w:ilvl="4" w:tentative="0">
      <w:start w:val="1"/>
      <w:numFmt w:val="lowerLetter"/>
      <w:lvlText w:val="%5)"/>
      <w:lvlJc w:val="left"/>
      <w:pPr>
        <w:ind w:left="1957" w:hanging="420"/>
      </w:pPr>
    </w:lvl>
    <w:lvl w:ilvl="5" w:tentative="0">
      <w:start w:val="1"/>
      <w:numFmt w:val="lowerRoman"/>
      <w:lvlText w:val="%6."/>
      <w:lvlJc w:val="right"/>
      <w:pPr>
        <w:ind w:left="2377" w:hanging="420"/>
      </w:pPr>
    </w:lvl>
    <w:lvl w:ilvl="6" w:tentative="0">
      <w:start w:val="1"/>
      <w:numFmt w:val="decimal"/>
      <w:lvlText w:val="%7."/>
      <w:lvlJc w:val="left"/>
      <w:pPr>
        <w:ind w:left="2797" w:hanging="420"/>
      </w:pPr>
    </w:lvl>
    <w:lvl w:ilvl="7" w:tentative="0">
      <w:start w:val="1"/>
      <w:numFmt w:val="lowerLetter"/>
      <w:lvlText w:val="%8)"/>
      <w:lvlJc w:val="left"/>
      <w:pPr>
        <w:ind w:left="3217" w:hanging="420"/>
      </w:pPr>
    </w:lvl>
    <w:lvl w:ilvl="8" w:tentative="0">
      <w:start w:val="1"/>
      <w:numFmt w:val="lowerRoman"/>
      <w:lvlText w:val="%9."/>
      <w:lvlJc w:val="right"/>
      <w:pPr>
        <w:ind w:left="3637" w:hanging="420"/>
      </w:pPr>
    </w:lvl>
  </w:abstractNum>
  <w:abstractNum w:abstractNumId="3">
    <w:nsid w:val="1072063C"/>
    <w:multiLevelType w:val="multilevel"/>
    <w:tmpl w:val="1072063C"/>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4">
    <w:nsid w:val="118E1C9F"/>
    <w:multiLevelType w:val="multilevel"/>
    <w:tmpl w:val="118E1C9F"/>
    <w:lvl w:ilvl="0" w:tentative="0">
      <w:start w:val="1"/>
      <w:numFmt w:val="decimal"/>
      <w:suff w:val="space"/>
      <w:lvlText w:val="（%1）"/>
      <w:lvlJc w:val="left"/>
      <w:pPr>
        <w:ind w:left="846" w:hanging="420"/>
      </w:pPr>
      <w:rPr>
        <w:rFonts w:hint="default" w:ascii="Arial" w:hAnsi="Arial" w:eastAsia="宋体" w:cs="Arial"/>
        <w:b w:val="0"/>
        <w:i w:val="0"/>
        <w:strike w:val="0"/>
        <w:dstrike w:val="0"/>
        <w:color w:val="000000"/>
        <w:sz w:val="22"/>
        <w:szCs w:val="22"/>
        <w:u w:val="none" w:color="000000"/>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714EAF"/>
    <w:multiLevelType w:val="multilevel"/>
    <w:tmpl w:val="15714EAF"/>
    <w:lvl w:ilvl="0" w:tentative="0">
      <w:start w:val="1"/>
      <w:numFmt w:val="decimal"/>
      <w:suff w:val="space"/>
      <w:lvlText w:val="（%1）"/>
      <w:lvlJc w:val="left"/>
      <w:pPr>
        <w:ind w:left="780" w:hanging="420"/>
      </w:pPr>
      <w:rPr>
        <w:rFonts w:hint="default" w:ascii="Arial" w:hAnsi="Arial" w:eastAsia="宋体" w:cs="Arial"/>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54321B"/>
    <w:multiLevelType w:val="multilevel"/>
    <w:tmpl w:val="1754321B"/>
    <w:lvl w:ilvl="0" w:tentative="0">
      <w:start w:val="1"/>
      <w:numFmt w:val="decimal"/>
      <w:lvlText w:val="%1）"/>
      <w:lvlJc w:val="left"/>
      <w:pPr>
        <w:ind w:left="704" w:hanging="420"/>
      </w:pPr>
      <w:rPr>
        <w:rFonts w:hint="default"/>
        <w:b w:val="0"/>
        <w:i w:val="0"/>
        <w:strike w:val="0"/>
        <w:dstrike w:val="0"/>
        <w:color w:val="000000"/>
        <w:sz w:val="22"/>
        <w:szCs w:val="22"/>
        <w:u w:val="none" w:color="000000"/>
        <w:shd w:val="clear" w:color="auto" w:fill="auto"/>
        <w:vertAlign w:val="baseline"/>
        <w:lang w:val="en-US"/>
      </w:rPr>
    </w:lvl>
    <w:lvl w:ilvl="1" w:tentative="0">
      <w:start w:val="1"/>
      <w:numFmt w:val="lowerLetter"/>
      <w:lvlText w:val="%2)"/>
      <w:lvlJc w:val="left"/>
      <w:pPr>
        <w:ind w:left="1293" w:hanging="420"/>
      </w:pPr>
    </w:lvl>
    <w:lvl w:ilvl="2" w:tentative="0">
      <w:start w:val="1"/>
      <w:numFmt w:val="lowerRoman"/>
      <w:lvlText w:val="%3."/>
      <w:lvlJc w:val="right"/>
      <w:pPr>
        <w:ind w:left="1713" w:hanging="420"/>
      </w:pPr>
    </w:lvl>
    <w:lvl w:ilvl="3" w:tentative="0">
      <w:start w:val="1"/>
      <w:numFmt w:val="decimal"/>
      <w:lvlText w:val="%4."/>
      <w:lvlJc w:val="left"/>
      <w:pPr>
        <w:ind w:left="2133" w:hanging="420"/>
      </w:pPr>
    </w:lvl>
    <w:lvl w:ilvl="4" w:tentative="0">
      <w:start w:val="1"/>
      <w:numFmt w:val="lowerLetter"/>
      <w:lvlText w:val="%5)"/>
      <w:lvlJc w:val="left"/>
      <w:pPr>
        <w:ind w:left="2553" w:hanging="420"/>
      </w:pPr>
    </w:lvl>
    <w:lvl w:ilvl="5" w:tentative="0">
      <w:start w:val="1"/>
      <w:numFmt w:val="lowerRoman"/>
      <w:lvlText w:val="%6."/>
      <w:lvlJc w:val="right"/>
      <w:pPr>
        <w:ind w:left="2973" w:hanging="420"/>
      </w:pPr>
    </w:lvl>
    <w:lvl w:ilvl="6" w:tentative="0">
      <w:start w:val="1"/>
      <w:numFmt w:val="decimal"/>
      <w:lvlText w:val="%7."/>
      <w:lvlJc w:val="left"/>
      <w:pPr>
        <w:ind w:left="3393" w:hanging="420"/>
      </w:pPr>
    </w:lvl>
    <w:lvl w:ilvl="7" w:tentative="0">
      <w:start w:val="1"/>
      <w:numFmt w:val="lowerLetter"/>
      <w:lvlText w:val="%8)"/>
      <w:lvlJc w:val="left"/>
      <w:pPr>
        <w:ind w:left="3813" w:hanging="420"/>
      </w:pPr>
    </w:lvl>
    <w:lvl w:ilvl="8" w:tentative="0">
      <w:start w:val="1"/>
      <w:numFmt w:val="lowerRoman"/>
      <w:lvlText w:val="%9."/>
      <w:lvlJc w:val="right"/>
      <w:pPr>
        <w:ind w:left="4233" w:hanging="420"/>
      </w:pPr>
    </w:lvl>
  </w:abstractNum>
  <w:abstractNum w:abstractNumId="7">
    <w:nsid w:val="199821F9"/>
    <w:multiLevelType w:val="multilevel"/>
    <w:tmpl w:val="199821F9"/>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8">
    <w:nsid w:val="1F29326D"/>
    <w:multiLevelType w:val="multilevel"/>
    <w:tmpl w:val="1F29326D"/>
    <w:lvl w:ilvl="0" w:tentative="0">
      <w:start w:val="1"/>
      <w:numFmt w:val="decimal"/>
      <w:lvlText w:val="%1."/>
      <w:lvlJc w:val="left"/>
      <w:pPr>
        <w:ind w:left="987" w:hanging="420"/>
      </w:pPr>
      <w:rPr>
        <w:rFonts w:hint="default" w:ascii="Arial" w:hAnsi="Arial" w:cs="Arial"/>
        <w:b/>
        <w:i w:val="0"/>
        <w:strike w:val="0"/>
        <w:dstrike w:val="0"/>
        <w:color w:val="000000"/>
        <w:sz w:val="22"/>
        <w:szCs w:val="22"/>
        <w:u w:val="none" w:color="000000"/>
        <w:vertAlign w:val="baseline"/>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230476DD"/>
    <w:multiLevelType w:val="multilevel"/>
    <w:tmpl w:val="230476DD"/>
    <w:lvl w:ilvl="0" w:tentative="0">
      <w:start w:val="1"/>
      <w:numFmt w:val="decimal"/>
      <w:lvlText w:val="（%1）"/>
      <w:lvlJc w:val="left"/>
      <w:pPr>
        <w:ind w:left="563" w:hanging="420"/>
      </w:pPr>
      <w:rPr>
        <w:rFonts w:hint="default" w:ascii="Arial" w:hAnsi="Arial" w:eastAsia="宋体" w:cs="Arial"/>
        <w:b w:val="0"/>
        <w:i w:val="0"/>
        <w:strike w:val="0"/>
        <w:dstrike w:val="0"/>
        <w:color w:val="000000"/>
        <w:sz w:val="22"/>
        <w:szCs w:val="22"/>
        <w:u w:val="none" w:color="000000"/>
        <w:vertAlign w:val="baseline"/>
      </w:rPr>
    </w:lvl>
    <w:lvl w:ilvl="1" w:tentative="0">
      <w:start w:val="4"/>
      <w:numFmt w:val="decimal"/>
      <w:lvlText w:val="%2、"/>
      <w:lvlJc w:val="left"/>
      <w:pPr>
        <w:ind w:left="923" w:hanging="360"/>
      </w:pPr>
      <w:rPr>
        <w:rFonts w:hint="default"/>
        <w:b/>
      </w:r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0">
    <w:nsid w:val="281443FE"/>
    <w:multiLevelType w:val="multilevel"/>
    <w:tmpl w:val="281443FE"/>
    <w:lvl w:ilvl="0" w:tentative="0">
      <w:start w:val="1"/>
      <w:numFmt w:val="decimal"/>
      <w:lvlText w:val="%1."/>
      <w:lvlJc w:val="left"/>
      <w:pPr>
        <w:ind w:left="360"/>
      </w:pPr>
      <w:rPr>
        <w:rFonts w:hint="default" w:ascii="Arial" w:hAnsi="Arial" w:eastAsia="宋体-PUA" w:cs="Arial"/>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宋体-PUA" w:hAnsi="宋体-PUA" w:eastAsia="宋体-PUA" w:cs="宋体-PUA"/>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宋体-PUA" w:hAnsi="宋体-PUA" w:eastAsia="宋体-PUA" w:cs="宋体-PUA"/>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宋体-PUA" w:hAnsi="宋体-PUA" w:eastAsia="宋体-PUA" w:cs="宋体-PUA"/>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宋体-PUA" w:hAnsi="宋体-PUA" w:eastAsia="宋体-PUA" w:cs="宋体-PUA"/>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宋体-PUA" w:hAnsi="宋体-PUA" w:eastAsia="宋体-PUA" w:cs="宋体-PUA"/>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宋体-PUA" w:hAnsi="宋体-PUA" w:eastAsia="宋体-PUA" w:cs="宋体-PUA"/>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宋体-PUA" w:hAnsi="宋体-PUA" w:eastAsia="宋体-PUA" w:cs="宋体-PUA"/>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宋体-PUA" w:hAnsi="宋体-PUA" w:eastAsia="宋体-PUA" w:cs="宋体-PUA"/>
        <w:b w:val="0"/>
        <w:i w:val="0"/>
        <w:strike w:val="0"/>
        <w:dstrike w:val="0"/>
        <w:color w:val="000000"/>
        <w:sz w:val="22"/>
        <w:szCs w:val="22"/>
        <w:u w:val="none" w:color="000000"/>
        <w:shd w:val="clear" w:color="auto" w:fill="auto"/>
        <w:vertAlign w:val="baseline"/>
      </w:rPr>
    </w:lvl>
  </w:abstractNum>
  <w:abstractNum w:abstractNumId="11">
    <w:nsid w:val="2A8E417B"/>
    <w:multiLevelType w:val="multilevel"/>
    <w:tmpl w:val="2A8E417B"/>
    <w:lvl w:ilvl="0" w:tentative="0">
      <w:start w:val="1"/>
      <w:numFmt w:val="decimal"/>
      <w:suff w:val="space"/>
      <w:lvlText w:val="（%1）"/>
      <w:lvlJc w:val="left"/>
      <w:pPr>
        <w:ind w:left="0" w:firstLine="0"/>
      </w:pPr>
      <w:rPr>
        <w:rFonts w:hint="default" w:ascii="Arial" w:hAnsi="Arial" w:eastAsia="宋体" w:cs="Arial"/>
        <w:b w:val="0"/>
        <w:i w:val="0"/>
        <w:strike w:val="0"/>
        <w:dstrike w:val="0"/>
        <w:color w:val="000000"/>
        <w:sz w:val="22"/>
        <w:szCs w:val="22"/>
        <w:u w:val="none" w:color="000000"/>
        <w:vertAlign w:val="baseline"/>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2">
    <w:nsid w:val="2AF110EE"/>
    <w:multiLevelType w:val="multilevel"/>
    <w:tmpl w:val="2AF110EE"/>
    <w:lvl w:ilvl="0" w:tentative="0">
      <w:start w:val="1"/>
      <w:numFmt w:val="decimal"/>
      <w:suff w:val="space"/>
      <w:lvlText w:val="（%1）"/>
      <w:lvlJc w:val="left"/>
      <w:pPr>
        <w:ind w:left="4105" w:hanging="420"/>
      </w:pPr>
      <w:rPr>
        <w:rFonts w:hint="default" w:ascii="Arial" w:hAnsi="Arial" w:eastAsia="宋体" w:cs="Arial"/>
        <w:b w:val="0"/>
        <w:i w:val="0"/>
        <w:strike w:val="0"/>
        <w:dstrike w:val="0"/>
        <w:color w:val="000000"/>
        <w:sz w:val="22"/>
        <w:szCs w:val="22"/>
        <w:u w:val="none" w:color="000000"/>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49B6303"/>
    <w:multiLevelType w:val="multilevel"/>
    <w:tmpl w:val="349B6303"/>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7173988"/>
    <w:multiLevelType w:val="multilevel"/>
    <w:tmpl w:val="37173988"/>
    <w:lvl w:ilvl="0" w:tentative="0">
      <w:start w:val="1"/>
      <w:numFmt w:val="decimal"/>
      <w:lvlText w:val="%1."/>
      <w:lvlJc w:val="left"/>
      <w:pPr>
        <w:ind w:left="0" w:firstLine="0"/>
      </w:pPr>
      <w:rPr>
        <w:rFonts w:hint="eastAsia"/>
        <w:b/>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429"/>
      </w:pPr>
      <w:rPr>
        <w:rFonts w:ascii="宋体-PUA" w:hAnsi="宋体-PUA" w:eastAsia="宋体-PUA" w:cs="宋体-PUA"/>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149"/>
      </w:pPr>
      <w:rPr>
        <w:rFonts w:ascii="宋体-PUA" w:hAnsi="宋体-PUA" w:eastAsia="宋体-PUA" w:cs="宋体-PUA"/>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869"/>
      </w:pPr>
      <w:rPr>
        <w:rFonts w:ascii="宋体-PUA" w:hAnsi="宋体-PUA" w:eastAsia="宋体-PUA" w:cs="宋体-PUA"/>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589"/>
      </w:pPr>
      <w:rPr>
        <w:rFonts w:ascii="宋体-PUA" w:hAnsi="宋体-PUA" w:eastAsia="宋体-PUA" w:cs="宋体-PUA"/>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309"/>
      </w:pPr>
      <w:rPr>
        <w:rFonts w:ascii="宋体-PUA" w:hAnsi="宋体-PUA" w:eastAsia="宋体-PUA" w:cs="宋体-PUA"/>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029"/>
      </w:pPr>
      <w:rPr>
        <w:rFonts w:ascii="宋体-PUA" w:hAnsi="宋体-PUA" w:eastAsia="宋体-PUA" w:cs="宋体-PUA"/>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749"/>
      </w:pPr>
      <w:rPr>
        <w:rFonts w:ascii="宋体-PUA" w:hAnsi="宋体-PUA" w:eastAsia="宋体-PUA" w:cs="宋体-PUA"/>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469"/>
      </w:pPr>
      <w:rPr>
        <w:rFonts w:ascii="宋体-PUA" w:hAnsi="宋体-PUA" w:eastAsia="宋体-PUA" w:cs="宋体-PUA"/>
        <w:b w:val="0"/>
        <w:i w:val="0"/>
        <w:strike w:val="0"/>
        <w:dstrike w:val="0"/>
        <w:color w:val="000000"/>
        <w:sz w:val="22"/>
        <w:szCs w:val="22"/>
        <w:u w:val="none" w:color="000000"/>
        <w:shd w:val="clear" w:color="auto" w:fill="auto"/>
        <w:vertAlign w:val="baseline"/>
      </w:rPr>
    </w:lvl>
  </w:abstractNum>
  <w:abstractNum w:abstractNumId="15">
    <w:nsid w:val="37FC0210"/>
    <w:multiLevelType w:val="multilevel"/>
    <w:tmpl w:val="37FC0210"/>
    <w:lvl w:ilvl="0" w:tentative="0">
      <w:start w:val="1"/>
      <w:numFmt w:val="chineseCountingThousand"/>
      <w:suff w:val="space"/>
      <w:lvlText w:val="%1、"/>
      <w:lvlJc w:val="left"/>
      <w:pPr>
        <w:ind w:left="1270" w:hanging="420"/>
      </w:pPr>
      <w:rPr>
        <w:rFonts w:hint="eastAsia"/>
      </w:rPr>
    </w:lvl>
    <w:lvl w:ilvl="1" w:tentative="0">
      <w:start w:val="1"/>
      <w:numFmt w:val="lowerLetter"/>
      <w:lvlText w:val="%2)"/>
      <w:lvlJc w:val="left"/>
      <w:pPr>
        <w:ind w:left="-6390" w:hanging="420"/>
      </w:pPr>
    </w:lvl>
    <w:lvl w:ilvl="2" w:tentative="0">
      <w:start w:val="1"/>
      <w:numFmt w:val="lowerRoman"/>
      <w:lvlText w:val="%3."/>
      <w:lvlJc w:val="right"/>
      <w:pPr>
        <w:ind w:left="-5970" w:hanging="420"/>
      </w:pPr>
    </w:lvl>
    <w:lvl w:ilvl="3" w:tentative="0">
      <w:start w:val="1"/>
      <w:numFmt w:val="decimal"/>
      <w:lvlText w:val="%4."/>
      <w:lvlJc w:val="left"/>
      <w:pPr>
        <w:ind w:left="-5550" w:hanging="420"/>
      </w:pPr>
    </w:lvl>
    <w:lvl w:ilvl="4" w:tentative="0">
      <w:start w:val="1"/>
      <w:numFmt w:val="lowerLetter"/>
      <w:lvlText w:val="%5)"/>
      <w:lvlJc w:val="left"/>
      <w:pPr>
        <w:ind w:left="-5130" w:hanging="420"/>
      </w:pPr>
    </w:lvl>
    <w:lvl w:ilvl="5" w:tentative="0">
      <w:start w:val="1"/>
      <w:numFmt w:val="lowerRoman"/>
      <w:lvlText w:val="%6."/>
      <w:lvlJc w:val="right"/>
      <w:pPr>
        <w:ind w:left="-4710" w:hanging="420"/>
      </w:pPr>
    </w:lvl>
    <w:lvl w:ilvl="6" w:tentative="0">
      <w:start w:val="1"/>
      <w:numFmt w:val="decimal"/>
      <w:lvlText w:val="%7."/>
      <w:lvlJc w:val="left"/>
      <w:pPr>
        <w:ind w:left="-4290" w:hanging="420"/>
      </w:pPr>
    </w:lvl>
    <w:lvl w:ilvl="7" w:tentative="0">
      <w:start w:val="1"/>
      <w:numFmt w:val="lowerLetter"/>
      <w:lvlText w:val="%8)"/>
      <w:lvlJc w:val="left"/>
      <w:pPr>
        <w:ind w:left="-3870" w:hanging="420"/>
      </w:pPr>
    </w:lvl>
    <w:lvl w:ilvl="8" w:tentative="0">
      <w:start w:val="1"/>
      <w:numFmt w:val="lowerRoman"/>
      <w:lvlText w:val="%9."/>
      <w:lvlJc w:val="right"/>
      <w:pPr>
        <w:ind w:left="-3450" w:hanging="420"/>
      </w:pPr>
    </w:lvl>
  </w:abstractNum>
  <w:abstractNum w:abstractNumId="16">
    <w:nsid w:val="388A344C"/>
    <w:multiLevelType w:val="multilevel"/>
    <w:tmpl w:val="388A344C"/>
    <w:lvl w:ilvl="0" w:tentative="0">
      <w:start w:val="1"/>
      <w:numFmt w:val="decimal"/>
      <w:lvlText w:val="%1."/>
      <w:lvlJc w:val="left"/>
      <w:pPr>
        <w:ind w:left="453" w:hanging="420"/>
      </w:pPr>
    </w:lvl>
    <w:lvl w:ilvl="1" w:tentative="0">
      <w:start w:val="1"/>
      <w:numFmt w:val="decimal"/>
      <w:lvlText w:val="%2."/>
      <w:lvlJc w:val="left"/>
      <w:pPr>
        <w:ind w:left="5382" w:hanging="420"/>
      </w:pPr>
      <w:rPr>
        <w:rFonts w:hint="default" w:ascii="Arial" w:hAnsi="Arial" w:cs="Arial"/>
      </w:rPr>
    </w:lvl>
    <w:lvl w:ilvl="2" w:tentative="0">
      <w:start w:val="4"/>
      <w:numFmt w:val="decimal"/>
      <w:lvlText w:val="%3）"/>
      <w:lvlJc w:val="left"/>
      <w:pPr>
        <w:ind w:left="1233" w:hanging="360"/>
      </w:pPr>
      <w:rPr>
        <w:rFonts w:hint="default"/>
      </w:rPr>
    </w:lvl>
    <w:lvl w:ilvl="3" w:tentative="0">
      <w:start w:val="1"/>
      <w:numFmt w:val="decimal"/>
      <w:lvlText w:val="%4."/>
      <w:lvlJc w:val="left"/>
      <w:pPr>
        <w:ind w:left="1713" w:hanging="420"/>
      </w:pPr>
    </w:lvl>
    <w:lvl w:ilvl="4" w:tentative="0">
      <w:start w:val="1"/>
      <w:numFmt w:val="lowerLetter"/>
      <w:lvlText w:val="%5)"/>
      <w:lvlJc w:val="left"/>
      <w:pPr>
        <w:ind w:left="2133" w:hanging="420"/>
      </w:pPr>
    </w:lvl>
    <w:lvl w:ilvl="5" w:tentative="0">
      <w:start w:val="1"/>
      <w:numFmt w:val="lowerRoman"/>
      <w:lvlText w:val="%6."/>
      <w:lvlJc w:val="right"/>
      <w:pPr>
        <w:ind w:left="2553" w:hanging="420"/>
      </w:pPr>
    </w:lvl>
    <w:lvl w:ilvl="6" w:tentative="0">
      <w:start w:val="1"/>
      <w:numFmt w:val="decimal"/>
      <w:lvlText w:val="%7."/>
      <w:lvlJc w:val="left"/>
      <w:pPr>
        <w:ind w:left="2973" w:hanging="420"/>
      </w:pPr>
    </w:lvl>
    <w:lvl w:ilvl="7" w:tentative="0">
      <w:start w:val="1"/>
      <w:numFmt w:val="lowerLetter"/>
      <w:lvlText w:val="%8)"/>
      <w:lvlJc w:val="left"/>
      <w:pPr>
        <w:ind w:left="3393" w:hanging="420"/>
      </w:pPr>
    </w:lvl>
    <w:lvl w:ilvl="8" w:tentative="0">
      <w:start w:val="1"/>
      <w:numFmt w:val="lowerRoman"/>
      <w:lvlText w:val="%9."/>
      <w:lvlJc w:val="right"/>
      <w:pPr>
        <w:ind w:left="3813" w:hanging="420"/>
      </w:pPr>
    </w:lvl>
  </w:abstractNum>
  <w:abstractNum w:abstractNumId="17">
    <w:nsid w:val="3C17083C"/>
    <w:multiLevelType w:val="multilevel"/>
    <w:tmpl w:val="3C17083C"/>
    <w:lvl w:ilvl="0" w:tentative="0">
      <w:start w:val="1"/>
      <w:numFmt w:val="decimal"/>
      <w:suff w:val="space"/>
      <w:lvlText w:val="（%1）"/>
      <w:lvlJc w:val="left"/>
      <w:pPr>
        <w:ind w:left="624" w:hanging="198"/>
      </w:pPr>
      <w:rPr>
        <w:rFonts w:hint="default" w:ascii="Arial" w:hAnsi="Arial" w:eastAsia="宋体" w:cs="Arial"/>
        <w:b w:val="0"/>
        <w:i w:val="0"/>
        <w:strike w:val="0"/>
        <w:dstrike w:val="0"/>
        <w:color w:val="000000"/>
        <w:sz w:val="22"/>
        <w:szCs w:val="22"/>
        <w:u w:val="none" w:color="000000"/>
        <w:vertAlign w:val="baseline"/>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8">
    <w:nsid w:val="428F2960"/>
    <w:multiLevelType w:val="multilevel"/>
    <w:tmpl w:val="428F2960"/>
    <w:lvl w:ilvl="0" w:tentative="0">
      <w:start w:val="1"/>
      <w:numFmt w:val="decimal"/>
      <w:lvlText w:val="%1."/>
      <w:lvlJc w:val="left"/>
      <w:pPr>
        <w:ind w:left="420" w:hanging="420"/>
      </w:pPr>
      <w:rPr>
        <w:rFonts w:hint="default" w:ascii="Arial" w:hAnsi="Arial" w:cs="Arial"/>
        <w:b w:val="0"/>
        <w:i w:val="0"/>
        <w:strike w:val="0"/>
        <w:dstrike w:val="0"/>
        <w:color w:val="000000"/>
        <w:sz w:val="22"/>
        <w:szCs w:val="22"/>
        <w:u w:val="none" w:color="000000"/>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B6D5B02"/>
    <w:multiLevelType w:val="multilevel"/>
    <w:tmpl w:val="4B6D5B02"/>
    <w:lvl w:ilvl="0" w:tentative="0">
      <w:start w:val="1"/>
      <w:numFmt w:val="decimal"/>
      <w:lvlText w:val="%1）"/>
      <w:lvlJc w:val="left"/>
      <w:pPr>
        <w:ind w:left="860" w:hanging="420"/>
      </w:pPr>
      <w:rPr>
        <w:rFonts w:hint="default" w:ascii="Arial" w:hAnsi="Arial" w:eastAsia="宋体" w:cs="Arial"/>
        <w:b w:val="0"/>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0">
    <w:nsid w:val="517F4990"/>
    <w:multiLevelType w:val="multilevel"/>
    <w:tmpl w:val="517F4990"/>
    <w:lvl w:ilvl="0" w:tentative="0">
      <w:start w:val="1"/>
      <w:numFmt w:val="decimal"/>
      <w:lvlText w:val="%1）"/>
      <w:lvlJc w:val="left"/>
      <w:pPr>
        <w:ind w:left="860" w:hanging="420"/>
      </w:pPr>
      <w:rPr>
        <w:rFonts w:hint="default" w:ascii="Arial" w:hAnsi="Arial" w:eastAsia="宋体" w:cs="Arial"/>
        <w:b w:val="0"/>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1">
    <w:nsid w:val="537271B1"/>
    <w:multiLevelType w:val="multilevel"/>
    <w:tmpl w:val="537271B1"/>
    <w:lvl w:ilvl="0" w:tentative="0">
      <w:start w:val="1"/>
      <w:numFmt w:val="decimal"/>
      <w:suff w:val="space"/>
      <w:lvlText w:val="%1）"/>
      <w:lvlJc w:val="left"/>
      <w:pPr>
        <w:ind w:left="-150" w:firstLine="510"/>
      </w:pPr>
      <w:rPr>
        <w:rFonts w:hint="default"/>
        <w:b w:val="0"/>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2">
    <w:nsid w:val="576E6B0D"/>
    <w:multiLevelType w:val="multilevel"/>
    <w:tmpl w:val="576E6B0D"/>
    <w:lvl w:ilvl="0" w:tentative="0">
      <w:start w:val="1"/>
      <w:numFmt w:val="decimal"/>
      <w:lvlText w:val="%1."/>
      <w:lvlJc w:val="left"/>
      <w:pPr>
        <w:ind w:left="664" w:hanging="420"/>
      </w:pPr>
    </w:lvl>
    <w:lvl w:ilvl="1" w:tentative="0">
      <w:start w:val="1"/>
      <w:numFmt w:val="decimal"/>
      <w:lvlText w:val="%2."/>
      <w:lvlJc w:val="left"/>
      <w:pPr>
        <w:ind w:left="1084" w:hanging="420"/>
      </w:pPr>
    </w:lvl>
    <w:lvl w:ilvl="2" w:tentative="0">
      <w:start w:val="1"/>
      <w:numFmt w:val="lowerRoman"/>
      <w:lvlText w:val="%3."/>
      <w:lvlJc w:val="right"/>
      <w:pPr>
        <w:ind w:left="1504" w:hanging="420"/>
      </w:pPr>
    </w:lvl>
    <w:lvl w:ilvl="3" w:tentative="0">
      <w:start w:val="1"/>
      <w:numFmt w:val="decimal"/>
      <w:lvlText w:val="%4."/>
      <w:lvlJc w:val="left"/>
      <w:pPr>
        <w:ind w:left="1924" w:hanging="420"/>
      </w:pPr>
    </w:lvl>
    <w:lvl w:ilvl="4" w:tentative="0">
      <w:start w:val="1"/>
      <w:numFmt w:val="lowerLetter"/>
      <w:lvlText w:val="%5)"/>
      <w:lvlJc w:val="left"/>
      <w:pPr>
        <w:ind w:left="2344" w:hanging="420"/>
      </w:pPr>
    </w:lvl>
    <w:lvl w:ilvl="5" w:tentative="0">
      <w:start w:val="1"/>
      <w:numFmt w:val="lowerRoman"/>
      <w:lvlText w:val="%6."/>
      <w:lvlJc w:val="right"/>
      <w:pPr>
        <w:ind w:left="2764" w:hanging="420"/>
      </w:pPr>
    </w:lvl>
    <w:lvl w:ilvl="6" w:tentative="0">
      <w:start w:val="1"/>
      <w:numFmt w:val="decimal"/>
      <w:lvlText w:val="%7."/>
      <w:lvlJc w:val="left"/>
      <w:pPr>
        <w:ind w:left="3184" w:hanging="420"/>
      </w:pPr>
    </w:lvl>
    <w:lvl w:ilvl="7" w:tentative="0">
      <w:start w:val="1"/>
      <w:numFmt w:val="lowerLetter"/>
      <w:lvlText w:val="%8)"/>
      <w:lvlJc w:val="left"/>
      <w:pPr>
        <w:ind w:left="3604" w:hanging="420"/>
      </w:pPr>
    </w:lvl>
    <w:lvl w:ilvl="8" w:tentative="0">
      <w:start w:val="1"/>
      <w:numFmt w:val="lowerRoman"/>
      <w:lvlText w:val="%9."/>
      <w:lvlJc w:val="right"/>
      <w:pPr>
        <w:ind w:left="4024" w:hanging="420"/>
      </w:pPr>
    </w:lvl>
  </w:abstractNum>
  <w:abstractNum w:abstractNumId="23">
    <w:nsid w:val="59903B4D"/>
    <w:multiLevelType w:val="multilevel"/>
    <w:tmpl w:val="59903B4D"/>
    <w:lvl w:ilvl="0" w:tentative="0">
      <w:start w:val="1"/>
      <w:numFmt w:val="upperLetter"/>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4">
    <w:nsid w:val="5BC31AF2"/>
    <w:multiLevelType w:val="multilevel"/>
    <w:tmpl w:val="5BC31A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BE24685"/>
    <w:multiLevelType w:val="multilevel"/>
    <w:tmpl w:val="5BE24685"/>
    <w:lvl w:ilvl="0" w:tentative="0">
      <w:start w:val="1"/>
      <w:numFmt w:val="decimal"/>
      <w:lvlText w:val="%1."/>
      <w:lvlJc w:val="left"/>
      <w:pPr>
        <w:ind w:left="846" w:hanging="420"/>
      </w:pPr>
      <w:rPr>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6">
    <w:nsid w:val="5D665549"/>
    <w:multiLevelType w:val="multilevel"/>
    <w:tmpl w:val="5D665549"/>
    <w:lvl w:ilvl="0" w:tentative="0">
      <w:start w:val="1"/>
      <w:numFmt w:val="decimal"/>
      <w:lvlText w:val="%1）"/>
      <w:lvlJc w:val="left"/>
      <w:pPr>
        <w:ind w:left="420" w:hanging="420"/>
      </w:pPr>
      <w:rPr>
        <w:rFonts w:hint="default" w:ascii="Arial" w:hAnsi="Arial" w:eastAsia="宋体" w:cs="Arial"/>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F020CF9"/>
    <w:multiLevelType w:val="multilevel"/>
    <w:tmpl w:val="5F020CF9"/>
    <w:lvl w:ilvl="0" w:tentative="0">
      <w:start w:val="1"/>
      <w:numFmt w:val="decimal"/>
      <w:lvlText w:val="%1）"/>
      <w:lvlJc w:val="left"/>
      <w:pPr>
        <w:ind w:left="860" w:hanging="420"/>
      </w:pPr>
      <w:rPr>
        <w:rFonts w:hint="default"/>
        <w:b w:val="0"/>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8">
    <w:nsid w:val="65A54686"/>
    <w:multiLevelType w:val="multilevel"/>
    <w:tmpl w:val="65A54686"/>
    <w:lvl w:ilvl="0" w:tentative="0">
      <w:start w:val="1"/>
      <w:numFmt w:val="decimal"/>
      <w:lvlText w:val="%1）"/>
      <w:lvlJc w:val="left"/>
      <w:pPr>
        <w:ind w:left="5666" w:hanging="420"/>
      </w:pPr>
      <w:rPr>
        <w:rFonts w:hint="default" w:ascii="Arial" w:hAnsi="Arial" w:eastAsia="宋体" w:cs="Arial"/>
        <w:b w:val="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29">
    <w:nsid w:val="6F043B01"/>
    <w:multiLevelType w:val="multilevel"/>
    <w:tmpl w:val="6F043B01"/>
    <w:lvl w:ilvl="0" w:tentative="0">
      <w:start w:val="1"/>
      <w:numFmt w:val="decimal"/>
      <w:suff w:val="space"/>
      <w:lvlText w:val="%1）"/>
      <w:lvlJc w:val="left"/>
      <w:pPr>
        <w:ind w:left="2546" w:hanging="420"/>
      </w:pPr>
      <w:rPr>
        <w:rFonts w:hint="default" w:ascii="Arial" w:hAnsi="Arial" w:eastAsia="宋体" w:cs="Arial"/>
        <w:b w:val="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30">
    <w:nsid w:val="70F52D07"/>
    <w:multiLevelType w:val="multilevel"/>
    <w:tmpl w:val="70F52D07"/>
    <w:lvl w:ilvl="0" w:tentative="0">
      <w:start w:val="1"/>
      <w:numFmt w:val="japaneseCounting"/>
      <w:lvlText w:val="（%1）"/>
      <w:lvlJc w:val="left"/>
      <w:pPr>
        <w:ind w:left="1154" w:hanging="720"/>
      </w:pPr>
      <w:rPr>
        <w:rFonts w:hint="default"/>
      </w:rPr>
    </w:lvl>
    <w:lvl w:ilvl="1" w:tentative="0">
      <w:start w:val="1"/>
      <w:numFmt w:val="lowerLetter"/>
      <w:lvlText w:val="%2)"/>
      <w:lvlJc w:val="left"/>
      <w:pPr>
        <w:ind w:left="1274" w:hanging="420"/>
      </w:pPr>
    </w:lvl>
    <w:lvl w:ilvl="2" w:tentative="0">
      <w:start w:val="1"/>
      <w:numFmt w:val="lowerRoman"/>
      <w:lvlText w:val="%3."/>
      <w:lvlJc w:val="right"/>
      <w:pPr>
        <w:ind w:left="1694" w:hanging="420"/>
      </w:pPr>
    </w:lvl>
    <w:lvl w:ilvl="3" w:tentative="0">
      <w:start w:val="1"/>
      <w:numFmt w:val="decimal"/>
      <w:lvlText w:val="%4."/>
      <w:lvlJc w:val="left"/>
      <w:pPr>
        <w:ind w:left="2114" w:hanging="420"/>
      </w:pPr>
    </w:lvl>
    <w:lvl w:ilvl="4" w:tentative="0">
      <w:start w:val="1"/>
      <w:numFmt w:val="lowerLetter"/>
      <w:lvlText w:val="%5)"/>
      <w:lvlJc w:val="left"/>
      <w:pPr>
        <w:ind w:left="2534" w:hanging="420"/>
      </w:pPr>
    </w:lvl>
    <w:lvl w:ilvl="5" w:tentative="0">
      <w:start w:val="1"/>
      <w:numFmt w:val="lowerRoman"/>
      <w:lvlText w:val="%6."/>
      <w:lvlJc w:val="right"/>
      <w:pPr>
        <w:ind w:left="2954" w:hanging="420"/>
      </w:pPr>
    </w:lvl>
    <w:lvl w:ilvl="6" w:tentative="0">
      <w:start w:val="1"/>
      <w:numFmt w:val="decimal"/>
      <w:lvlText w:val="%7."/>
      <w:lvlJc w:val="left"/>
      <w:pPr>
        <w:ind w:left="3374" w:hanging="420"/>
      </w:pPr>
    </w:lvl>
    <w:lvl w:ilvl="7" w:tentative="0">
      <w:start w:val="1"/>
      <w:numFmt w:val="lowerLetter"/>
      <w:lvlText w:val="%8)"/>
      <w:lvlJc w:val="left"/>
      <w:pPr>
        <w:ind w:left="3794" w:hanging="420"/>
      </w:pPr>
    </w:lvl>
    <w:lvl w:ilvl="8" w:tentative="0">
      <w:start w:val="1"/>
      <w:numFmt w:val="lowerRoman"/>
      <w:lvlText w:val="%9."/>
      <w:lvlJc w:val="right"/>
      <w:pPr>
        <w:ind w:left="4214" w:hanging="420"/>
      </w:pPr>
    </w:lvl>
  </w:abstractNum>
  <w:abstractNum w:abstractNumId="31">
    <w:nsid w:val="748678E8"/>
    <w:multiLevelType w:val="multilevel"/>
    <w:tmpl w:val="748678E8"/>
    <w:lvl w:ilvl="0" w:tentative="0">
      <w:start w:val="1"/>
      <w:numFmt w:val="decimal"/>
      <w:suff w:val="space"/>
      <w:lvlText w:val="（%1）"/>
      <w:lvlJc w:val="left"/>
      <w:pPr>
        <w:ind w:left="0" w:firstLine="360"/>
      </w:pPr>
      <w:rPr>
        <w:rFonts w:hint="default" w:ascii="Arial" w:hAnsi="Arial" w:eastAsia="宋体" w:cs="Arial"/>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宋体-PUA" w:hAnsi="宋体-PUA" w:eastAsia="宋体-PUA" w:cs="宋体-PUA"/>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宋体-PUA" w:hAnsi="宋体-PUA" w:eastAsia="宋体-PUA" w:cs="宋体-PUA"/>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宋体-PUA" w:hAnsi="宋体-PUA" w:eastAsia="宋体-PUA" w:cs="宋体-PUA"/>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宋体-PUA" w:hAnsi="宋体-PUA" w:eastAsia="宋体-PUA" w:cs="宋体-PUA"/>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宋体-PUA" w:hAnsi="宋体-PUA" w:eastAsia="宋体-PUA" w:cs="宋体-PUA"/>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宋体-PUA" w:hAnsi="宋体-PUA" w:eastAsia="宋体-PUA" w:cs="宋体-PUA"/>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宋体-PUA" w:hAnsi="宋体-PUA" w:eastAsia="宋体-PUA" w:cs="宋体-PUA"/>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宋体-PUA" w:hAnsi="宋体-PUA" w:eastAsia="宋体-PUA" w:cs="宋体-PUA"/>
        <w:b w:val="0"/>
        <w:i w:val="0"/>
        <w:strike w:val="0"/>
        <w:dstrike w:val="0"/>
        <w:color w:val="000000"/>
        <w:sz w:val="22"/>
        <w:szCs w:val="22"/>
        <w:u w:val="none" w:color="000000"/>
        <w:shd w:val="clear" w:color="auto" w:fill="auto"/>
        <w:vertAlign w:val="baseline"/>
      </w:rPr>
    </w:lvl>
  </w:abstractNum>
  <w:abstractNum w:abstractNumId="32">
    <w:nsid w:val="765F7234"/>
    <w:multiLevelType w:val="multilevel"/>
    <w:tmpl w:val="765F7234"/>
    <w:lvl w:ilvl="0" w:tentative="0">
      <w:start w:val="8"/>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32"/>
  </w:num>
  <w:num w:numId="3">
    <w:abstractNumId w:val="13"/>
  </w:num>
  <w:num w:numId="4">
    <w:abstractNumId w:val="7"/>
  </w:num>
  <w:num w:numId="5">
    <w:abstractNumId w:val="24"/>
  </w:num>
  <w:num w:numId="6">
    <w:abstractNumId w:val="30"/>
  </w:num>
  <w:num w:numId="7">
    <w:abstractNumId w:val="14"/>
  </w:num>
  <w:num w:numId="8">
    <w:abstractNumId w:val="5"/>
  </w:num>
  <w:num w:numId="9">
    <w:abstractNumId w:val="16"/>
  </w:num>
  <w:num w:numId="10">
    <w:abstractNumId w:val="6"/>
  </w:num>
  <w:num w:numId="11">
    <w:abstractNumId w:val="28"/>
  </w:num>
  <w:num w:numId="12">
    <w:abstractNumId w:val="26"/>
  </w:num>
  <w:num w:numId="13">
    <w:abstractNumId w:val="29"/>
  </w:num>
  <w:num w:numId="14">
    <w:abstractNumId w:val="1"/>
  </w:num>
  <w:num w:numId="15">
    <w:abstractNumId w:val="9"/>
  </w:num>
  <w:num w:numId="16">
    <w:abstractNumId w:val="25"/>
  </w:num>
  <w:num w:numId="17">
    <w:abstractNumId w:val="17"/>
  </w:num>
  <w:num w:numId="18">
    <w:abstractNumId w:val="27"/>
  </w:num>
  <w:num w:numId="19">
    <w:abstractNumId w:val="11"/>
  </w:num>
  <w:num w:numId="20">
    <w:abstractNumId w:val="18"/>
  </w:num>
  <w:num w:numId="21">
    <w:abstractNumId w:val="12"/>
  </w:num>
  <w:num w:numId="22">
    <w:abstractNumId w:val="22"/>
  </w:num>
  <w:num w:numId="23">
    <w:abstractNumId w:val="0"/>
  </w:num>
  <w:num w:numId="24">
    <w:abstractNumId w:val="3"/>
  </w:num>
  <w:num w:numId="25">
    <w:abstractNumId w:val="20"/>
  </w:num>
  <w:num w:numId="26">
    <w:abstractNumId w:val="19"/>
  </w:num>
  <w:num w:numId="27">
    <w:abstractNumId w:val="10"/>
  </w:num>
  <w:num w:numId="28">
    <w:abstractNumId w:val="31"/>
  </w:num>
  <w:num w:numId="29">
    <w:abstractNumId w:val="21"/>
  </w:num>
  <w:num w:numId="30">
    <w:abstractNumId w:val="23"/>
  </w:num>
  <w:num w:numId="31">
    <w:abstractNumId w:val="8"/>
  </w:num>
  <w:num w:numId="32">
    <w:abstractNumId w:val="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0A"/>
    <w:rsid w:val="00000135"/>
    <w:rsid w:val="000010DC"/>
    <w:rsid w:val="000015E6"/>
    <w:rsid w:val="00001C00"/>
    <w:rsid w:val="00001C0F"/>
    <w:rsid w:val="00002185"/>
    <w:rsid w:val="0000239B"/>
    <w:rsid w:val="0000286E"/>
    <w:rsid w:val="00003413"/>
    <w:rsid w:val="000044DD"/>
    <w:rsid w:val="00005769"/>
    <w:rsid w:val="00005827"/>
    <w:rsid w:val="0000637A"/>
    <w:rsid w:val="000066E6"/>
    <w:rsid w:val="00007724"/>
    <w:rsid w:val="00011778"/>
    <w:rsid w:val="000124C9"/>
    <w:rsid w:val="0001293F"/>
    <w:rsid w:val="00012EBB"/>
    <w:rsid w:val="000137B9"/>
    <w:rsid w:val="00013EB0"/>
    <w:rsid w:val="0001420A"/>
    <w:rsid w:val="00014595"/>
    <w:rsid w:val="0001520D"/>
    <w:rsid w:val="0001725B"/>
    <w:rsid w:val="00020BF2"/>
    <w:rsid w:val="00020DEB"/>
    <w:rsid w:val="000212B4"/>
    <w:rsid w:val="000216BB"/>
    <w:rsid w:val="00021A35"/>
    <w:rsid w:val="00021C49"/>
    <w:rsid w:val="000222CD"/>
    <w:rsid w:val="00022533"/>
    <w:rsid w:val="000238B9"/>
    <w:rsid w:val="00023F32"/>
    <w:rsid w:val="000241A0"/>
    <w:rsid w:val="00025242"/>
    <w:rsid w:val="000263F0"/>
    <w:rsid w:val="00026924"/>
    <w:rsid w:val="00026973"/>
    <w:rsid w:val="00026F61"/>
    <w:rsid w:val="0002721D"/>
    <w:rsid w:val="0002744E"/>
    <w:rsid w:val="00027E6D"/>
    <w:rsid w:val="0003038E"/>
    <w:rsid w:val="0003116C"/>
    <w:rsid w:val="0003128B"/>
    <w:rsid w:val="000316C3"/>
    <w:rsid w:val="0003193C"/>
    <w:rsid w:val="00031E7F"/>
    <w:rsid w:val="00032288"/>
    <w:rsid w:val="00032582"/>
    <w:rsid w:val="0003319F"/>
    <w:rsid w:val="00034AA1"/>
    <w:rsid w:val="000364B8"/>
    <w:rsid w:val="000367BD"/>
    <w:rsid w:val="00036B7F"/>
    <w:rsid w:val="00037041"/>
    <w:rsid w:val="00040369"/>
    <w:rsid w:val="000407B7"/>
    <w:rsid w:val="00040B53"/>
    <w:rsid w:val="00040D31"/>
    <w:rsid w:val="00040E08"/>
    <w:rsid w:val="00040F8F"/>
    <w:rsid w:val="00041197"/>
    <w:rsid w:val="00043574"/>
    <w:rsid w:val="000438BF"/>
    <w:rsid w:val="00043A6D"/>
    <w:rsid w:val="000447B4"/>
    <w:rsid w:val="00044DB6"/>
    <w:rsid w:val="0004553D"/>
    <w:rsid w:val="00046496"/>
    <w:rsid w:val="000468AA"/>
    <w:rsid w:val="00046A95"/>
    <w:rsid w:val="000479A7"/>
    <w:rsid w:val="00047A25"/>
    <w:rsid w:val="00047C0A"/>
    <w:rsid w:val="00047EF8"/>
    <w:rsid w:val="00047FD6"/>
    <w:rsid w:val="00050C61"/>
    <w:rsid w:val="00050DBA"/>
    <w:rsid w:val="00051415"/>
    <w:rsid w:val="00052E79"/>
    <w:rsid w:val="000533C2"/>
    <w:rsid w:val="0005378A"/>
    <w:rsid w:val="00054262"/>
    <w:rsid w:val="00054C34"/>
    <w:rsid w:val="00054DB4"/>
    <w:rsid w:val="000555C6"/>
    <w:rsid w:val="00056814"/>
    <w:rsid w:val="00056E90"/>
    <w:rsid w:val="000578ED"/>
    <w:rsid w:val="0005792C"/>
    <w:rsid w:val="00057A39"/>
    <w:rsid w:val="00057A6B"/>
    <w:rsid w:val="00057BA5"/>
    <w:rsid w:val="00057F03"/>
    <w:rsid w:val="00057F5E"/>
    <w:rsid w:val="0006068F"/>
    <w:rsid w:val="00062482"/>
    <w:rsid w:val="00062868"/>
    <w:rsid w:val="000628A9"/>
    <w:rsid w:val="00062A80"/>
    <w:rsid w:val="00063570"/>
    <w:rsid w:val="00063F81"/>
    <w:rsid w:val="000644C6"/>
    <w:rsid w:val="000649A5"/>
    <w:rsid w:val="00064D7B"/>
    <w:rsid w:val="000654B4"/>
    <w:rsid w:val="000656D9"/>
    <w:rsid w:val="00065B5F"/>
    <w:rsid w:val="00065E82"/>
    <w:rsid w:val="00065FCC"/>
    <w:rsid w:val="000662D8"/>
    <w:rsid w:val="00066819"/>
    <w:rsid w:val="00067831"/>
    <w:rsid w:val="00067836"/>
    <w:rsid w:val="00067E4C"/>
    <w:rsid w:val="00070B60"/>
    <w:rsid w:val="00070E2C"/>
    <w:rsid w:val="00070E48"/>
    <w:rsid w:val="000711FD"/>
    <w:rsid w:val="0007156F"/>
    <w:rsid w:val="000720F7"/>
    <w:rsid w:val="0007245A"/>
    <w:rsid w:val="00073E18"/>
    <w:rsid w:val="000740E3"/>
    <w:rsid w:val="00075836"/>
    <w:rsid w:val="00075A9F"/>
    <w:rsid w:val="00075C24"/>
    <w:rsid w:val="00075F11"/>
    <w:rsid w:val="0007698F"/>
    <w:rsid w:val="00076A30"/>
    <w:rsid w:val="00076B02"/>
    <w:rsid w:val="00076B13"/>
    <w:rsid w:val="00076BD7"/>
    <w:rsid w:val="00076CC9"/>
    <w:rsid w:val="00076D82"/>
    <w:rsid w:val="000816AD"/>
    <w:rsid w:val="00082094"/>
    <w:rsid w:val="000822D0"/>
    <w:rsid w:val="00082676"/>
    <w:rsid w:val="000827C1"/>
    <w:rsid w:val="00082F75"/>
    <w:rsid w:val="0008335A"/>
    <w:rsid w:val="00084B28"/>
    <w:rsid w:val="00084E6D"/>
    <w:rsid w:val="000858F6"/>
    <w:rsid w:val="00085955"/>
    <w:rsid w:val="00085E0E"/>
    <w:rsid w:val="00085EEF"/>
    <w:rsid w:val="00085FAA"/>
    <w:rsid w:val="000861E6"/>
    <w:rsid w:val="00086528"/>
    <w:rsid w:val="00090098"/>
    <w:rsid w:val="00091673"/>
    <w:rsid w:val="00092336"/>
    <w:rsid w:val="00092EB7"/>
    <w:rsid w:val="00096727"/>
    <w:rsid w:val="00096B85"/>
    <w:rsid w:val="000975DA"/>
    <w:rsid w:val="000A0743"/>
    <w:rsid w:val="000A12D8"/>
    <w:rsid w:val="000A29F7"/>
    <w:rsid w:val="000A34EF"/>
    <w:rsid w:val="000A38CB"/>
    <w:rsid w:val="000A3D8A"/>
    <w:rsid w:val="000A4125"/>
    <w:rsid w:val="000A44F8"/>
    <w:rsid w:val="000A4B9A"/>
    <w:rsid w:val="000A4BAD"/>
    <w:rsid w:val="000A5CC7"/>
    <w:rsid w:val="000A5CE6"/>
    <w:rsid w:val="000A5DA9"/>
    <w:rsid w:val="000A5F96"/>
    <w:rsid w:val="000A62D8"/>
    <w:rsid w:val="000A6632"/>
    <w:rsid w:val="000A6690"/>
    <w:rsid w:val="000A692C"/>
    <w:rsid w:val="000A754F"/>
    <w:rsid w:val="000A76ED"/>
    <w:rsid w:val="000A76F2"/>
    <w:rsid w:val="000A7B82"/>
    <w:rsid w:val="000A7DA6"/>
    <w:rsid w:val="000B002B"/>
    <w:rsid w:val="000B00AB"/>
    <w:rsid w:val="000B01F5"/>
    <w:rsid w:val="000B0BC2"/>
    <w:rsid w:val="000B0DBC"/>
    <w:rsid w:val="000B10E5"/>
    <w:rsid w:val="000B14E0"/>
    <w:rsid w:val="000B2084"/>
    <w:rsid w:val="000B224E"/>
    <w:rsid w:val="000B2501"/>
    <w:rsid w:val="000B291B"/>
    <w:rsid w:val="000B2C68"/>
    <w:rsid w:val="000B33F5"/>
    <w:rsid w:val="000B3514"/>
    <w:rsid w:val="000B3A7F"/>
    <w:rsid w:val="000B3D7A"/>
    <w:rsid w:val="000B43A5"/>
    <w:rsid w:val="000B49E2"/>
    <w:rsid w:val="000B4A9C"/>
    <w:rsid w:val="000B4B62"/>
    <w:rsid w:val="000B5485"/>
    <w:rsid w:val="000B5BDE"/>
    <w:rsid w:val="000B6114"/>
    <w:rsid w:val="000B6B36"/>
    <w:rsid w:val="000C014F"/>
    <w:rsid w:val="000C02BB"/>
    <w:rsid w:val="000C0921"/>
    <w:rsid w:val="000C0B12"/>
    <w:rsid w:val="000C0BD4"/>
    <w:rsid w:val="000C29B1"/>
    <w:rsid w:val="000C2DB6"/>
    <w:rsid w:val="000C3254"/>
    <w:rsid w:val="000C3449"/>
    <w:rsid w:val="000C4D5F"/>
    <w:rsid w:val="000C506D"/>
    <w:rsid w:val="000C5099"/>
    <w:rsid w:val="000C5508"/>
    <w:rsid w:val="000C5622"/>
    <w:rsid w:val="000C5FD9"/>
    <w:rsid w:val="000C6830"/>
    <w:rsid w:val="000C7A09"/>
    <w:rsid w:val="000C7B6A"/>
    <w:rsid w:val="000D0902"/>
    <w:rsid w:val="000D0999"/>
    <w:rsid w:val="000D15F4"/>
    <w:rsid w:val="000D1DFA"/>
    <w:rsid w:val="000D3B6A"/>
    <w:rsid w:val="000D3EA7"/>
    <w:rsid w:val="000D451D"/>
    <w:rsid w:val="000D45A8"/>
    <w:rsid w:val="000D49AD"/>
    <w:rsid w:val="000D4CB6"/>
    <w:rsid w:val="000D57AE"/>
    <w:rsid w:val="000D6023"/>
    <w:rsid w:val="000D63EF"/>
    <w:rsid w:val="000D6D83"/>
    <w:rsid w:val="000D71DC"/>
    <w:rsid w:val="000D767D"/>
    <w:rsid w:val="000D7A58"/>
    <w:rsid w:val="000D7EEB"/>
    <w:rsid w:val="000E16D3"/>
    <w:rsid w:val="000E1889"/>
    <w:rsid w:val="000E20EE"/>
    <w:rsid w:val="000E264E"/>
    <w:rsid w:val="000E28F6"/>
    <w:rsid w:val="000E2BFC"/>
    <w:rsid w:val="000E2CEE"/>
    <w:rsid w:val="000E314B"/>
    <w:rsid w:val="000E3BC6"/>
    <w:rsid w:val="000E3BD3"/>
    <w:rsid w:val="000E3C23"/>
    <w:rsid w:val="000E4AAD"/>
    <w:rsid w:val="000E54D3"/>
    <w:rsid w:val="000E5FF9"/>
    <w:rsid w:val="000E621B"/>
    <w:rsid w:val="000E6308"/>
    <w:rsid w:val="000E6552"/>
    <w:rsid w:val="000E6E4D"/>
    <w:rsid w:val="000E7332"/>
    <w:rsid w:val="000E7991"/>
    <w:rsid w:val="000E7A60"/>
    <w:rsid w:val="000E7D80"/>
    <w:rsid w:val="000F0CF6"/>
    <w:rsid w:val="000F1C9D"/>
    <w:rsid w:val="000F22C7"/>
    <w:rsid w:val="000F233C"/>
    <w:rsid w:val="000F2814"/>
    <w:rsid w:val="000F2CE7"/>
    <w:rsid w:val="000F2EC3"/>
    <w:rsid w:val="000F31F4"/>
    <w:rsid w:val="000F37AD"/>
    <w:rsid w:val="000F3EF4"/>
    <w:rsid w:val="000F4F5D"/>
    <w:rsid w:val="000F5067"/>
    <w:rsid w:val="000F61E0"/>
    <w:rsid w:val="000F6286"/>
    <w:rsid w:val="000F716B"/>
    <w:rsid w:val="000F7442"/>
    <w:rsid w:val="000F761E"/>
    <w:rsid w:val="000F7E60"/>
    <w:rsid w:val="0010051E"/>
    <w:rsid w:val="0010088B"/>
    <w:rsid w:val="00101399"/>
    <w:rsid w:val="00103BE8"/>
    <w:rsid w:val="0010545C"/>
    <w:rsid w:val="00105A69"/>
    <w:rsid w:val="00105EB7"/>
    <w:rsid w:val="001062B7"/>
    <w:rsid w:val="00106E57"/>
    <w:rsid w:val="00110245"/>
    <w:rsid w:val="00110292"/>
    <w:rsid w:val="00111792"/>
    <w:rsid w:val="0011243B"/>
    <w:rsid w:val="001124C0"/>
    <w:rsid w:val="0011250C"/>
    <w:rsid w:val="00112B58"/>
    <w:rsid w:val="00114412"/>
    <w:rsid w:val="001153A9"/>
    <w:rsid w:val="00115FF1"/>
    <w:rsid w:val="0011647A"/>
    <w:rsid w:val="00116DCA"/>
    <w:rsid w:val="001175A0"/>
    <w:rsid w:val="00117D45"/>
    <w:rsid w:val="00117FE0"/>
    <w:rsid w:val="00120259"/>
    <w:rsid w:val="00120270"/>
    <w:rsid w:val="00120A2E"/>
    <w:rsid w:val="00121554"/>
    <w:rsid w:val="0012239D"/>
    <w:rsid w:val="0012250E"/>
    <w:rsid w:val="00123139"/>
    <w:rsid w:val="00123422"/>
    <w:rsid w:val="00123A65"/>
    <w:rsid w:val="00123EDA"/>
    <w:rsid w:val="00124D20"/>
    <w:rsid w:val="00124F34"/>
    <w:rsid w:val="00125209"/>
    <w:rsid w:val="00126D3F"/>
    <w:rsid w:val="00127D37"/>
    <w:rsid w:val="00127EB2"/>
    <w:rsid w:val="001301CF"/>
    <w:rsid w:val="00130C86"/>
    <w:rsid w:val="00130E3D"/>
    <w:rsid w:val="00130F40"/>
    <w:rsid w:val="00132067"/>
    <w:rsid w:val="001322E8"/>
    <w:rsid w:val="00132F21"/>
    <w:rsid w:val="001331B7"/>
    <w:rsid w:val="001331E5"/>
    <w:rsid w:val="001332D4"/>
    <w:rsid w:val="00133382"/>
    <w:rsid w:val="001339EC"/>
    <w:rsid w:val="00133A31"/>
    <w:rsid w:val="00133B14"/>
    <w:rsid w:val="0013478D"/>
    <w:rsid w:val="001347FA"/>
    <w:rsid w:val="00135812"/>
    <w:rsid w:val="00135A35"/>
    <w:rsid w:val="00136F91"/>
    <w:rsid w:val="001371A3"/>
    <w:rsid w:val="0013743B"/>
    <w:rsid w:val="00137828"/>
    <w:rsid w:val="00137CE8"/>
    <w:rsid w:val="00137D4E"/>
    <w:rsid w:val="00137EB4"/>
    <w:rsid w:val="00140499"/>
    <w:rsid w:val="0014052A"/>
    <w:rsid w:val="001409CD"/>
    <w:rsid w:val="001410B8"/>
    <w:rsid w:val="0014131A"/>
    <w:rsid w:val="00141BDB"/>
    <w:rsid w:val="0014209B"/>
    <w:rsid w:val="00142D62"/>
    <w:rsid w:val="00143C0F"/>
    <w:rsid w:val="00144092"/>
    <w:rsid w:val="00144527"/>
    <w:rsid w:val="0014494D"/>
    <w:rsid w:val="00144A99"/>
    <w:rsid w:val="00144D67"/>
    <w:rsid w:val="00144E32"/>
    <w:rsid w:val="001456A3"/>
    <w:rsid w:val="00145B45"/>
    <w:rsid w:val="00145EA3"/>
    <w:rsid w:val="00146182"/>
    <w:rsid w:val="001461CE"/>
    <w:rsid w:val="001468E0"/>
    <w:rsid w:val="001468E9"/>
    <w:rsid w:val="00146F8A"/>
    <w:rsid w:val="00147B39"/>
    <w:rsid w:val="00150330"/>
    <w:rsid w:val="0015053C"/>
    <w:rsid w:val="001509E0"/>
    <w:rsid w:val="00150FB9"/>
    <w:rsid w:val="00151149"/>
    <w:rsid w:val="0015142C"/>
    <w:rsid w:val="001516BD"/>
    <w:rsid w:val="00151E50"/>
    <w:rsid w:val="00152055"/>
    <w:rsid w:val="001521C3"/>
    <w:rsid w:val="001521F5"/>
    <w:rsid w:val="00152C16"/>
    <w:rsid w:val="00152DFD"/>
    <w:rsid w:val="00152FC3"/>
    <w:rsid w:val="001539F7"/>
    <w:rsid w:val="00155582"/>
    <w:rsid w:val="0015574C"/>
    <w:rsid w:val="001564A1"/>
    <w:rsid w:val="00156BED"/>
    <w:rsid w:val="00156F73"/>
    <w:rsid w:val="00157CC6"/>
    <w:rsid w:val="00157DA1"/>
    <w:rsid w:val="001606B1"/>
    <w:rsid w:val="00160D08"/>
    <w:rsid w:val="0016159E"/>
    <w:rsid w:val="0016222A"/>
    <w:rsid w:val="001625C8"/>
    <w:rsid w:val="00162C03"/>
    <w:rsid w:val="00163F1D"/>
    <w:rsid w:val="001645F9"/>
    <w:rsid w:val="00164BD6"/>
    <w:rsid w:val="00166403"/>
    <w:rsid w:val="00166F78"/>
    <w:rsid w:val="0017058F"/>
    <w:rsid w:val="00170E55"/>
    <w:rsid w:val="00170EE4"/>
    <w:rsid w:val="001719E1"/>
    <w:rsid w:val="00171DC4"/>
    <w:rsid w:val="001720E0"/>
    <w:rsid w:val="001727FF"/>
    <w:rsid w:val="001728D6"/>
    <w:rsid w:val="001733B6"/>
    <w:rsid w:val="00173B24"/>
    <w:rsid w:val="001747B6"/>
    <w:rsid w:val="00174CA8"/>
    <w:rsid w:val="00174D18"/>
    <w:rsid w:val="00175179"/>
    <w:rsid w:val="00175401"/>
    <w:rsid w:val="001754C4"/>
    <w:rsid w:val="00175831"/>
    <w:rsid w:val="00175886"/>
    <w:rsid w:val="00175C8E"/>
    <w:rsid w:val="0017751C"/>
    <w:rsid w:val="00177C9A"/>
    <w:rsid w:val="00181563"/>
    <w:rsid w:val="0018198C"/>
    <w:rsid w:val="00182A16"/>
    <w:rsid w:val="00182E88"/>
    <w:rsid w:val="001837CA"/>
    <w:rsid w:val="001842C9"/>
    <w:rsid w:val="00184526"/>
    <w:rsid w:val="00184662"/>
    <w:rsid w:val="00184F8E"/>
    <w:rsid w:val="001852A0"/>
    <w:rsid w:val="001907E8"/>
    <w:rsid w:val="00190E2C"/>
    <w:rsid w:val="0019286E"/>
    <w:rsid w:val="00192B8F"/>
    <w:rsid w:val="001931DF"/>
    <w:rsid w:val="00193333"/>
    <w:rsid w:val="00193425"/>
    <w:rsid w:val="00193624"/>
    <w:rsid w:val="001939AA"/>
    <w:rsid w:val="001939F3"/>
    <w:rsid w:val="0019450F"/>
    <w:rsid w:val="001949C3"/>
    <w:rsid w:val="00194D89"/>
    <w:rsid w:val="00195143"/>
    <w:rsid w:val="00196084"/>
    <w:rsid w:val="00197340"/>
    <w:rsid w:val="0019756A"/>
    <w:rsid w:val="00197B0B"/>
    <w:rsid w:val="001A089C"/>
    <w:rsid w:val="001A0B40"/>
    <w:rsid w:val="001A0DD5"/>
    <w:rsid w:val="001A1850"/>
    <w:rsid w:val="001A1A0C"/>
    <w:rsid w:val="001A1A34"/>
    <w:rsid w:val="001A2063"/>
    <w:rsid w:val="001A2CC0"/>
    <w:rsid w:val="001A2D92"/>
    <w:rsid w:val="001A3031"/>
    <w:rsid w:val="001A33BC"/>
    <w:rsid w:val="001A4B04"/>
    <w:rsid w:val="001A5105"/>
    <w:rsid w:val="001A569E"/>
    <w:rsid w:val="001A56F2"/>
    <w:rsid w:val="001A5951"/>
    <w:rsid w:val="001A6912"/>
    <w:rsid w:val="001A6ADE"/>
    <w:rsid w:val="001A6FE6"/>
    <w:rsid w:val="001A7751"/>
    <w:rsid w:val="001B0072"/>
    <w:rsid w:val="001B011B"/>
    <w:rsid w:val="001B1563"/>
    <w:rsid w:val="001B1BA6"/>
    <w:rsid w:val="001B1D54"/>
    <w:rsid w:val="001B22B0"/>
    <w:rsid w:val="001B2350"/>
    <w:rsid w:val="001B23F7"/>
    <w:rsid w:val="001B32F1"/>
    <w:rsid w:val="001B4FF8"/>
    <w:rsid w:val="001B53FE"/>
    <w:rsid w:val="001B55D1"/>
    <w:rsid w:val="001B62B4"/>
    <w:rsid w:val="001B689E"/>
    <w:rsid w:val="001B6DF9"/>
    <w:rsid w:val="001B7D1B"/>
    <w:rsid w:val="001C1F6E"/>
    <w:rsid w:val="001C2476"/>
    <w:rsid w:val="001C262B"/>
    <w:rsid w:val="001C289A"/>
    <w:rsid w:val="001C2C7B"/>
    <w:rsid w:val="001C368E"/>
    <w:rsid w:val="001C3725"/>
    <w:rsid w:val="001C388D"/>
    <w:rsid w:val="001C4276"/>
    <w:rsid w:val="001C4312"/>
    <w:rsid w:val="001C4AD6"/>
    <w:rsid w:val="001C4D0F"/>
    <w:rsid w:val="001C565C"/>
    <w:rsid w:val="001C5D6F"/>
    <w:rsid w:val="001C5D8C"/>
    <w:rsid w:val="001C64FC"/>
    <w:rsid w:val="001C6B3B"/>
    <w:rsid w:val="001D1180"/>
    <w:rsid w:val="001D1555"/>
    <w:rsid w:val="001D1998"/>
    <w:rsid w:val="001D1F23"/>
    <w:rsid w:val="001D20A9"/>
    <w:rsid w:val="001D27AE"/>
    <w:rsid w:val="001D29AB"/>
    <w:rsid w:val="001D2B35"/>
    <w:rsid w:val="001D5E91"/>
    <w:rsid w:val="001D7A24"/>
    <w:rsid w:val="001E22BC"/>
    <w:rsid w:val="001E27AE"/>
    <w:rsid w:val="001E2DFD"/>
    <w:rsid w:val="001E3525"/>
    <w:rsid w:val="001E36CA"/>
    <w:rsid w:val="001E3C56"/>
    <w:rsid w:val="001E43E9"/>
    <w:rsid w:val="001E4439"/>
    <w:rsid w:val="001E51DA"/>
    <w:rsid w:val="001E65DC"/>
    <w:rsid w:val="001E67AD"/>
    <w:rsid w:val="001E7C04"/>
    <w:rsid w:val="001E7CC1"/>
    <w:rsid w:val="001F0050"/>
    <w:rsid w:val="001F0373"/>
    <w:rsid w:val="001F09C2"/>
    <w:rsid w:val="001F0D58"/>
    <w:rsid w:val="001F0E83"/>
    <w:rsid w:val="001F0FE3"/>
    <w:rsid w:val="001F119E"/>
    <w:rsid w:val="001F1967"/>
    <w:rsid w:val="001F2010"/>
    <w:rsid w:val="001F2104"/>
    <w:rsid w:val="001F25AA"/>
    <w:rsid w:val="001F25C6"/>
    <w:rsid w:val="001F2DEB"/>
    <w:rsid w:val="001F3251"/>
    <w:rsid w:val="001F3686"/>
    <w:rsid w:val="001F3791"/>
    <w:rsid w:val="001F3DC5"/>
    <w:rsid w:val="001F411E"/>
    <w:rsid w:val="001F45AE"/>
    <w:rsid w:val="001F480B"/>
    <w:rsid w:val="001F4A13"/>
    <w:rsid w:val="001F4A30"/>
    <w:rsid w:val="001F51B6"/>
    <w:rsid w:val="001F5282"/>
    <w:rsid w:val="001F5414"/>
    <w:rsid w:val="001F5F81"/>
    <w:rsid w:val="001F5FC8"/>
    <w:rsid w:val="001F6973"/>
    <w:rsid w:val="001F6FC5"/>
    <w:rsid w:val="001F7AFC"/>
    <w:rsid w:val="001F7C87"/>
    <w:rsid w:val="00200E49"/>
    <w:rsid w:val="002011CB"/>
    <w:rsid w:val="00201425"/>
    <w:rsid w:val="002027B7"/>
    <w:rsid w:val="002030EF"/>
    <w:rsid w:val="0020364D"/>
    <w:rsid w:val="00203675"/>
    <w:rsid w:val="00204C48"/>
    <w:rsid w:val="00204C55"/>
    <w:rsid w:val="00204DF3"/>
    <w:rsid w:val="00204EB9"/>
    <w:rsid w:val="0020564A"/>
    <w:rsid w:val="00205C66"/>
    <w:rsid w:val="00205EE5"/>
    <w:rsid w:val="00205FDF"/>
    <w:rsid w:val="00206A65"/>
    <w:rsid w:val="00206B4A"/>
    <w:rsid w:val="00206EAD"/>
    <w:rsid w:val="00210E56"/>
    <w:rsid w:val="00210E98"/>
    <w:rsid w:val="00211B78"/>
    <w:rsid w:val="00211FD6"/>
    <w:rsid w:val="002122D8"/>
    <w:rsid w:val="00213507"/>
    <w:rsid w:val="00213681"/>
    <w:rsid w:val="00213CF8"/>
    <w:rsid w:val="002152EB"/>
    <w:rsid w:val="002158ED"/>
    <w:rsid w:val="00216883"/>
    <w:rsid w:val="00216AD5"/>
    <w:rsid w:val="00217C4F"/>
    <w:rsid w:val="002200DB"/>
    <w:rsid w:val="00220370"/>
    <w:rsid w:val="0022048A"/>
    <w:rsid w:val="0022060C"/>
    <w:rsid w:val="0022075E"/>
    <w:rsid w:val="00220E74"/>
    <w:rsid w:val="00221236"/>
    <w:rsid w:val="00222630"/>
    <w:rsid w:val="00222AA0"/>
    <w:rsid w:val="00223C02"/>
    <w:rsid w:val="00223CBD"/>
    <w:rsid w:val="00224AC3"/>
    <w:rsid w:val="00225848"/>
    <w:rsid w:val="002259A9"/>
    <w:rsid w:val="00226591"/>
    <w:rsid w:val="002267CF"/>
    <w:rsid w:val="00227A12"/>
    <w:rsid w:val="00230BE3"/>
    <w:rsid w:val="00230ED7"/>
    <w:rsid w:val="0023136D"/>
    <w:rsid w:val="0023172E"/>
    <w:rsid w:val="00231F91"/>
    <w:rsid w:val="0023284C"/>
    <w:rsid w:val="00232A91"/>
    <w:rsid w:val="0023356B"/>
    <w:rsid w:val="002343B2"/>
    <w:rsid w:val="00234628"/>
    <w:rsid w:val="00234B51"/>
    <w:rsid w:val="00234D95"/>
    <w:rsid w:val="00234E06"/>
    <w:rsid w:val="002352CD"/>
    <w:rsid w:val="0023618D"/>
    <w:rsid w:val="002365FA"/>
    <w:rsid w:val="00236AAD"/>
    <w:rsid w:val="00237F6F"/>
    <w:rsid w:val="00237FB4"/>
    <w:rsid w:val="002419A3"/>
    <w:rsid w:val="002421D1"/>
    <w:rsid w:val="00242A5B"/>
    <w:rsid w:val="00242B43"/>
    <w:rsid w:val="002433BE"/>
    <w:rsid w:val="00243581"/>
    <w:rsid w:val="00243893"/>
    <w:rsid w:val="00243D34"/>
    <w:rsid w:val="00244B5C"/>
    <w:rsid w:val="00244C5E"/>
    <w:rsid w:val="00244D1D"/>
    <w:rsid w:val="00244D61"/>
    <w:rsid w:val="00245408"/>
    <w:rsid w:val="00245BCA"/>
    <w:rsid w:val="00245D86"/>
    <w:rsid w:val="00245E8B"/>
    <w:rsid w:val="002471CF"/>
    <w:rsid w:val="0024741D"/>
    <w:rsid w:val="00247A83"/>
    <w:rsid w:val="00247BE1"/>
    <w:rsid w:val="002502E1"/>
    <w:rsid w:val="00250864"/>
    <w:rsid w:val="00250873"/>
    <w:rsid w:val="00250D38"/>
    <w:rsid w:val="00251322"/>
    <w:rsid w:val="00251CE8"/>
    <w:rsid w:val="00253012"/>
    <w:rsid w:val="002530E1"/>
    <w:rsid w:val="002532CC"/>
    <w:rsid w:val="0025378C"/>
    <w:rsid w:val="00253FF7"/>
    <w:rsid w:val="00254170"/>
    <w:rsid w:val="0025573D"/>
    <w:rsid w:val="002557B8"/>
    <w:rsid w:val="00255B13"/>
    <w:rsid w:val="002568C3"/>
    <w:rsid w:val="00256A44"/>
    <w:rsid w:val="00257050"/>
    <w:rsid w:val="002579DC"/>
    <w:rsid w:val="00260A75"/>
    <w:rsid w:val="00261127"/>
    <w:rsid w:val="0026131B"/>
    <w:rsid w:val="00262346"/>
    <w:rsid w:val="0026322D"/>
    <w:rsid w:val="0026344D"/>
    <w:rsid w:val="002641A2"/>
    <w:rsid w:val="002649F4"/>
    <w:rsid w:val="00264E73"/>
    <w:rsid w:val="00265537"/>
    <w:rsid w:val="00266032"/>
    <w:rsid w:val="00266467"/>
    <w:rsid w:val="00266779"/>
    <w:rsid w:val="002667F1"/>
    <w:rsid w:val="00266BAB"/>
    <w:rsid w:val="00267376"/>
    <w:rsid w:val="00267471"/>
    <w:rsid w:val="0026752D"/>
    <w:rsid w:val="002702A0"/>
    <w:rsid w:val="002702C7"/>
    <w:rsid w:val="002704FD"/>
    <w:rsid w:val="002709A1"/>
    <w:rsid w:val="00270E24"/>
    <w:rsid w:val="0027161A"/>
    <w:rsid w:val="002722B9"/>
    <w:rsid w:val="002722D8"/>
    <w:rsid w:val="0027232C"/>
    <w:rsid w:val="0027290B"/>
    <w:rsid w:val="002732DE"/>
    <w:rsid w:val="002735A2"/>
    <w:rsid w:val="002741DC"/>
    <w:rsid w:val="0027474D"/>
    <w:rsid w:val="00275408"/>
    <w:rsid w:val="0027637B"/>
    <w:rsid w:val="00276C8A"/>
    <w:rsid w:val="00276C98"/>
    <w:rsid w:val="002775DC"/>
    <w:rsid w:val="002775FA"/>
    <w:rsid w:val="00277686"/>
    <w:rsid w:val="00277820"/>
    <w:rsid w:val="00277B6A"/>
    <w:rsid w:val="00277F06"/>
    <w:rsid w:val="00280172"/>
    <w:rsid w:val="0028020B"/>
    <w:rsid w:val="00280945"/>
    <w:rsid w:val="00281148"/>
    <w:rsid w:val="002813E5"/>
    <w:rsid w:val="0028214A"/>
    <w:rsid w:val="00283687"/>
    <w:rsid w:val="00284842"/>
    <w:rsid w:val="00284896"/>
    <w:rsid w:val="002858DF"/>
    <w:rsid w:val="00286611"/>
    <w:rsid w:val="002868AF"/>
    <w:rsid w:val="002876D4"/>
    <w:rsid w:val="00291740"/>
    <w:rsid w:val="00292774"/>
    <w:rsid w:val="00293002"/>
    <w:rsid w:val="00293116"/>
    <w:rsid w:val="00293128"/>
    <w:rsid w:val="002935C2"/>
    <w:rsid w:val="002936F0"/>
    <w:rsid w:val="002939A7"/>
    <w:rsid w:val="00294057"/>
    <w:rsid w:val="00294386"/>
    <w:rsid w:val="002944CA"/>
    <w:rsid w:val="002945B9"/>
    <w:rsid w:val="00294CB7"/>
    <w:rsid w:val="00294F91"/>
    <w:rsid w:val="002952F0"/>
    <w:rsid w:val="00295B18"/>
    <w:rsid w:val="00296344"/>
    <w:rsid w:val="00296C6A"/>
    <w:rsid w:val="0029740D"/>
    <w:rsid w:val="002974F1"/>
    <w:rsid w:val="00297AAA"/>
    <w:rsid w:val="00297F0A"/>
    <w:rsid w:val="00297F4D"/>
    <w:rsid w:val="002A02BB"/>
    <w:rsid w:val="002A0478"/>
    <w:rsid w:val="002A111D"/>
    <w:rsid w:val="002A1585"/>
    <w:rsid w:val="002A1A84"/>
    <w:rsid w:val="002A1BAF"/>
    <w:rsid w:val="002A1D14"/>
    <w:rsid w:val="002A2067"/>
    <w:rsid w:val="002A25B0"/>
    <w:rsid w:val="002A3134"/>
    <w:rsid w:val="002A31DC"/>
    <w:rsid w:val="002A3393"/>
    <w:rsid w:val="002A3F6E"/>
    <w:rsid w:val="002A44EA"/>
    <w:rsid w:val="002A4A5B"/>
    <w:rsid w:val="002A67A6"/>
    <w:rsid w:val="002A6820"/>
    <w:rsid w:val="002A6E59"/>
    <w:rsid w:val="002A7641"/>
    <w:rsid w:val="002A7B95"/>
    <w:rsid w:val="002A7E3F"/>
    <w:rsid w:val="002B0281"/>
    <w:rsid w:val="002B15A4"/>
    <w:rsid w:val="002B222D"/>
    <w:rsid w:val="002B2668"/>
    <w:rsid w:val="002B26D1"/>
    <w:rsid w:val="002B343E"/>
    <w:rsid w:val="002B37EF"/>
    <w:rsid w:val="002B3AB6"/>
    <w:rsid w:val="002B4381"/>
    <w:rsid w:val="002B4633"/>
    <w:rsid w:val="002B49CF"/>
    <w:rsid w:val="002B54B0"/>
    <w:rsid w:val="002B54DC"/>
    <w:rsid w:val="002B575C"/>
    <w:rsid w:val="002B5E65"/>
    <w:rsid w:val="002B6726"/>
    <w:rsid w:val="002B710C"/>
    <w:rsid w:val="002B7F44"/>
    <w:rsid w:val="002C0D2D"/>
    <w:rsid w:val="002C0DA1"/>
    <w:rsid w:val="002C2B47"/>
    <w:rsid w:val="002C2EA5"/>
    <w:rsid w:val="002C3B9B"/>
    <w:rsid w:val="002C4D11"/>
    <w:rsid w:val="002C5322"/>
    <w:rsid w:val="002C54F0"/>
    <w:rsid w:val="002C5575"/>
    <w:rsid w:val="002C594C"/>
    <w:rsid w:val="002C62F5"/>
    <w:rsid w:val="002C6920"/>
    <w:rsid w:val="002C6BBD"/>
    <w:rsid w:val="002C7488"/>
    <w:rsid w:val="002C773F"/>
    <w:rsid w:val="002D0A08"/>
    <w:rsid w:val="002D0B59"/>
    <w:rsid w:val="002D0D03"/>
    <w:rsid w:val="002D1048"/>
    <w:rsid w:val="002D1615"/>
    <w:rsid w:val="002D1AEE"/>
    <w:rsid w:val="002D1D97"/>
    <w:rsid w:val="002D227F"/>
    <w:rsid w:val="002D287B"/>
    <w:rsid w:val="002D3058"/>
    <w:rsid w:val="002D422D"/>
    <w:rsid w:val="002D4526"/>
    <w:rsid w:val="002D4625"/>
    <w:rsid w:val="002D47D6"/>
    <w:rsid w:val="002D48EE"/>
    <w:rsid w:val="002D519E"/>
    <w:rsid w:val="002D5345"/>
    <w:rsid w:val="002D584A"/>
    <w:rsid w:val="002D5980"/>
    <w:rsid w:val="002D5D65"/>
    <w:rsid w:val="002D603E"/>
    <w:rsid w:val="002D608D"/>
    <w:rsid w:val="002D69E2"/>
    <w:rsid w:val="002D7414"/>
    <w:rsid w:val="002D75DE"/>
    <w:rsid w:val="002E0113"/>
    <w:rsid w:val="002E050F"/>
    <w:rsid w:val="002E0590"/>
    <w:rsid w:val="002E0AD0"/>
    <w:rsid w:val="002E0D95"/>
    <w:rsid w:val="002E0E29"/>
    <w:rsid w:val="002E13D9"/>
    <w:rsid w:val="002E1A36"/>
    <w:rsid w:val="002E1C9A"/>
    <w:rsid w:val="002E2206"/>
    <w:rsid w:val="002E26FA"/>
    <w:rsid w:val="002E2D4C"/>
    <w:rsid w:val="002E2EAC"/>
    <w:rsid w:val="002E3265"/>
    <w:rsid w:val="002E44FC"/>
    <w:rsid w:val="002E4CA3"/>
    <w:rsid w:val="002E4D9F"/>
    <w:rsid w:val="002E4E05"/>
    <w:rsid w:val="002E5A1F"/>
    <w:rsid w:val="002E7103"/>
    <w:rsid w:val="002E76FD"/>
    <w:rsid w:val="002F092F"/>
    <w:rsid w:val="002F0B62"/>
    <w:rsid w:val="002F21F2"/>
    <w:rsid w:val="002F267E"/>
    <w:rsid w:val="002F3483"/>
    <w:rsid w:val="002F3C68"/>
    <w:rsid w:val="002F3F8F"/>
    <w:rsid w:val="002F413F"/>
    <w:rsid w:val="002F443E"/>
    <w:rsid w:val="002F47E7"/>
    <w:rsid w:val="002F4A1E"/>
    <w:rsid w:val="002F5064"/>
    <w:rsid w:val="002F6B7A"/>
    <w:rsid w:val="002F6BCB"/>
    <w:rsid w:val="002F784A"/>
    <w:rsid w:val="002F7ACB"/>
    <w:rsid w:val="002F7B61"/>
    <w:rsid w:val="00301369"/>
    <w:rsid w:val="0030161A"/>
    <w:rsid w:val="0030282A"/>
    <w:rsid w:val="00302E3E"/>
    <w:rsid w:val="00303224"/>
    <w:rsid w:val="00303338"/>
    <w:rsid w:val="00304BCE"/>
    <w:rsid w:val="00304F39"/>
    <w:rsid w:val="00307273"/>
    <w:rsid w:val="003076E3"/>
    <w:rsid w:val="00307BD0"/>
    <w:rsid w:val="00310C28"/>
    <w:rsid w:val="00310F03"/>
    <w:rsid w:val="00312307"/>
    <w:rsid w:val="003127D6"/>
    <w:rsid w:val="00313396"/>
    <w:rsid w:val="003134B8"/>
    <w:rsid w:val="00314622"/>
    <w:rsid w:val="00314880"/>
    <w:rsid w:val="00314B4A"/>
    <w:rsid w:val="00314C47"/>
    <w:rsid w:val="0031519B"/>
    <w:rsid w:val="003155C8"/>
    <w:rsid w:val="003155DF"/>
    <w:rsid w:val="0031592A"/>
    <w:rsid w:val="00315A93"/>
    <w:rsid w:val="00315D84"/>
    <w:rsid w:val="003173FE"/>
    <w:rsid w:val="003174A3"/>
    <w:rsid w:val="00320853"/>
    <w:rsid w:val="003208CF"/>
    <w:rsid w:val="00321131"/>
    <w:rsid w:val="00321B76"/>
    <w:rsid w:val="0032257E"/>
    <w:rsid w:val="003232FD"/>
    <w:rsid w:val="00323ABA"/>
    <w:rsid w:val="00324393"/>
    <w:rsid w:val="003248EB"/>
    <w:rsid w:val="003251F1"/>
    <w:rsid w:val="00325364"/>
    <w:rsid w:val="00326F20"/>
    <w:rsid w:val="003270AB"/>
    <w:rsid w:val="0033035E"/>
    <w:rsid w:val="00330EEC"/>
    <w:rsid w:val="00331589"/>
    <w:rsid w:val="0033207C"/>
    <w:rsid w:val="00332EBC"/>
    <w:rsid w:val="0033313A"/>
    <w:rsid w:val="003333D5"/>
    <w:rsid w:val="0033415A"/>
    <w:rsid w:val="003345B6"/>
    <w:rsid w:val="0033493D"/>
    <w:rsid w:val="003349C2"/>
    <w:rsid w:val="00335316"/>
    <w:rsid w:val="003355C3"/>
    <w:rsid w:val="003357FF"/>
    <w:rsid w:val="003363D1"/>
    <w:rsid w:val="003379E7"/>
    <w:rsid w:val="00340648"/>
    <w:rsid w:val="003410B4"/>
    <w:rsid w:val="00341426"/>
    <w:rsid w:val="00341CE7"/>
    <w:rsid w:val="003423C4"/>
    <w:rsid w:val="0034281D"/>
    <w:rsid w:val="00342BD5"/>
    <w:rsid w:val="0034305E"/>
    <w:rsid w:val="00343141"/>
    <w:rsid w:val="003431FB"/>
    <w:rsid w:val="00343AD5"/>
    <w:rsid w:val="003445A0"/>
    <w:rsid w:val="00344A37"/>
    <w:rsid w:val="00344C4E"/>
    <w:rsid w:val="00344EA5"/>
    <w:rsid w:val="00344F02"/>
    <w:rsid w:val="003468FE"/>
    <w:rsid w:val="0034721D"/>
    <w:rsid w:val="00347A97"/>
    <w:rsid w:val="00347B5E"/>
    <w:rsid w:val="00347BBD"/>
    <w:rsid w:val="00347DE2"/>
    <w:rsid w:val="00347FD7"/>
    <w:rsid w:val="00351519"/>
    <w:rsid w:val="0035169E"/>
    <w:rsid w:val="0035190D"/>
    <w:rsid w:val="003523A1"/>
    <w:rsid w:val="00352DD3"/>
    <w:rsid w:val="00353612"/>
    <w:rsid w:val="00353796"/>
    <w:rsid w:val="00353C39"/>
    <w:rsid w:val="00354D3A"/>
    <w:rsid w:val="0035572B"/>
    <w:rsid w:val="0035576E"/>
    <w:rsid w:val="00355958"/>
    <w:rsid w:val="00355AA2"/>
    <w:rsid w:val="00356370"/>
    <w:rsid w:val="00356604"/>
    <w:rsid w:val="003567A7"/>
    <w:rsid w:val="00356C03"/>
    <w:rsid w:val="00357F9E"/>
    <w:rsid w:val="00360121"/>
    <w:rsid w:val="00360272"/>
    <w:rsid w:val="00360BB2"/>
    <w:rsid w:val="00360CB7"/>
    <w:rsid w:val="0036107F"/>
    <w:rsid w:val="00362DFE"/>
    <w:rsid w:val="00363834"/>
    <w:rsid w:val="00363DBC"/>
    <w:rsid w:val="00363EB0"/>
    <w:rsid w:val="00363F97"/>
    <w:rsid w:val="00364037"/>
    <w:rsid w:val="003655CA"/>
    <w:rsid w:val="00366A4B"/>
    <w:rsid w:val="003671ED"/>
    <w:rsid w:val="003703AB"/>
    <w:rsid w:val="00370B7B"/>
    <w:rsid w:val="003718B1"/>
    <w:rsid w:val="003718DD"/>
    <w:rsid w:val="0037266E"/>
    <w:rsid w:val="003734F1"/>
    <w:rsid w:val="00373598"/>
    <w:rsid w:val="0037414C"/>
    <w:rsid w:val="00374B14"/>
    <w:rsid w:val="00374EA3"/>
    <w:rsid w:val="00375194"/>
    <w:rsid w:val="00375DE6"/>
    <w:rsid w:val="003763D6"/>
    <w:rsid w:val="003768F9"/>
    <w:rsid w:val="00376AF8"/>
    <w:rsid w:val="00377209"/>
    <w:rsid w:val="003772A3"/>
    <w:rsid w:val="00377C3C"/>
    <w:rsid w:val="0038004C"/>
    <w:rsid w:val="003817D1"/>
    <w:rsid w:val="00381BD5"/>
    <w:rsid w:val="00382C6E"/>
    <w:rsid w:val="00382D07"/>
    <w:rsid w:val="00383B4D"/>
    <w:rsid w:val="00384351"/>
    <w:rsid w:val="00385360"/>
    <w:rsid w:val="00385F22"/>
    <w:rsid w:val="0038648E"/>
    <w:rsid w:val="00386C24"/>
    <w:rsid w:val="00387004"/>
    <w:rsid w:val="00387667"/>
    <w:rsid w:val="00387778"/>
    <w:rsid w:val="00387D82"/>
    <w:rsid w:val="003907D2"/>
    <w:rsid w:val="00390A3F"/>
    <w:rsid w:val="0039148A"/>
    <w:rsid w:val="003914F1"/>
    <w:rsid w:val="003919E7"/>
    <w:rsid w:val="00393089"/>
    <w:rsid w:val="003942A6"/>
    <w:rsid w:val="00394410"/>
    <w:rsid w:val="00394446"/>
    <w:rsid w:val="003948B6"/>
    <w:rsid w:val="00394FE3"/>
    <w:rsid w:val="003965F6"/>
    <w:rsid w:val="00396986"/>
    <w:rsid w:val="00396A85"/>
    <w:rsid w:val="00397280"/>
    <w:rsid w:val="0039768F"/>
    <w:rsid w:val="00397E6F"/>
    <w:rsid w:val="003A0B94"/>
    <w:rsid w:val="003A0CB1"/>
    <w:rsid w:val="003A0D57"/>
    <w:rsid w:val="003A0E2A"/>
    <w:rsid w:val="003A1175"/>
    <w:rsid w:val="003A16B6"/>
    <w:rsid w:val="003A1B26"/>
    <w:rsid w:val="003A1B5D"/>
    <w:rsid w:val="003A30A8"/>
    <w:rsid w:val="003A33BB"/>
    <w:rsid w:val="003A33F7"/>
    <w:rsid w:val="003A3AE2"/>
    <w:rsid w:val="003A3DC1"/>
    <w:rsid w:val="003A51A3"/>
    <w:rsid w:val="003A652D"/>
    <w:rsid w:val="003A7110"/>
    <w:rsid w:val="003A713A"/>
    <w:rsid w:val="003A7622"/>
    <w:rsid w:val="003A7629"/>
    <w:rsid w:val="003A7657"/>
    <w:rsid w:val="003A7914"/>
    <w:rsid w:val="003B0D1E"/>
    <w:rsid w:val="003B0EAE"/>
    <w:rsid w:val="003B1876"/>
    <w:rsid w:val="003B24FB"/>
    <w:rsid w:val="003B34F6"/>
    <w:rsid w:val="003B42D6"/>
    <w:rsid w:val="003B4885"/>
    <w:rsid w:val="003B5A37"/>
    <w:rsid w:val="003B6333"/>
    <w:rsid w:val="003B6FEF"/>
    <w:rsid w:val="003B77FA"/>
    <w:rsid w:val="003C0D0C"/>
    <w:rsid w:val="003C173E"/>
    <w:rsid w:val="003C1A89"/>
    <w:rsid w:val="003C228B"/>
    <w:rsid w:val="003C2707"/>
    <w:rsid w:val="003C2DAA"/>
    <w:rsid w:val="003C31FD"/>
    <w:rsid w:val="003C3D91"/>
    <w:rsid w:val="003C46B6"/>
    <w:rsid w:val="003C4A94"/>
    <w:rsid w:val="003C4F3F"/>
    <w:rsid w:val="003C58FF"/>
    <w:rsid w:val="003C5BD1"/>
    <w:rsid w:val="003C61E5"/>
    <w:rsid w:val="003C6A7E"/>
    <w:rsid w:val="003C6C0B"/>
    <w:rsid w:val="003C6C61"/>
    <w:rsid w:val="003C6E53"/>
    <w:rsid w:val="003C7286"/>
    <w:rsid w:val="003C7334"/>
    <w:rsid w:val="003C7EE5"/>
    <w:rsid w:val="003D0352"/>
    <w:rsid w:val="003D1712"/>
    <w:rsid w:val="003D26B7"/>
    <w:rsid w:val="003D37FD"/>
    <w:rsid w:val="003D390F"/>
    <w:rsid w:val="003D3956"/>
    <w:rsid w:val="003D3BB5"/>
    <w:rsid w:val="003D3C34"/>
    <w:rsid w:val="003D437E"/>
    <w:rsid w:val="003D4631"/>
    <w:rsid w:val="003D469C"/>
    <w:rsid w:val="003D48DD"/>
    <w:rsid w:val="003D55B5"/>
    <w:rsid w:val="003D5666"/>
    <w:rsid w:val="003D58EA"/>
    <w:rsid w:val="003E0165"/>
    <w:rsid w:val="003E0BDA"/>
    <w:rsid w:val="003E0C56"/>
    <w:rsid w:val="003E0F31"/>
    <w:rsid w:val="003E1C90"/>
    <w:rsid w:val="003E20BF"/>
    <w:rsid w:val="003E2F06"/>
    <w:rsid w:val="003E2FD0"/>
    <w:rsid w:val="003E3484"/>
    <w:rsid w:val="003E434D"/>
    <w:rsid w:val="003E4D13"/>
    <w:rsid w:val="003E56F2"/>
    <w:rsid w:val="003E5981"/>
    <w:rsid w:val="003E621F"/>
    <w:rsid w:val="003E6968"/>
    <w:rsid w:val="003E72A0"/>
    <w:rsid w:val="003E7B08"/>
    <w:rsid w:val="003F0837"/>
    <w:rsid w:val="003F1882"/>
    <w:rsid w:val="003F25F1"/>
    <w:rsid w:val="003F2D84"/>
    <w:rsid w:val="003F40A1"/>
    <w:rsid w:val="003F46C9"/>
    <w:rsid w:val="003F4705"/>
    <w:rsid w:val="003F47C2"/>
    <w:rsid w:val="003F4FC7"/>
    <w:rsid w:val="003F557E"/>
    <w:rsid w:val="003F5581"/>
    <w:rsid w:val="003F5F58"/>
    <w:rsid w:val="003F6B3C"/>
    <w:rsid w:val="003F6DAF"/>
    <w:rsid w:val="003F7336"/>
    <w:rsid w:val="00400063"/>
    <w:rsid w:val="004004D1"/>
    <w:rsid w:val="00400839"/>
    <w:rsid w:val="0040160F"/>
    <w:rsid w:val="00401623"/>
    <w:rsid w:val="00401B03"/>
    <w:rsid w:val="0040251A"/>
    <w:rsid w:val="004025E5"/>
    <w:rsid w:val="00402A8B"/>
    <w:rsid w:val="00402B69"/>
    <w:rsid w:val="00402E03"/>
    <w:rsid w:val="00403334"/>
    <w:rsid w:val="004034B9"/>
    <w:rsid w:val="0040364E"/>
    <w:rsid w:val="004036CC"/>
    <w:rsid w:val="004047B6"/>
    <w:rsid w:val="00405D7C"/>
    <w:rsid w:val="004061D8"/>
    <w:rsid w:val="00407164"/>
    <w:rsid w:val="004073C4"/>
    <w:rsid w:val="00407DC3"/>
    <w:rsid w:val="00407E03"/>
    <w:rsid w:val="00407F3C"/>
    <w:rsid w:val="00410456"/>
    <w:rsid w:val="00410472"/>
    <w:rsid w:val="004106DE"/>
    <w:rsid w:val="004106FD"/>
    <w:rsid w:val="00410A3B"/>
    <w:rsid w:val="00410A58"/>
    <w:rsid w:val="00411ABD"/>
    <w:rsid w:val="00411BFB"/>
    <w:rsid w:val="00411DA6"/>
    <w:rsid w:val="004122D6"/>
    <w:rsid w:val="00412C45"/>
    <w:rsid w:val="00413BD8"/>
    <w:rsid w:val="00413C87"/>
    <w:rsid w:val="0041628F"/>
    <w:rsid w:val="0041738A"/>
    <w:rsid w:val="004175F4"/>
    <w:rsid w:val="00420247"/>
    <w:rsid w:val="004203A2"/>
    <w:rsid w:val="00420676"/>
    <w:rsid w:val="00420980"/>
    <w:rsid w:val="00421A2C"/>
    <w:rsid w:val="00421E7F"/>
    <w:rsid w:val="004226E2"/>
    <w:rsid w:val="0042274A"/>
    <w:rsid w:val="00422C04"/>
    <w:rsid w:val="00422CA9"/>
    <w:rsid w:val="00422FCA"/>
    <w:rsid w:val="0042310E"/>
    <w:rsid w:val="00423E30"/>
    <w:rsid w:val="00424156"/>
    <w:rsid w:val="00424437"/>
    <w:rsid w:val="00424843"/>
    <w:rsid w:val="00424BDF"/>
    <w:rsid w:val="004254C4"/>
    <w:rsid w:val="00425760"/>
    <w:rsid w:val="0042581C"/>
    <w:rsid w:val="0042585E"/>
    <w:rsid w:val="004258AF"/>
    <w:rsid w:val="004259ED"/>
    <w:rsid w:val="0042647B"/>
    <w:rsid w:val="00426B79"/>
    <w:rsid w:val="00427179"/>
    <w:rsid w:val="0043000C"/>
    <w:rsid w:val="0043067B"/>
    <w:rsid w:val="0043138E"/>
    <w:rsid w:val="00431569"/>
    <w:rsid w:val="004315D8"/>
    <w:rsid w:val="00431657"/>
    <w:rsid w:val="00431949"/>
    <w:rsid w:val="00431ED4"/>
    <w:rsid w:val="004324E7"/>
    <w:rsid w:val="004329E9"/>
    <w:rsid w:val="00432D24"/>
    <w:rsid w:val="00433329"/>
    <w:rsid w:val="00433BB1"/>
    <w:rsid w:val="00433D2C"/>
    <w:rsid w:val="0043429B"/>
    <w:rsid w:val="004342DB"/>
    <w:rsid w:val="00435506"/>
    <w:rsid w:val="00435B0C"/>
    <w:rsid w:val="00435C0A"/>
    <w:rsid w:val="00435EF4"/>
    <w:rsid w:val="0043602B"/>
    <w:rsid w:val="00436A71"/>
    <w:rsid w:val="00437479"/>
    <w:rsid w:val="00440E3E"/>
    <w:rsid w:val="00441391"/>
    <w:rsid w:val="004414BE"/>
    <w:rsid w:val="00441E42"/>
    <w:rsid w:val="004436E2"/>
    <w:rsid w:val="00443F59"/>
    <w:rsid w:val="004445EE"/>
    <w:rsid w:val="0044539A"/>
    <w:rsid w:val="00445F59"/>
    <w:rsid w:val="004460BF"/>
    <w:rsid w:val="00451FE7"/>
    <w:rsid w:val="00452536"/>
    <w:rsid w:val="00452A46"/>
    <w:rsid w:val="0045343A"/>
    <w:rsid w:val="00453A8E"/>
    <w:rsid w:val="00454191"/>
    <w:rsid w:val="00454544"/>
    <w:rsid w:val="004548AF"/>
    <w:rsid w:val="00454A72"/>
    <w:rsid w:val="00454B65"/>
    <w:rsid w:val="00455271"/>
    <w:rsid w:val="00455396"/>
    <w:rsid w:val="0045611D"/>
    <w:rsid w:val="00456136"/>
    <w:rsid w:val="00456364"/>
    <w:rsid w:val="0045669C"/>
    <w:rsid w:val="004569AC"/>
    <w:rsid w:val="00456DD7"/>
    <w:rsid w:val="00457F31"/>
    <w:rsid w:val="004600D8"/>
    <w:rsid w:val="004600F8"/>
    <w:rsid w:val="0046054F"/>
    <w:rsid w:val="004608B0"/>
    <w:rsid w:val="004617FA"/>
    <w:rsid w:val="0046199E"/>
    <w:rsid w:val="00461AEC"/>
    <w:rsid w:val="00461C65"/>
    <w:rsid w:val="004629ED"/>
    <w:rsid w:val="00463644"/>
    <w:rsid w:val="004636C2"/>
    <w:rsid w:val="00463DD0"/>
    <w:rsid w:val="00465317"/>
    <w:rsid w:val="00466DE3"/>
    <w:rsid w:val="00467267"/>
    <w:rsid w:val="00471485"/>
    <w:rsid w:val="004714F7"/>
    <w:rsid w:val="004719DD"/>
    <w:rsid w:val="00471C9C"/>
    <w:rsid w:val="004728B2"/>
    <w:rsid w:val="004728C0"/>
    <w:rsid w:val="00472C8A"/>
    <w:rsid w:val="00473541"/>
    <w:rsid w:val="00474621"/>
    <w:rsid w:val="004746A0"/>
    <w:rsid w:val="004750BA"/>
    <w:rsid w:val="004757F1"/>
    <w:rsid w:val="00475BA7"/>
    <w:rsid w:val="0047661D"/>
    <w:rsid w:val="00476AE2"/>
    <w:rsid w:val="004770A9"/>
    <w:rsid w:val="0047740F"/>
    <w:rsid w:val="00477A09"/>
    <w:rsid w:val="00477D74"/>
    <w:rsid w:val="0048025A"/>
    <w:rsid w:val="00480530"/>
    <w:rsid w:val="00480825"/>
    <w:rsid w:val="00480F69"/>
    <w:rsid w:val="00481AD5"/>
    <w:rsid w:val="0048223F"/>
    <w:rsid w:val="004822C8"/>
    <w:rsid w:val="004827E9"/>
    <w:rsid w:val="00482D39"/>
    <w:rsid w:val="004844EB"/>
    <w:rsid w:val="004846F7"/>
    <w:rsid w:val="00484EF9"/>
    <w:rsid w:val="00484F4B"/>
    <w:rsid w:val="0048577A"/>
    <w:rsid w:val="0048594A"/>
    <w:rsid w:val="004859E6"/>
    <w:rsid w:val="00486E64"/>
    <w:rsid w:val="00486FB7"/>
    <w:rsid w:val="00487416"/>
    <w:rsid w:val="0048746C"/>
    <w:rsid w:val="004904BE"/>
    <w:rsid w:val="00490936"/>
    <w:rsid w:val="004911E5"/>
    <w:rsid w:val="00493279"/>
    <w:rsid w:val="0049337F"/>
    <w:rsid w:val="00493446"/>
    <w:rsid w:val="00493CAE"/>
    <w:rsid w:val="00494EFE"/>
    <w:rsid w:val="004954A7"/>
    <w:rsid w:val="0049597A"/>
    <w:rsid w:val="004959FD"/>
    <w:rsid w:val="00495DA3"/>
    <w:rsid w:val="00495FBC"/>
    <w:rsid w:val="00496D0C"/>
    <w:rsid w:val="00496E19"/>
    <w:rsid w:val="0049786B"/>
    <w:rsid w:val="00497D54"/>
    <w:rsid w:val="00497E0B"/>
    <w:rsid w:val="004A0849"/>
    <w:rsid w:val="004A092A"/>
    <w:rsid w:val="004A1804"/>
    <w:rsid w:val="004A2084"/>
    <w:rsid w:val="004A24E6"/>
    <w:rsid w:val="004A27AD"/>
    <w:rsid w:val="004A2BF1"/>
    <w:rsid w:val="004A31A8"/>
    <w:rsid w:val="004A3B99"/>
    <w:rsid w:val="004A65AD"/>
    <w:rsid w:val="004A6E47"/>
    <w:rsid w:val="004A6F75"/>
    <w:rsid w:val="004A73E1"/>
    <w:rsid w:val="004A7EF2"/>
    <w:rsid w:val="004B0445"/>
    <w:rsid w:val="004B09EA"/>
    <w:rsid w:val="004B12F5"/>
    <w:rsid w:val="004B19D4"/>
    <w:rsid w:val="004B1B0A"/>
    <w:rsid w:val="004B1C15"/>
    <w:rsid w:val="004B1C84"/>
    <w:rsid w:val="004B21EF"/>
    <w:rsid w:val="004B4A3F"/>
    <w:rsid w:val="004B63CE"/>
    <w:rsid w:val="004B6D0A"/>
    <w:rsid w:val="004C014A"/>
    <w:rsid w:val="004C0212"/>
    <w:rsid w:val="004C03C6"/>
    <w:rsid w:val="004C0CF5"/>
    <w:rsid w:val="004C0FE4"/>
    <w:rsid w:val="004C1342"/>
    <w:rsid w:val="004C13FF"/>
    <w:rsid w:val="004C1419"/>
    <w:rsid w:val="004C2282"/>
    <w:rsid w:val="004C2FE8"/>
    <w:rsid w:val="004C3314"/>
    <w:rsid w:val="004C43D6"/>
    <w:rsid w:val="004C4515"/>
    <w:rsid w:val="004C4EA6"/>
    <w:rsid w:val="004C665E"/>
    <w:rsid w:val="004C6EFE"/>
    <w:rsid w:val="004D054D"/>
    <w:rsid w:val="004D14B7"/>
    <w:rsid w:val="004D15F9"/>
    <w:rsid w:val="004D2450"/>
    <w:rsid w:val="004D31C1"/>
    <w:rsid w:val="004D42A2"/>
    <w:rsid w:val="004D5204"/>
    <w:rsid w:val="004D520E"/>
    <w:rsid w:val="004D5830"/>
    <w:rsid w:val="004D59BC"/>
    <w:rsid w:val="004D5B6A"/>
    <w:rsid w:val="004E0619"/>
    <w:rsid w:val="004E0A53"/>
    <w:rsid w:val="004E1A34"/>
    <w:rsid w:val="004E1E4A"/>
    <w:rsid w:val="004E2E6A"/>
    <w:rsid w:val="004E39CE"/>
    <w:rsid w:val="004E3CA8"/>
    <w:rsid w:val="004E3EF0"/>
    <w:rsid w:val="004E3F9E"/>
    <w:rsid w:val="004E55E3"/>
    <w:rsid w:val="004E5E89"/>
    <w:rsid w:val="004E6142"/>
    <w:rsid w:val="004E693F"/>
    <w:rsid w:val="004E793D"/>
    <w:rsid w:val="004E7AAF"/>
    <w:rsid w:val="004E7AE6"/>
    <w:rsid w:val="004F01D4"/>
    <w:rsid w:val="004F073D"/>
    <w:rsid w:val="004F0DB0"/>
    <w:rsid w:val="004F0DF8"/>
    <w:rsid w:val="004F13D0"/>
    <w:rsid w:val="004F1BBB"/>
    <w:rsid w:val="004F1E36"/>
    <w:rsid w:val="004F22C9"/>
    <w:rsid w:val="004F289F"/>
    <w:rsid w:val="004F3714"/>
    <w:rsid w:val="004F3C4D"/>
    <w:rsid w:val="004F42D2"/>
    <w:rsid w:val="004F4D88"/>
    <w:rsid w:val="004F4F98"/>
    <w:rsid w:val="004F5091"/>
    <w:rsid w:val="004F59B4"/>
    <w:rsid w:val="004F694B"/>
    <w:rsid w:val="004F6950"/>
    <w:rsid w:val="004F7620"/>
    <w:rsid w:val="004F7A46"/>
    <w:rsid w:val="004F7E6A"/>
    <w:rsid w:val="004F7FB5"/>
    <w:rsid w:val="00500010"/>
    <w:rsid w:val="00500304"/>
    <w:rsid w:val="005005C4"/>
    <w:rsid w:val="0050070B"/>
    <w:rsid w:val="00500806"/>
    <w:rsid w:val="00500886"/>
    <w:rsid w:val="00500ADA"/>
    <w:rsid w:val="0050113C"/>
    <w:rsid w:val="0050140F"/>
    <w:rsid w:val="00501BD9"/>
    <w:rsid w:val="00501D5A"/>
    <w:rsid w:val="0050207C"/>
    <w:rsid w:val="00502F56"/>
    <w:rsid w:val="00503234"/>
    <w:rsid w:val="00503629"/>
    <w:rsid w:val="00503B00"/>
    <w:rsid w:val="00504306"/>
    <w:rsid w:val="005045E5"/>
    <w:rsid w:val="00505B84"/>
    <w:rsid w:val="00506521"/>
    <w:rsid w:val="005067DD"/>
    <w:rsid w:val="00506A2A"/>
    <w:rsid w:val="00506C19"/>
    <w:rsid w:val="00507671"/>
    <w:rsid w:val="00507CC9"/>
    <w:rsid w:val="00510C84"/>
    <w:rsid w:val="00511491"/>
    <w:rsid w:val="00511727"/>
    <w:rsid w:val="00511A0D"/>
    <w:rsid w:val="00511CF2"/>
    <w:rsid w:val="00511FC9"/>
    <w:rsid w:val="00513C4E"/>
    <w:rsid w:val="00513DA1"/>
    <w:rsid w:val="00514218"/>
    <w:rsid w:val="00514895"/>
    <w:rsid w:val="00514A13"/>
    <w:rsid w:val="00514D88"/>
    <w:rsid w:val="00515338"/>
    <w:rsid w:val="00515BF8"/>
    <w:rsid w:val="00516279"/>
    <w:rsid w:val="005162D6"/>
    <w:rsid w:val="00517873"/>
    <w:rsid w:val="00517B4F"/>
    <w:rsid w:val="0052022F"/>
    <w:rsid w:val="00520FB0"/>
    <w:rsid w:val="00522B31"/>
    <w:rsid w:val="0052370D"/>
    <w:rsid w:val="00523C9D"/>
    <w:rsid w:val="00523DE2"/>
    <w:rsid w:val="005245D8"/>
    <w:rsid w:val="0052495A"/>
    <w:rsid w:val="00524AAC"/>
    <w:rsid w:val="00525A03"/>
    <w:rsid w:val="00525BA0"/>
    <w:rsid w:val="00525C9C"/>
    <w:rsid w:val="00525E18"/>
    <w:rsid w:val="00525F5F"/>
    <w:rsid w:val="0052624B"/>
    <w:rsid w:val="005263A0"/>
    <w:rsid w:val="005263BC"/>
    <w:rsid w:val="00526529"/>
    <w:rsid w:val="00526B60"/>
    <w:rsid w:val="00526E12"/>
    <w:rsid w:val="005275A1"/>
    <w:rsid w:val="00530162"/>
    <w:rsid w:val="00530BE3"/>
    <w:rsid w:val="00530EF2"/>
    <w:rsid w:val="005314B3"/>
    <w:rsid w:val="00531DC7"/>
    <w:rsid w:val="00532A9C"/>
    <w:rsid w:val="00532C55"/>
    <w:rsid w:val="0053402A"/>
    <w:rsid w:val="005342FC"/>
    <w:rsid w:val="00534A18"/>
    <w:rsid w:val="005357F6"/>
    <w:rsid w:val="005359DA"/>
    <w:rsid w:val="00535C0D"/>
    <w:rsid w:val="00535C40"/>
    <w:rsid w:val="00535FC2"/>
    <w:rsid w:val="005367A5"/>
    <w:rsid w:val="005369DB"/>
    <w:rsid w:val="00536B66"/>
    <w:rsid w:val="00536CC5"/>
    <w:rsid w:val="00540A1C"/>
    <w:rsid w:val="005415B1"/>
    <w:rsid w:val="00541D82"/>
    <w:rsid w:val="00542062"/>
    <w:rsid w:val="00542A8F"/>
    <w:rsid w:val="00542A9F"/>
    <w:rsid w:val="00542D51"/>
    <w:rsid w:val="005430D8"/>
    <w:rsid w:val="0054310F"/>
    <w:rsid w:val="0054370A"/>
    <w:rsid w:val="00543967"/>
    <w:rsid w:val="0054440D"/>
    <w:rsid w:val="00544B8D"/>
    <w:rsid w:val="00544EAA"/>
    <w:rsid w:val="00545503"/>
    <w:rsid w:val="00545DA4"/>
    <w:rsid w:val="005464D4"/>
    <w:rsid w:val="00546563"/>
    <w:rsid w:val="005468A9"/>
    <w:rsid w:val="00546E19"/>
    <w:rsid w:val="005472C5"/>
    <w:rsid w:val="00550126"/>
    <w:rsid w:val="0055065F"/>
    <w:rsid w:val="00550D35"/>
    <w:rsid w:val="0055170D"/>
    <w:rsid w:val="00551A28"/>
    <w:rsid w:val="005524B5"/>
    <w:rsid w:val="00552857"/>
    <w:rsid w:val="00554A74"/>
    <w:rsid w:val="0055548A"/>
    <w:rsid w:val="00555C60"/>
    <w:rsid w:val="00556234"/>
    <w:rsid w:val="005565E7"/>
    <w:rsid w:val="00556829"/>
    <w:rsid w:val="005600BC"/>
    <w:rsid w:val="005611B4"/>
    <w:rsid w:val="00561216"/>
    <w:rsid w:val="00561295"/>
    <w:rsid w:val="00562B41"/>
    <w:rsid w:val="00562EA2"/>
    <w:rsid w:val="0056369A"/>
    <w:rsid w:val="00564015"/>
    <w:rsid w:val="00564194"/>
    <w:rsid w:val="005643D7"/>
    <w:rsid w:val="00564B9C"/>
    <w:rsid w:val="00564D57"/>
    <w:rsid w:val="005654CB"/>
    <w:rsid w:val="005663E7"/>
    <w:rsid w:val="00566852"/>
    <w:rsid w:val="005674CB"/>
    <w:rsid w:val="005700E4"/>
    <w:rsid w:val="0057118B"/>
    <w:rsid w:val="005719BC"/>
    <w:rsid w:val="00571E57"/>
    <w:rsid w:val="00571FB8"/>
    <w:rsid w:val="005723CC"/>
    <w:rsid w:val="00572725"/>
    <w:rsid w:val="0057306D"/>
    <w:rsid w:val="005731BC"/>
    <w:rsid w:val="00573BA7"/>
    <w:rsid w:val="00574FA0"/>
    <w:rsid w:val="00575303"/>
    <w:rsid w:val="00575829"/>
    <w:rsid w:val="00576003"/>
    <w:rsid w:val="00576087"/>
    <w:rsid w:val="005760AD"/>
    <w:rsid w:val="0057677D"/>
    <w:rsid w:val="005768AE"/>
    <w:rsid w:val="00577725"/>
    <w:rsid w:val="0057792A"/>
    <w:rsid w:val="0057794F"/>
    <w:rsid w:val="00577D45"/>
    <w:rsid w:val="00580F3A"/>
    <w:rsid w:val="00581480"/>
    <w:rsid w:val="00581621"/>
    <w:rsid w:val="00581625"/>
    <w:rsid w:val="00581A59"/>
    <w:rsid w:val="0058333C"/>
    <w:rsid w:val="0058376E"/>
    <w:rsid w:val="00583D6D"/>
    <w:rsid w:val="00583ED4"/>
    <w:rsid w:val="00584175"/>
    <w:rsid w:val="00584274"/>
    <w:rsid w:val="005842AC"/>
    <w:rsid w:val="00585775"/>
    <w:rsid w:val="00585D8F"/>
    <w:rsid w:val="005867A1"/>
    <w:rsid w:val="00586A73"/>
    <w:rsid w:val="00586E6E"/>
    <w:rsid w:val="005874CD"/>
    <w:rsid w:val="00587502"/>
    <w:rsid w:val="00590A7B"/>
    <w:rsid w:val="00590AEF"/>
    <w:rsid w:val="0059116E"/>
    <w:rsid w:val="005919A0"/>
    <w:rsid w:val="00591DD3"/>
    <w:rsid w:val="005945B3"/>
    <w:rsid w:val="005948EB"/>
    <w:rsid w:val="005949E0"/>
    <w:rsid w:val="00594DC2"/>
    <w:rsid w:val="00595055"/>
    <w:rsid w:val="00595CE5"/>
    <w:rsid w:val="0059735F"/>
    <w:rsid w:val="00597913"/>
    <w:rsid w:val="005A0C6B"/>
    <w:rsid w:val="005A0FAB"/>
    <w:rsid w:val="005A1180"/>
    <w:rsid w:val="005A20B5"/>
    <w:rsid w:val="005A23BE"/>
    <w:rsid w:val="005A2550"/>
    <w:rsid w:val="005A264A"/>
    <w:rsid w:val="005A27ED"/>
    <w:rsid w:val="005A2820"/>
    <w:rsid w:val="005A2CF0"/>
    <w:rsid w:val="005A2CF9"/>
    <w:rsid w:val="005A2D77"/>
    <w:rsid w:val="005A3821"/>
    <w:rsid w:val="005A3BAA"/>
    <w:rsid w:val="005A3FCA"/>
    <w:rsid w:val="005A54CD"/>
    <w:rsid w:val="005A5799"/>
    <w:rsid w:val="005A6FF5"/>
    <w:rsid w:val="005A75B1"/>
    <w:rsid w:val="005A7B81"/>
    <w:rsid w:val="005A7C8A"/>
    <w:rsid w:val="005B02BB"/>
    <w:rsid w:val="005B0868"/>
    <w:rsid w:val="005B09F9"/>
    <w:rsid w:val="005B0AB1"/>
    <w:rsid w:val="005B1433"/>
    <w:rsid w:val="005B1592"/>
    <w:rsid w:val="005B218A"/>
    <w:rsid w:val="005B25C9"/>
    <w:rsid w:val="005B2821"/>
    <w:rsid w:val="005B2C5E"/>
    <w:rsid w:val="005B3177"/>
    <w:rsid w:val="005B3398"/>
    <w:rsid w:val="005B34B6"/>
    <w:rsid w:val="005B34F0"/>
    <w:rsid w:val="005B35FD"/>
    <w:rsid w:val="005B37A8"/>
    <w:rsid w:val="005B3A74"/>
    <w:rsid w:val="005B3B80"/>
    <w:rsid w:val="005B4F3A"/>
    <w:rsid w:val="005B5647"/>
    <w:rsid w:val="005B5BAA"/>
    <w:rsid w:val="005B68C8"/>
    <w:rsid w:val="005B6A0C"/>
    <w:rsid w:val="005B744A"/>
    <w:rsid w:val="005B7976"/>
    <w:rsid w:val="005B7A48"/>
    <w:rsid w:val="005B7AF5"/>
    <w:rsid w:val="005C08E8"/>
    <w:rsid w:val="005C17B8"/>
    <w:rsid w:val="005C1AD6"/>
    <w:rsid w:val="005C1E1D"/>
    <w:rsid w:val="005C2437"/>
    <w:rsid w:val="005C2546"/>
    <w:rsid w:val="005C2F19"/>
    <w:rsid w:val="005C3C54"/>
    <w:rsid w:val="005C3E33"/>
    <w:rsid w:val="005C3FA5"/>
    <w:rsid w:val="005C422F"/>
    <w:rsid w:val="005C4D2F"/>
    <w:rsid w:val="005C4D4F"/>
    <w:rsid w:val="005C504F"/>
    <w:rsid w:val="005C50B8"/>
    <w:rsid w:val="005C5745"/>
    <w:rsid w:val="005C57AE"/>
    <w:rsid w:val="005C5CD7"/>
    <w:rsid w:val="005C7265"/>
    <w:rsid w:val="005C7331"/>
    <w:rsid w:val="005C76E8"/>
    <w:rsid w:val="005C77B4"/>
    <w:rsid w:val="005D05D5"/>
    <w:rsid w:val="005D083B"/>
    <w:rsid w:val="005D09CD"/>
    <w:rsid w:val="005D0C22"/>
    <w:rsid w:val="005D10DC"/>
    <w:rsid w:val="005D203D"/>
    <w:rsid w:val="005D26A2"/>
    <w:rsid w:val="005D2CF2"/>
    <w:rsid w:val="005D30B1"/>
    <w:rsid w:val="005D3128"/>
    <w:rsid w:val="005D3694"/>
    <w:rsid w:val="005D3D77"/>
    <w:rsid w:val="005D438D"/>
    <w:rsid w:val="005D4449"/>
    <w:rsid w:val="005D4702"/>
    <w:rsid w:val="005D48A0"/>
    <w:rsid w:val="005D4AFE"/>
    <w:rsid w:val="005D501A"/>
    <w:rsid w:val="005D5ED4"/>
    <w:rsid w:val="005D60BD"/>
    <w:rsid w:val="005D6617"/>
    <w:rsid w:val="005D6B33"/>
    <w:rsid w:val="005D723E"/>
    <w:rsid w:val="005D73BC"/>
    <w:rsid w:val="005D774C"/>
    <w:rsid w:val="005D7998"/>
    <w:rsid w:val="005E0433"/>
    <w:rsid w:val="005E1B3E"/>
    <w:rsid w:val="005E27D0"/>
    <w:rsid w:val="005E37C2"/>
    <w:rsid w:val="005E3B5F"/>
    <w:rsid w:val="005E513C"/>
    <w:rsid w:val="005E5382"/>
    <w:rsid w:val="005E592D"/>
    <w:rsid w:val="005E5AD4"/>
    <w:rsid w:val="005E5BA5"/>
    <w:rsid w:val="005E5D07"/>
    <w:rsid w:val="005E6902"/>
    <w:rsid w:val="005E7F5E"/>
    <w:rsid w:val="005F064B"/>
    <w:rsid w:val="005F0CA0"/>
    <w:rsid w:val="005F0CCD"/>
    <w:rsid w:val="005F17A8"/>
    <w:rsid w:val="005F20D8"/>
    <w:rsid w:val="005F2ADC"/>
    <w:rsid w:val="005F3CE0"/>
    <w:rsid w:val="005F4507"/>
    <w:rsid w:val="005F47FD"/>
    <w:rsid w:val="005F4D99"/>
    <w:rsid w:val="005F64EB"/>
    <w:rsid w:val="005F679C"/>
    <w:rsid w:val="005F71C3"/>
    <w:rsid w:val="005F78BF"/>
    <w:rsid w:val="005F7A6C"/>
    <w:rsid w:val="00600410"/>
    <w:rsid w:val="00600468"/>
    <w:rsid w:val="00600ECD"/>
    <w:rsid w:val="006010A6"/>
    <w:rsid w:val="00601281"/>
    <w:rsid w:val="0060150F"/>
    <w:rsid w:val="00601675"/>
    <w:rsid w:val="00601781"/>
    <w:rsid w:val="0060207B"/>
    <w:rsid w:val="006022D2"/>
    <w:rsid w:val="0060239F"/>
    <w:rsid w:val="0060302D"/>
    <w:rsid w:val="00603601"/>
    <w:rsid w:val="00603A41"/>
    <w:rsid w:val="00603C54"/>
    <w:rsid w:val="00603DAD"/>
    <w:rsid w:val="00604C23"/>
    <w:rsid w:val="00604F44"/>
    <w:rsid w:val="0060552E"/>
    <w:rsid w:val="00605F8A"/>
    <w:rsid w:val="006067D3"/>
    <w:rsid w:val="00606B58"/>
    <w:rsid w:val="00606B73"/>
    <w:rsid w:val="00606D4E"/>
    <w:rsid w:val="00606F65"/>
    <w:rsid w:val="0060748B"/>
    <w:rsid w:val="00607B95"/>
    <w:rsid w:val="00607CD1"/>
    <w:rsid w:val="00607F32"/>
    <w:rsid w:val="00610095"/>
    <w:rsid w:val="00610283"/>
    <w:rsid w:val="006104A3"/>
    <w:rsid w:val="00610853"/>
    <w:rsid w:val="00610E87"/>
    <w:rsid w:val="00610F24"/>
    <w:rsid w:val="006115BD"/>
    <w:rsid w:val="00611C75"/>
    <w:rsid w:val="006121B5"/>
    <w:rsid w:val="00612B52"/>
    <w:rsid w:val="006132A2"/>
    <w:rsid w:val="0061344B"/>
    <w:rsid w:val="00613EB4"/>
    <w:rsid w:val="00613F7A"/>
    <w:rsid w:val="00614251"/>
    <w:rsid w:val="006142B3"/>
    <w:rsid w:val="00614915"/>
    <w:rsid w:val="00615A51"/>
    <w:rsid w:val="00615C96"/>
    <w:rsid w:val="0061638F"/>
    <w:rsid w:val="00616783"/>
    <w:rsid w:val="006170A7"/>
    <w:rsid w:val="006174D4"/>
    <w:rsid w:val="0061752C"/>
    <w:rsid w:val="0061796D"/>
    <w:rsid w:val="0062070D"/>
    <w:rsid w:val="00620C50"/>
    <w:rsid w:val="00622B13"/>
    <w:rsid w:val="00623327"/>
    <w:rsid w:val="00623EF1"/>
    <w:rsid w:val="00625BEB"/>
    <w:rsid w:val="00625E05"/>
    <w:rsid w:val="00626AA4"/>
    <w:rsid w:val="0062706E"/>
    <w:rsid w:val="006272F3"/>
    <w:rsid w:val="0062751E"/>
    <w:rsid w:val="006275A8"/>
    <w:rsid w:val="00627676"/>
    <w:rsid w:val="00627D98"/>
    <w:rsid w:val="00630AFE"/>
    <w:rsid w:val="00630D8D"/>
    <w:rsid w:val="00630DA5"/>
    <w:rsid w:val="00631132"/>
    <w:rsid w:val="00631A24"/>
    <w:rsid w:val="00631D01"/>
    <w:rsid w:val="00631F28"/>
    <w:rsid w:val="0063206F"/>
    <w:rsid w:val="00632503"/>
    <w:rsid w:val="00632B19"/>
    <w:rsid w:val="0063371C"/>
    <w:rsid w:val="00634866"/>
    <w:rsid w:val="00635145"/>
    <w:rsid w:val="0063650D"/>
    <w:rsid w:val="00636CC2"/>
    <w:rsid w:val="00637288"/>
    <w:rsid w:val="006372F6"/>
    <w:rsid w:val="00637546"/>
    <w:rsid w:val="00637E2A"/>
    <w:rsid w:val="00637EC7"/>
    <w:rsid w:val="0064095F"/>
    <w:rsid w:val="00640AAE"/>
    <w:rsid w:val="00640EEB"/>
    <w:rsid w:val="0064266A"/>
    <w:rsid w:val="00642ADD"/>
    <w:rsid w:val="00642FE5"/>
    <w:rsid w:val="0064430E"/>
    <w:rsid w:val="00644346"/>
    <w:rsid w:val="00644658"/>
    <w:rsid w:val="00644817"/>
    <w:rsid w:val="00644D39"/>
    <w:rsid w:val="006467B0"/>
    <w:rsid w:val="00646C4E"/>
    <w:rsid w:val="00647668"/>
    <w:rsid w:val="006479FE"/>
    <w:rsid w:val="00647AB0"/>
    <w:rsid w:val="00650233"/>
    <w:rsid w:val="006516BE"/>
    <w:rsid w:val="00651E50"/>
    <w:rsid w:val="00652120"/>
    <w:rsid w:val="00652235"/>
    <w:rsid w:val="0065283A"/>
    <w:rsid w:val="00653571"/>
    <w:rsid w:val="00653FD2"/>
    <w:rsid w:val="0065407E"/>
    <w:rsid w:val="006546F6"/>
    <w:rsid w:val="00654943"/>
    <w:rsid w:val="0065496D"/>
    <w:rsid w:val="006550EE"/>
    <w:rsid w:val="0065529F"/>
    <w:rsid w:val="00655A5C"/>
    <w:rsid w:val="006565C4"/>
    <w:rsid w:val="00656C16"/>
    <w:rsid w:val="00657B71"/>
    <w:rsid w:val="00660503"/>
    <w:rsid w:val="00660E7B"/>
    <w:rsid w:val="00661A2D"/>
    <w:rsid w:val="00661C10"/>
    <w:rsid w:val="0066240F"/>
    <w:rsid w:val="00663921"/>
    <w:rsid w:val="00663CEB"/>
    <w:rsid w:val="00664568"/>
    <w:rsid w:val="00664842"/>
    <w:rsid w:val="00664958"/>
    <w:rsid w:val="006651D3"/>
    <w:rsid w:val="00665BBC"/>
    <w:rsid w:val="00666233"/>
    <w:rsid w:val="0066674F"/>
    <w:rsid w:val="006670C7"/>
    <w:rsid w:val="006671A8"/>
    <w:rsid w:val="0066742C"/>
    <w:rsid w:val="00667567"/>
    <w:rsid w:val="006675A4"/>
    <w:rsid w:val="00670651"/>
    <w:rsid w:val="0067076A"/>
    <w:rsid w:val="0067078D"/>
    <w:rsid w:val="00671D6C"/>
    <w:rsid w:val="00671EB6"/>
    <w:rsid w:val="00672460"/>
    <w:rsid w:val="006724D3"/>
    <w:rsid w:val="006725A6"/>
    <w:rsid w:val="0067285C"/>
    <w:rsid w:val="00672C0F"/>
    <w:rsid w:val="00673350"/>
    <w:rsid w:val="00674CEF"/>
    <w:rsid w:val="00674F86"/>
    <w:rsid w:val="00675EE0"/>
    <w:rsid w:val="0067631B"/>
    <w:rsid w:val="0067636E"/>
    <w:rsid w:val="00676AFF"/>
    <w:rsid w:val="00677126"/>
    <w:rsid w:val="0068005B"/>
    <w:rsid w:val="0068071B"/>
    <w:rsid w:val="00680B26"/>
    <w:rsid w:val="0068100E"/>
    <w:rsid w:val="006812EB"/>
    <w:rsid w:val="00681984"/>
    <w:rsid w:val="00682055"/>
    <w:rsid w:val="0068225B"/>
    <w:rsid w:val="00682A59"/>
    <w:rsid w:val="00682C8B"/>
    <w:rsid w:val="00683340"/>
    <w:rsid w:val="00683391"/>
    <w:rsid w:val="006837B3"/>
    <w:rsid w:val="00683F82"/>
    <w:rsid w:val="00684223"/>
    <w:rsid w:val="006844B2"/>
    <w:rsid w:val="00684853"/>
    <w:rsid w:val="00684FA0"/>
    <w:rsid w:val="00685FA6"/>
    <w:rsid w:val="00687501"/>
    <w:rsid w:val="00687BE9"/>
    <w:rsid w:val="00690B86"/>
    <w:rsid w:val="006927A0"/>
    <w:rsid w:val="00694B4F"/>
    <w:rsid w:val="006956E6"/>
    <w:rsid w:val="00695EF2"/>
    <w:rsid w:val="00695FD2"/>
    <w:rsid w:val="00696562"/>
    <w:rsid w:val="00696B58"/>
    <w:rsid w:val="006976A2"/>
    <w:rsid w:val="00697DA3"/>
    <w:rsid w:val="00697FA2"/>
    <w:rsid w:val="00697FEC"/>
    <w:rsid w:val="006A0246"/>
    <w:rsid w:val="006A04C9"/>
    <w:rsid w:val="006A0B1B"/>
    <w:rsid w:val="006A0CE2"/>
    <w:rsid w:val="006A12C3"/>
    <w:rsid w:val="006A189D"/>
    <w:rsid w:val="006A2EBD"/>
    <w:rsid w:val="006A377C"/>
    <w:rsid w:val="006A3F5E"/>
    <w:rsid w:val="006A4A95"/>
    <w:rsid w:val="006A4E70"/>
    <w:rsid w:val="006A50D4"/>
    <w:rsid w:val="006A5326"/>
    <w:rsid w:val="006A55C2"/>
    <w:rsid w:val="006A5D4D"/>
    <w:rsid w:val="006A6570"/>
    <w:rsid w:val="006A6996"/>
    <w:rsid w:val="006A6FE4"/>
    <w:rsid w:val="006A733A"/>
    <w:rsid w:val="006A75E2"/>
    <w:rsid w:val="006A7D75"/>
    <w:rsid w:val="006A7E68"/>
    <w:rsid w:val="006B0588"/>
    <w:rsid w:val="006B0921"/>
    <w:rsid w:val="006B0AF4"/>
    <w:rsid w:val="006B0B58"/>
    <w:rsid w:val="006B0CAB"/>
    <w:rsid w:val="006B1A42"/>
    <w:rsid w:val="006B1ED3"/>
    <w:rsid w:val="006B2365"/>
    <w:rsid w:val="006B2889"/>
    <w:rsid w:val="006B2CA6"/>
    <w:rsid w:val="006B3F80"/>
    <w:rsid w:val="006B4ED5"/>
    <w:rsid w:val="006B5109"/>
    <w:rsid w:val="006B5376"/>
    <w:rsid w:val="006B576C"/>
    <w:rsid w:val="006B577E"/>
    <w:rsid w:val="006B5B55"/>
    <w:rsid w:val="006B5E65"/>
    <w:rsid w:val="006B5F7E"/>
    <w:rsid w:val="006B6191"/>
    <w:rsid w:val="006B6280"/>
    <w:rsid w:val="006B6B9C"/>
    <w:rsid w:val="006B75A0"/>
    <w:rsid w:val="006B77FC"/>
    <w:rsid w:val="006C005D"/>
    <w:rsid w:val="006C0104"/>
    <w:rsid w:val="006C0826"/>
    <w:rsid w:val="006C15E7"/>
    <w:rsid w:val="006C2E67"/>
    <w:rsid w:val="006C3C93"/>
    <w:rsid w:val="006C4C6D"/>
    <w:rsid w:val="006C523C"/>
    <w:rsid w:val="006C5671"/>
    <w:rsid w:val="006C5CFF"/>
    <w:rsid w:val="006C7038"/>
    <w:rsid w:val="006C7272"/>
    <w:rsid w:val="006C780A"/>
    <w:rsid w:val="006C7874"/>
    <w:rsid w:val="006C78D6"/>
    <w:rsid w:val="006D06D5"/>
    <w:rsid w:val="006D08DE"/>
    <w:rsid w:val="006D0BD8"/>
    <w:rsid w:val="006D0F83"/>
    <w:rsid w:val="006D16CF"/>
    <w:rsid w:val="006D23FC"/>
    <w:rsid w:val="006D2C19"/>
    <w:rsid w:val="006D2F2C"/>
    <w:rsid w:val="006D35E2"/>
    <w:rsid w:val="006D43DB"/>
    <w:rsid w:val="006D4575"/>
    <w:rsid w:val="006D45DA"/>
    <w:rsid w:val="006D4CAE"/>
    <w:rsid w:val="006D4D48"/>
    <w:rsid w:val="006D559F"/>
    <w:rsid w:val="006D5A2D"/>
    <w:rsid w:val="006D5D66"/>
    <w:rsid w:val="006D6520"/>
    <w:rsid w:val="006D6A5B"/>
    <w:rsid w:val="006D6C8A"/>
    <w:rsid w:val="006D767D"/>
    <w:rsid w:val="006E06F8"/>
    <w:rsid w:val="006E1318"/>
    <w:rsid w:val="006E2055"/>
    <w:rsid w:val="006E2351"/>
    <w:rsid w:val="006E26FC"/>
    <w:rsid w:val="006E30C6"/>
    <w:rsid w:val="006E3284"/>
    <w:rsid w:val="006E32C1"/>
    <w:rsid w:val="006E4021"/>
    <w:rsid w:val="006E416C"/>
    <w:rsid w:val="006E49CD"/>
    <w:rsid w:val="006E4BB7"/>
    <w:rsid w:val="006E53C3"/>
    <w:rsid w:val="006E5B9C"/>
    <w:rsid w:val="006E64AC"/>
    <w:rsid w:val="006E65DC"/>
    <w:rsid w:val="006E6872"/>
    <w:rsid w:val="006E6A38"/>
    <w:rsid w:val="006E6BFE"/>
    <w:rsid w:val="006E6EB9"/>
    <w:rsid w:val="006E7190"/>
    <w:rsid w:val="006E7FD0"/>
    <w:rsid w:val="006F059E"/>
    <w:rsid w:val="006F0792"/>
    <w:rsid w:val="006F0A41"/>
    <w:rsid w:val="006F0D23"/>
    <w:rsid w:val="006F1419"/>
    <w:rsid w:val="006F1956"/>
    <w:rsid w:val="006F1EDE"/>
    <w:rsid w:val="006F31B4"/>
    <w:rsid w:val="006F43AD"/>
    <w:rsid w:val="006F44DD"/>
    <w:rsid w:val="006F469B"/>
    <w:rsid w:val="006F49A1"/>
    <w:rsid w:val="006F5DC3"/>
    <w:rsid w:val="006F6243"/>
    <w:rsid w:val="006F6F74"/>
    <w:rsid w:val="006F7633"/>
    <w:rsid w:val="006F76C9"/>
    <w:rsid w:val="006F7922"/>
    <w:rsid w:val="006F7DCC"/>
    <w:rsid w:val="00700152"/>
    <w:rsid w:val="00700DA6"/>
    <w:rsid w:val="00701E09"/>
    <w:rsid w:val="00702148"/>
    <w:rsid w:val="00702A4D"/>
    <w:rsid w:val="00702C2A"/>
    <w:rsid w:val="00702C74"/>
    <w:rsid w:val="007030CA"/>
    <w:rsid w:val="007041F6"/>
    <w:rsid w:val="0070429E"/>
    <w:rsid w:val="00704339"/>
    <w:rsid w:val="007047E8"/>
    <w:rsid w:val="00704BFD"/>
    <w:rsid w:val="0070545A"/>
    <w:rsid w:val="0070584D"/>
    <w:rsid w:val="00705856"/>
    <w:rsid w:val="00705902"/>
    <w:rsid w:val="0070644D"/>
    <w:rsid w:val="00707061"/>
    <w:rsid w:val="00707B37"/>
    <w:rsid w:val="00710517"/>
    <w:rsid w:val="00710C73"/>
    <w:rsid w:val="00711009"/>
    <w:rsid w:val="007118C2"/>
    <w:rsid w:val="00711D45"/>
    <w:rsid w:val="00711F3C"/>
    <w:rsid w:val="00712A6E"/>
    <w:rsid w:val="0071337F"/>
    <w:rsid w:val="00713424"/>
    <w:rsid w:val="00713786"/>
    <w:rsid w:val="00713813"/>
    <w:rsid w:val="00713C2B"/>
    <w:rsid w:val="00713ECF"/>
    <w:rsid w:val="00713F49"/>
    <w:rsid w:val="00714193"/>
    <w:rsid w:val="007141F0"/>
    <w:rsid w:val="0071452F"/>
    <w:rsid w:val="00714A5E"/>
    <w:rsid w:val="00715076"/>
    <w:rsid w:val="00715A21"/>
    <w:rsid w:val="0071614E"/>
    <w:rsid w:val="00716CA2"/>
    <w:rsid w:val="00716DBA"/>
    <w:rsid w:val="00717C7E"/>
    <w:rsid w:val="00717C93"/>
    <w:rsid w:val="00717E52"/>
    <w:rsid w:val="00717EB0"/>
    <w:rsid w:val="0072082E"/>
    <w:rsid w:val="00720A78"/>
    <w:rsid w:val="00721987"/>
    <w:rsid w:val="00722094"/>
    <w:rsid w:val="00722136"/>
    <w:rsid w:val="007229DE"/>
    <w:rsid w:val="007231FC"/>
    <w:rsid w:val="00723262"/>
    <w:rsid w:val="007250FA"/>
    <w:rsid w:val="00725303"/>
    <w:rsid w:val="00725D21"/>
    <w:rsid w:val="00726360"/>
    <w:rsid w:val="00726365"/>
    <w:rsid w:val="00726FD5"/>
    <w:rsid w:val="0072756B"/>
    <w:rsid w:val="0072770B"/>
    <w:rsid w:val="00727BCE"/>
    <w:rsid w:val="00730E40"/>
    <w:rsid w:val="0073179E"/>
    <w:rsid w:val="00732F33"/>
    <w:rsid w:val="007340A8"/>
    <w:rsid w:val="007340BE"/>
    <w:rsid w:val="0073414A"/>
    <w:rsid w:val="0073449B"/>
    <w:rsid w:val="00734C3B"/>
    <w:rsid w:val="007350D3"/>
    <w:rsid w:val="0073512E"/>
    <w:rsid w:val="00735368"/>
    <w:rsid w:val="00736AD4"/>
    <w:rsid w:val="00736E5B"/>
    <w:rsid w:val="007370B1"/>
    <w:rsid w:val="007373ED"/>
    <w:rsid w:val="007374F5"/>
    <w:rsid w:val="007379BE"/>
    <w:rsid w:val="0074002A"/>
    <w:rsid w:val="007401C1"/>
    <w:rsid w:val="007402DD"/>
    <w:rsid w:val="00740B58"/>
    <w:rsid w:val="00740E70"/>
    <w:rsid w:val="00740E9A"/>
    <w:rsid w:val="00741F69"/>
    <w:rsid w:val="007421D2"/>
    <w:rsid w:val="007424DE"/>
    <w:rsid w:val="00742EE9"/>
    <w:rsid w:val="00742FD0"/>
    <w:rsid w:val="007432D4"/>
    <w:rsid w:val="00743734"/>
    <w:rsid w:val="00743767"/>
    <w:rsid w:val="00743A35"/>
    <w:rsid w:val="00744DE3"/>
    <w:rsid w:val="007453BE"/>
    <w:rsid w:val="0074570F"/>
    <w:rsid w:val="0074605C"/>
    <w:rsid w:val="007467C2"/>
    <w:rsid w:val="007468FE"/>
    <w:rsid w:val="00747369"/>
    <w:rsid w:val="007475A7"/>
    <w:rsid w:val="0075005F"/>
    <w:rsid w:val="00751776"/>
    <w:rsid w:val="00751896"/>
    <w:rsid w:val="00751A42"/>
    <w:rsid w:val="00751B65"/>
    <w:rsid w:val="00752702"/>
    <w:rsid w:val="007529DA"/>
    <w:rsid w:val="00753010"/>
    <w:rsid w:val="007532AE"/>
    <w:rsid w:val="00753C75"/>
    <w:rsid w:val="0075451D"/>
    <w:rsid w:val="00754C6E"/>
    <w:rsid w:val="00754EBC"/>
    <w:rsid w:val="00755864"/>
    <w:rsid w:val="00755910"/>
    <w:rsid w:val="00756C1D"/>
    <w:rsid w:val="00756E4F"/>
    <w:rsid w:val="0075746B"/>
    <w:rsid w:val="007575F1"/>
    <w:rsid w:val="007579B3"/>
    <w:rsid w:val="0076043A"/>
    <w:rsid w:val="007604FC"/>
    <w:rsid w:val="00761348"/>
    <w:rsid w:val="007622E0"/>
    <w:rsid w:val="00762B26"/>
    <w:rsid w:val="00762C66"/>
    <w:rsid w:val="007635E0"/>
    <w:rsid w:val="00763A60"/>
    <w:rsid w:val="00764080"/>
    <w:rsid w:val="00765080"/>
    <w:rsid w:val="007650D8"/>
    <w:rsid w:val="0076574E"/>
    <w:rsid w:val="0076580D"/>
    <w:rsid w:val="00765D4E"/>
    <w:rsid w:val="007661C5"/>
    <w:rsid w:val="007664E0"/>
    <w:rsid w:val="00766A46"/>
    <w:rsid w:val="00766C14"/>
    <w:rsid w:val="0076735E"/>
    <w:rsid w:val="0076765B"/>
    <w:rsid w:val="00771B50"/>
    <w:rsid w:val="007721E0"/>
    <w:rsid w:val="0077292C"/>
    <w:rsid w:val="007729D8"/>
    <w:rsid w:val="00772D84"/>
    <w:rsid w:val="00772F6F"/>
    <w:rsid w:val="00773C86"/>
    <w:rsid w:val="007745A8"/>
    <w:rsid w:val="00776726"/>
    <w:rsid w:val="007778DD"/>
    <w:rsid w:val="00777BB2"/>
    <w:rsid w:val="00777BDE"/>
    <w:rsid w:val="00777C4E"/>
    <w:rsid w:val="00780A46"/>
    <w:rsid w:val="00781239"/>
    <w:rsid w:val="00782FD0"/>
    <w:rsid w:val="007830BB"/>
    <w:rsid w:val="0078334C"/>
    <w:rsid w:val="0078377E"/>
    <w:rsid w:val="00783CD4"/>
    <w:rsid w:val="0078462B"/>
    <w:rsid w:val="00784D0A"/>
    <w:rsid w:val="00784D6A"/>
    <w:rsid w:val="00785921"/>
    <w:rsid w:val="00785F11"/>
    <w:rsid w:val="00786069"/>
    <w:rsid w:val="00786738"/>
    <w:rsid w:val="00786E44"/>
    <w:rsid w:val="00790901"/>
    <w:rsid w:val="00790AEB"/>
    <w:rsid w:val="00790B71"/>
    <w:rsid w:val="0079113C"/>
    <w:rsid w:val="007913F1"/>
    <w:rsid w:val="00791740"/>
    <w:rsid w:val="00791874"/>
    <w:rsid w:val="00792110"/>
    <w:rsid w:val="007930F1"/>
    <w:rsid w:val="0079358B"/>
    <w:rsid w:val="0079382E"/>
    <w:rsid w:val="00793920"/>
    <w:rsid w:val="00793A52"/>
    <w:rsid w:val="0079425E"/>
    <w:rsid w:val="007942BC"/>
    <w:rsid w:val="007944A9"/>
    <w:rsid w:val="00794667"/>
    <w:rsid w:val="00794668"/>
    <w:rsid w:val="00794A54"/>
    <w:rsid w:val="00794CE6"/>
    <w:rsid w:val="007957E8"/>
    <w:rsid w:val="00796167"/>
    <w:rsid w:val="007962A8"/>
    <w:rsid w:val="0079662F"/>
    <w:rsid w:val="007966BB"/>
    <w:rsid w:val="00796A7A"/>
    <w:rsid w:val="00796D97"/>
    <w:rsid w:val="007970D6"/>
    <w:rsid w:val="0079715C"/>
    <w:rsid w:val="00797534"/>
    <w:rsid w:val="00797B04"/>
    <w:rsid w:val="007A0CCB"/>
    <w:rsid w:val="007A0DEB"/>
    <w:rsid w:val="007A1663"/>
    <w:rsid w:val="007A22C7"/>
    <w:rsid w:val="007A238A"/>
    <w:rsid w:val="007A3014"/>
    <w:rsid w:val="007A4BF0"/>
    <w:rsid w:val="007A4F41"/>
    <w:rsid w:val="007A5CC0"/>
    <w:rsid w:val="007A5D99"/>
    <w:rsid w:val="007A6140"/>
    <w:rsid w:val="007A6F89"/>
    <w:rsid w:val="007A72C7"/>
    <w:rsid w:val="007A7EC9"/>
    <w:rsid w:val="007B0008"/>
    <w:rsid w:val="007B02E4"/>
    <w:rsid w:val="007B16A0"/>
    <w:rsid w:val="007B1BA4"/>
    <w:rsid w:val="007B21E1"/>
    <w:rsid w:val="007B24E0"/>
    <w:rsid w:val="007B29E1"/>
    <w:rsid w:val="007B3012"/>
    <w:rsid w:val="007B3035"/>
    <w:rsid w:val="007B330A"/>
    <w:rsid w:val="007B3543"/>
    <w:rsid w:val="007B4007"/>
    <w:rsid w:val="007B44BA"/>
    <w:rsid w:val="007B450B"/>
    <w:rsid w:val="007B4BED"/>
    <w:rsid w:val="007B6184"/>
    <w:rsid w:val="007B6BE4"/>
    <w:rsid w:val="007B7BB5"/>
    <w:rsid w:val="007B7F55"/>
    <w:rsid w:val="007C011D"/>
    <w:rsid w:val="007C09A1"/>
    <w:rsid w:val="007C11A7"/>
    <w:rsid w:val="007C138E"/>
    <w:rsid w:val="007C14A2"/>
    <w:rsid w:val="007C14B1"/>
    <w:rsid w:val="007C1AD5"/>
    <w:rsid w:val="007C2617"/>
    <w:rsid w:val="007C28D0"/>
    <w:rsid w:val="007C34CA"/>
    <w:rsid w:val="007C43B0"/>
    <w:rsid w:val="007C46AD"/>
    <w:rsid w:val="007C49BC"/>
    <w:rsid w:val="007C4E0C"/>
    <w:rsid w:val="007C51E0"/>
    <w:rsid w:val="007C5350"/>
    <w:rsid w:val="007C587F"/>
    <w:rsid w:val="007C5E65"/>
    <w:rsid w:val="007C6CB0"/>
    <w:rsid w:val="007C7887"/>
    <w:rsid w:val="007C7B36"/>
    <w:rsid w:val="007D0C73"/>
    <w:rsid w:val="007D21A5"/>
    <w:rsid w:val="007D2321"/>
    <w:rsid w:val="007D2401"/>
    <w:rsid w:val="007D264C"/>
    <w:rsid w:val="007D281C"/>
    <w:rsid w:val="007D2F92"/>
    <w:rsid w:val="007D30A7"/>
    <w:rsid w:val="007D3149"/>
    <w:rsid w:val="007D34D2"/>
    <w:rsid w:val="007D382B"/>
    <w:rsid w:val="007D3BBD"/>
    <w:rsid w:val="007D3F27"/>
    <w:rsid w:val="007D3FA0"/>
    <w:rsid w:val="007D4C9E"/>
    <w:rsid w:val="007D5096"/>
    <w:rsid w:val="007D554D"/>
    <w:rsid w:val="007D5ADB"/>
    <w:rsid w:val="007D7940"/>
    <w:rsid w:val="007D7A5E"/>
    <w:rsid w:val="007E075C"/>
    <w:rsid w:val="007E0A74"/>
    <w:rsid w:val="007E0D44"/>
    <w:rsid w:val="007E1050"/>
    <w:rsid w:val="007E1790"/>
    <w:rsid w:val="007E1E71"/>
    <w:rsid w:val="007E2A99"/>
    <w:rsid w:val="007E3A0C"/>
    <w:rsid w:val="007E3A36"/>
    <w:rsid w:val="007E4127"/>
    <w:rsid w:val="007E43E5"/>
    <w:rsid w:val="007E4844"/>
    <w:rsid w:val="007E4AC1"/>
    <w:rsid w:val="007E4F6E"/>
    <w:rsid w:val="007E501F"/>
    <w:rsid w:val="007E5B3F"/>
    <w:rsid w:val="007E666C"/>
    <w:rsid w:val="007E678C"/>
    <w:rsid w:val="007E6982"/>
    <w:rsid w:val="007E6A61"/>
    <w:rsid w:val="007E6BBE"/>
    <w:rsid w:val="007F05C6"/>
    <w:rsid w:val="007F05F1"/>
    <w:rsid w:val="007F0915"/>
    <w:rsid w:val="007F0D07"/>
    <w:rsid w:val="007F21B3"/>
    <w:rsid w:val="007F2384"/>
    <w:rsid w:val="007F429E"/>
    <w:rsid w:val="007F4315"/>
    <w:rsid w:val="007F44EC"/>
    <w:rsid w:val="007F4997"/>
    <w:rsid w:val="007F506B"/>
    <w:rsid w:val="007F562F"/>
    <w:rsid w:val="007F5C78"/>
    <w:rsid w:val="007F6A0D"/>
    <w:rsid w:val="007F7317"/>
    <w:rsid w:val="007F75D1"/>
    <w:rsid w:val="007F7CCF"/>
    <w:rsid w:val="007F7FF0"/>
    <w:rsid w:val="008000F0"/>
    <w:rsid w:val="00800367"/>
    <w:rsid w:val="00800690"/>
    <w:rsid w:val="00800D24"/>
    <w:rsid w:val="00801FD0"/>
    <w:rsid w:val="00802467"/>
    <w:rsid w:val="008025D6"/>
    <w:rsid w:val="008027C2"/>
    <w:rsid w:val="00802BC6"/>
    <w:rsid w:val="008035C6"/>
    <w:rsid w:val="00803862"/>
    <w:rsid w:val="00804A25"/>
    <w:rsid w:val="008054A1"/>
    <w:rsid w:val="00805ABA"/>
    <w:rsid w:val="008060CB"/>
    <w:rsid w:val="00806534"/>
    <w:rsid w:val="0080681D"/>
    <w:rsid w:val="00806B77"/>
    <w:rsid w:val="00806CDE"/>
    <w:rsid w:val="008072AC"/>
    <w:rsid w:val="00807A88"/>
    <w:rsid w:val="00807CB9"/>
    <w:rsid w:val="00810788"/>
    <w:rsid w:val="00811083"/>
    <w:rsid w:val="00812A5A"/>
    <w:rsid w:val="00812ABA"/>
    <w:rsid w:val="00812D75"/>
    <w:rsid w:val="00812E8C"/>
    <w:rsid w:val="0081316F"/>
    <w:rsid w:val="008136FD"/>
    <w:rsid w:val="00813BED"/>
    <w:rsid w:val="00814007"/>
    <w:rsid w:val="00814778"/>
    <w:rsid w:val="00814862"/>
    <w:rsid w:val="00814F1D"/>
    <w:rsid w:val="00815805"/>
    <w:rsid w:val="00815E59"/>
    <w:rsid w:val="00816580"/>
    <w:rsid w:val="008167AA"/>
    <w:rsid w:val="00816CF6"/>
    <w:rsid w:val="00816DF8"/>
    <w:rsid w:val="00816F88"/>
    <w:rsid w:val="00817B5D"/>
    <w:rsid w:val="008200D3"/>
    <w:rsid w:val="008201CA"/>
    <w:rsid w:val="00820828"/>
    <w:rsid w:val="0082133B"/>
    <w:rsid w:val="008215F7"/>
    <w:rsid w:val="00821D36"/>
    <w:rsid w:val="008235F3"/>
    <w:rsid w:val="00823731"/>
    <w:rsid w:val="00824168"/>
    <w:rsid w:val="008248E7"/>
    <w:rsid w:val="00825E8E"/>
    <w:rsid w:val="00826603"/>
    <w:rsid w:val="008272BB"/>
    <w:rsid w:val="00830BF9"/>
    <w:rsid w:val="0083159A"/>
    <w:rsid w:val="00832384"/>
    <w:rsid w:val="00832782"/>
    <w:rsid w:val="008330F6"/>
    <w:rsid w:val="0083354B"/>
    <w:rsid w:val="00834085"/>
    <w:rsid w:val="008353EA"/>
    <w:rsid w:val="0083555A"/>
    <w:rsid w:val="00835844"/>
    <w:rsid w:val="00835CE4"/>
    <w:rsid w:val="00836503"/>
    <w:rsid w:val="0083693A"/>
    <w:rsid w:val="00837335"/>
    <w:rsid w:val="00837CC8"/>
    <w:rsid w:val="008400EE"/>
    <w:rsid w:val="00840F2D"/>
    <w:rsid w:val="00841021"/>
    <w:rsid w:val="00842A6C"/>
    <w:rsid w:val="00843A7F"/>
    <w:rsid w:val="008442E4"/>
    <w:rsid w:val="00844501"/>
    <w:rsid w:val="00844797"/>
    <w:rsid w:val="0084554B"/>
    <w:rsid w:val="00845684"/>
    <w:rsid w:val="00845726"/>
    <w:rsid w:val="008458C1"/>
    <w:rsid w:val="00845B23"/>
    <w:rsid w:val="00846529"/>
    <w:rsid w:val="00847908"/>
    <w:rsid w:val="00847925"/>
    <w:rsid w:val="008505CF"/>
    <w:rsid w:val="00850FC4"/>
    <w:rsid w:val="00851A21"/>
    <w:rsid w:val="0085213C"/>
    <w:rsid w:val="00852211"/>
    <w:rsid w:val="00852A5C"/>
    <w:rsid w:val="008530A5"/>
    <w:rsid w:val="0085356B"/>
    <w:rsid w:val="00853861"/>
    <w:rsid w:val="00855C67"/>
    <w:rsid w:val="0085628C"/>
    <w:rsid w:val="00856D8C"/>
    <w:rsid w:val="0085700F"/>
    <w:rsid w:val="0086129B"/>
    <w:rsid w:val="0086201C"/>
    <w:rsid w:val="0086251B"/>
    <w:rsid w:val="00862809"/>
    <w:rsid w:val="00862D03"/>
    <w:rsid w:val="008632A9"/>
    <w:rsid w:val="008639A9"/>
    <w:rsid w:val="008642F1"/>
    <w:rsid w:val="00864A8D"/>
    <w:rsid w:val="00864D0A"/>
    <w:rsid w:val="00864E08"/>
    <w:rsid w:val="008653C2"/>
    <w:rsid w:val="008655F6"/>
    <w:rsid w:val="008658D4"/>
    <w:rsid w:val="008659EC"/>
    <w:rsid w:val="008661F5"/>
    <w:rsid w:val="0086653B"/>
    <w:rsid w:val="00866E03"/>
    <w:rsid w:val="008670D8"/>
    <w:rsid w:val="0087010E"/>
    <w:rsid w:val="00870C49"/>
    <w:rsid w:val="00870F19"/>
    <w:rsid w:val="008710B7"/>
    <w:rsid w:val="0087150D"/>
    <w:rsid w:val="00872A7A"/>
    <w:rsid w:val="00872BB0"/>
    <w:rsid w:val="0087326A"/>
    <w:rsid w:val="008743E1"/>
    <w:rsid w:val="008744DF"/>
    <w:rsid w:val="00874544"/>
    <w:rsid w:val="00874639"/>
    <w:rsid w:val="00874891"/>
    <w:rsid w:val="00874C15"/>
    <w:rsid w:val="00875308"/>
    <w:rsid w:val="008753F4"/>
    <w:rsid w:val="00875542"/>
    <w:rsid w:val="0087581F"/>
    <w:rsid w:val="00876048"/>
    <w:rsid w:val="00876A8D"/>
    <w:rsid w:val="00876B08"/>
    <w:rsid w:val="00876B46"/>
    <w:rsid w:val="008770C6"/>
    <w:rsid w:val="00877744"/>
    <w:rsid w:val="0088089E"/>
    <w:rsid w:val="00880A6F"/>
    <w:rsid w:val="008811E7"/>
    <w:rsid w:val="008815D2"/>
    <w:rsid w:val="00881F95"/>
    <w:rsid w:val="00883517"/>
    <w:rsid w:val="0088359D"/>
    <w:rsid w:val="00884537"/>
    <w:rsid w:val="008852A4"/>
    <w:rsid w:val="00885C36"/>
    <w:rsid w:val="00885FBF"/>
    <w:rsid w:val="008878C8"/>
    <w:rsid w:val="00887E63"/>
    <w:rsid w:val="00890256"/>
    <w:rsid w:val="00890B00"/>
    <w:rsid w:val="00890BB3"/>
    <w:rsid w:val="008911F2"/>
    <w:rsid w:val="0089178F"/>
    <w:rsid w:val="0089221C"/>
    <w:rsid w:val="008922E8"/>
    <w:rsid w:val="0089290A"/>
    <w:rsid w:val="00892B2D"/>
    <w:rsid w:val="0089339F"/>
    <w:rsid w:val="0089342F"/>
    <w:rsid w:val="00893654"/>
    <w:rsid w:val="008941DF"/>
    <w:rsid w:val="00895469"/>
    <w:rsid w:val="008956DB"/>
    <w:rsid w:val="00895863"/>
    <w:rsid w:val="0089667D"/>
    <w:rsid w:val="008973D9"/>
    <w:rsid w:val="008974E1"/>
    <w:rsid w:val="00897619"/>
    <w:rsid w:val="00897CE8"/>
    <w:rsid w:val="008A105E"/>
    <w:rsid w:val="008A1AEF"/>
    <w:rsid w:val="008A1D8D"/>
    <w:rsid w:val="008A329D"/>
    <w:rsid w:val="008A3D10"/>
    <w:rsid w:val="008A3E06"/>
    <w:rsid w:val="008A485C"/>
    <w:rsid w:val="008A5349"/>
    <w:rsid w:val="008A5BC1"/>
    <w:rsid w:val="008A615D"/>
    <w:rsid w:val="008A67D1"/>
    <w:rsid w:val="008A7665"/>
    <w:rsid w:val="008A7770"/>
    <w:rsid w:val="008B00B3"/>
    <w:rsid w:val="008B0A5D"/>
    <w:rsid w:val="008B0AFF"/>
    <w:rsid w:val="008B1981"/>
    <w:rsid w:val="008B1DE8"/>
    <w:rsid w:val="008B2A9F"/>
    <w:rsid w:val="008B307B"/>
    <w:rsid w:val="008B316E"/>
    <w:rsid w:val="008B42EF"/>
    <w:rsid w:val="008B4E66"/>
    <w:rsid w:val="008B4EF9"/>
    <w:rsid w:val="008B5519"/>
    <w:rsid w:val="008B7162"/>
    <w:rsid w:val="008B77A9"/>
    <w:rsid w:val="008B79CA"/>
    <w:rsid w:val="008C064F"/>
    <w:rsid w:val="008C0B36"/>
    <w:rsid w:val="008C169F"/>
    <w:rsid w:val="008C2342"/>
    <w:rsid w:val="008C24AC"/>
    <w:rsid w:val="008C275C"/>
    <w:rsid w:val="008C2C9E"/>
    <w:rsid w:val="008C331F"/>
    <w:rsid w:val="008C4197"/>
    <w:rsid w:val="008C45A6"/>
    <w:rsid w:val="008C4A95"/>
    <w:rsid w:val="008C4F05"/>
    <w:rsid w:val="008C503C"/>
    <w:rsid w:val="008C5642"/>
    <w:rsid w:val="008C57A9"/>
    <w:rsid w:val="008C58E2"/>
    <w:rsid w:val="008C646A"/>
    <w:rsid w:val="008C64D2"/>
    <w:rsid w:val="008C69A0"/>
    <w:rsid w:val="008C6D69"/>
    <w:rsid w:val="008C6FCC"/>
    <w:rsid w:val="008C75FE"/>
    <w:rsid w:val="008C7689"/>
    <w:rsid w:val="008C79D4"/>
    <w:rsid w:val="008D002C"/>
    <w:rsid w:val="008D120A"/>
    <w:rsid w:val="008D12BA"/>
    <w:rsid w:val="008D1C44"/>
    <w:rsid w:val="008D200B"/>
    <w:rsid w:val="008D24F5"/>
    <w:rsid w:val="008D2D82"/>
    <w:rsid w:val="008D2E39"/>
    <w:rsid w:val="008D3B04"/>
    <w:rsid w:val="008D51B3"/>
    <w:rsid w:val="008D5ADB"/>
    <w:rsid w:val="008D606C"/>
    <w:rsid w:val="008D62A0"/>
    <w:rsid w:val="008D6B6F"/>
    <w:rsid w:val="008D6D0D"/>
    <w:rsid w:val="008D7B7F"/>
    <w:rsid w:val="008D7C16"/>
    <w:rsid w:val="008D7ECA"/>
    <w:rsid w:val="008E01E3"/>
    <w:rsid w:val="008E028D"/>
    <w:rsid w:val="008E0B45"/>
    <w:rsid w:val="008E170B"/>
    <w:rsid w:val="008E1893"/>
    <w:rsid w:val="008E18A5"/>
    <w:rsid w:val="008E1AA7"/>
    <w:rsid w:val="008E1D6C"/>
    <w:rsid w:val="008E2BEC"/>
    <w:rsid w:val="008E30D3"/>
    <w:rsid w:val="008E335D"/>
    <w:rsid w:val="008E3C35"/>
    <w:rsid w:val="008E4A92"/>
    <w:rsid w:val="008E4C3D"/>
    <w:rsid w:val="008E59C9"/>
    <w:rsid w:val="008E6B07"/>
    <w:rsid w:val="008E7323"/>
    <w:rsid w:val="008F015F"/>
    <w:rsid w:val="008F07C8"/>
    <w:rsid w:val="008F0AEF"/>
    <w:rsid w:val="008F0B8F"/>
    <w:rsid w:val="008F0F08"/>
    <w:rsid w:val="008F1345"/>
    <w:rsid w:val="008F13D1"/>
    <w:rsid w:val="008F1486"/>
    <w:rsid w:val="008F1EBA"/>
    <w:rsid w:val="008F2201"/>
    <w:rsid w:val="008F2668"/>
    <w:rsid w:val="008F27DE"/>
    <w:rsid w:val="008F3843"/>
    <w:rsid w:val="008F38A3"/>
    <w:rsid w:val="008F3EA4"/>
    <w:rsid w:val="008F52A9"/>
    <w:rsid w:val="008F593A"/>
    <w:rsid w:val="008F66A2"/>
    <w:rsid w:val="008F73E5"/>
    <w:rsid w:val="008F7962"/>
    <w:rsid w:val="008F7D36"/>
    <w:rsid w:val="0090082B"/>
    <w:rsid w:val="009009D0"/>
    <w:rsid w:val="00900F12"/>
    <w:rsid w:val="00901FD4"/>
    <w:rsid w:val="0090206F"/>
    <w:rsid w:val="0090224E"/>
    <w:rsid w:val="00902D6A"/>
    <w:rsid w:val="00903F9A"/>
    <w:rsid w:val="0090425F"/>
    <w:rsid w:val="00905187"/>
    <w:rsid w:val="00905335"/>
    <w:rsid w:val="009061C1"/>
    <w:rsid w:val="00906946"/>
    <w:rsid w:val="00906E5B"/>
    <w:rsid w:val="009074B8"/>
    <w:rsid w:val="009074C0"/>
    <w:rsid w:val="0091032C"/>
    <w:rsid w:val="00910A25"/>
    <w:rsid w:val="00910DDF"/>
    <w:rsid w:val="00911C0C"/>
    <w:rsid w:val="009122AC"/>
    <w:rsid w:val="00912736"/>
    <w:rsid w:val="009128B7"/>
    <w:rsid w:val="00912F8C"/>
    <w:rsid w:val="00913654"/>
    <w:rsid w:val="00913E36"/>
    <w:rsid w:val="00913F4A"/>
    <w:rsid w:val="00914932"/>
    <w:rsid w:val="00914F32"/>
    <w:rsid w:val="009157EF"/>
    <w:rsid w:val="00915EBD"/>
    <w:rsid w:val="009168EC"/>
    <w:rsid w:val="00916BFE"/>
    <w:rsid w:val="00916D02"/>
    <w:rsid w:val="0091718C"/>
    <w:rsid w:val="00917368"/>
    <w:rsid w:val="00917844"/>
    <w:rsid w:val="0091794B"/>
    <w:rsid w:val="009201BA"/>
    <w:rsid w:val="00920A3E"/>
    <w:rsid w:val="00921EE9"/>
    <w:rsid w:val="0092219B"/>
    <w:rsid w:val="00922601"/>
    <w:rsid w:val="009227EE"/>
    <w:rsid w:val="009231AC"/>
    <w:rsid w:val="00923B65"/>
    <w:rsid w:val="00924415"/>
    <w:rsid w:val="00924505"/>
    <w:rsid w:val="00924841"/>
    <w:rsid w:val="00924D03"/>
    <w:rsid w:val="00924F41"/>
    <w:rsid w:val="00924F92"/>
    <w:rsid w:val="00925165"/>
    <w:rsid w:val="00926ACB"/>
    <w:rsid w:val="00926C89"/>
    <w:rsid w:val="009278FD"/>
    <w:rsid w:val="00930DF2"/>
    <w:rsid w:val="00931030"/>
    <w:rsid w:val="00931167"/>
    <w:rsid w:val="009312EA"/>
    <w:rsid w:val="00932D9A"/>
    <w:rsid w:val="00933D3C"/>
    <w:rsid w:val="009343FA"/>
    <w:rsid w:val="0093491E"/>
    <w:rsid w:val="009352A8"/>
    <w:rsid w:val="00935866"/>
    <w:rsid w:val="00935A4E"/>
    <w:rsid w:val="00935B29"/>
    <w:rsid w:val="00935B97"/>
    <w:rsid w:val="00935BBD"/>
    <w:rsid w:val="00935CD5"/>
    <w:rsid w:val="0093613E"/>
    <w:rsid w:val="009366D5"/>
    <w:rsid w:val="00936732"/>
    <w:rsid w:val="009367E4"/>
    <w:rsid w:val="00936BD8"/>
    <w:rsid w:val="00937629"/>
    <w:rsid w:val="00940ED2"/>
    <w:rsid w:val="00941651"/>
    <w:rsid w:val="00941C50"/>
    <w:rsid w:val="00941D2D"/>
    <w:rsid w:val="009427BB"/>
    <w:rsid w:val="009429F8"/>
    <w:rsid w:val="00942BA3"/>
    <w:rsid w:val="009432BF"/>
    <w:rsid w:val="00944A0D"/>
    <w:rsid w:val="00945244"/>
    <w:rsid w:val="00945780"/>
    <w:rsid w:val="009457B8"/>
    <w:rsid w:val="00945D31"/>
    <w:rsid w:val="00945F7E"/>
    <w:rsid w:val="009502DF"/>
    <w:rsid w:val="00951966"/>
    <w:rsid w:val="00951A81"/>
    <w:rsid w:val="00951C51"/>
    <w:rsid w:val="00951D92"/>
    <w:rsid w:val="0095229E"/>
    <w:rsid w:val="0095287A"/>
    <w:rsid w:val="0095295A"/>
    <w:rsid w:val="00952AC9"/>
    <w:rsid w:val="00953EE5"/>
    <w:rsid w:val="00954ABC"/>
    <w:rsid w:val="00954BCA"/>
    <w:rsid w:val="00954DF8"/>
    <w:rsid w:val="0095622B"/>
    <w:rsid w:val="00957459"/>
    <w:rsid w:val="00957790"/>
    <w:rsid w:val="00957813"/>
    <w:rsid w:val="009608F5"/>
    <w:rsid w:val="009610FD"/>
    <w:rsid w:val="00961200"/>
    <w:rsid w:val="00961B67"/>
    <w:rsid w:val="00961EBD"/>
    <w:rsid w:val="00962363"/>
    <w:rsid w:val="00962432"/>
    <w:rsid w:val="0096250F"/>
    <w:rsid w:val="00962685"/>
    <w:rsid w:val="00962A8E"/>
    <w:rsid w:val="00962B88"/>
    <w:rsid w:val="00962F8B"/>
    <w:rsid w:val="00964CC6"/>
    <w:rsid w:val="0096593A"/>
    <w:rsid w:val="00966237"/>
    <w:rsid w:val="00967BFF"/>
    <w:rsid w:val="00967EF0"/>
    <w:rsid w:val="00970E1E"/>
    <w:rsid w:val="00970F36"/>
    <w:rsid w:val="00971A12"/>
    <w:rsid w:val="00972175"/>
    <w:rsid w:val="009724C4"/>
    <w:rsid w:val="009724F7"/>
    <w:rsid w:val="00972664"/>
    <w:rsid w:val="0097275D"/>
    <w:rsid w:val="00972969"/>
    <w:rsid w:val="00972D98"/>
    <w:rsid w:val="009739B6"/>
    <w:rsid w:val="00973CF6"/>
    <w:rsid w:val="00973D11"/>
    <w:rsid w:val="00974BFF"/>
    <w:rsid w:val="0097501A"/>
    <w:rsid w:val="00975D88"/>
    <w:rsid w:val="00976246"/>
    <w:rsid w:val="009770F1"/>
    <w:rsid w:val="009773C9"/>
    <w:rsid w:val="00977473"/>
    <w:rsid w:val="0097793C"/>
    <w:rsid w:val="00977959"/>
    <w:rsid w:val="00977A1A"/>
    <w:rsid w:val="00980001"/>
    <w:rsid w:val="00980B95"/>
    <w:rsid w:val="00980E3E"/>
    <w:rsid w:val="00982C3E"/>
    <w:rsid w:val="00982FBC"/>
    <w:rsid w:val="009830E7"/>
    <w:rsid w:val="00983110"/>
    <w:rsid w:val="0098383F"/>
    <w:rsid w:val="00983D9F"/>
    <w:rsid w:val="00983F4F"/>
    <w:rsid w:val="00984130"/>
    <w:rsid w:val="009842A8"/>
    <w:rsid w:val="00984860"/>
    <w:rsid w:val="00984B4B"/>
    <w:rsid w:val="00984F60"/>
    <w:rsid w:val="009855E1"/>
    <w:rsid w:val="009862F5"/>
    <w:rsid w:val="009862F9"/>
    <w:rsid w:val="009863FD"/>
    <w:rsid w:val="0098694F"/>
    <w:rsid w:val="009901EF"/>
    <w:rsid w:val="00990F91"/>
    <w:rsid w:val="00991960"/>
    <w:rsid w:val="009928EE"/>
    <w:rsid w:val="00992D76"/>
    <w:rsid w:val="00993952"/>
    <w:rsid w:val="00994004"/>
    <w:rsid w:val="00994949"/>
    <w:rsid w:val="00994A41"/>
    <w:rsid w:val="00995616"/>
    <w:rsid w:val="009959CB"/>
    <w:rsid w:val="00995A07"/>
    <w:rsid w:val="00995A44"/>
    <w:rsid w:val="00995CC3"/>
    <w:rsid w:val="00995D84"/>
    <w:rsid w:val="00995E94"/>
    <w:rsid w:val="00996F4E"/>
    <w:rsid w:val="0099789B"/>
    <w:rsid w:val="009A0518"/>
    <w:rsid w:val="009A1312"/>
    <w:rsid w:val="009A1B42"/>
    <w:rsid w:val="009A2AA5"/>
    <w:rsid w:val="009A3AB6"/>
    <w:rsid w:val="009A3B22"/>
    <w:rsid w:val="009A46D9"/>
    <w:rsid w:val="009A4BE5"/>
    <w:rsid w:val="009A4C5B"/>
    <w:rsid w:val="009A540F"/>
    <w:rsid w:val="009A58EE"/>
    <w:rsid w:val="009A6310"/>
    <w:rsid w:val="009A6A6F"/>
    <w:rsid w:val="009A6B7E"/>
    <w:rsid w:val="009A6BB9"/>
    <w:rsid w:val="009A6C48"/>
    <w:rsid w:val="009A72B1"/>
    <w:rsid w:val="009B008A"/>
    <w:rsid w:val="009B0EFC"/>
    <w:rsid w:val="009B11ED"/>
    <w:rsid w:val="009B12C8"/>
    <w:rsid w:val="009B1478"/>
    <w:rsid w:val="009B22F5"/>
    <w:rsid w:val="009B2A7B"/>
    <w:rsid w:val="009B2B63"/>
    <w:rsid w:val="009B3013"/>
    <w:rsid w:val="009B3198"/>
    <w:rsid w:val="009B4354"/>
    <w:rsid w:val="009B4418"/>
    <w:rsid w:val="009B4717"/>
    <w:rsid w:val="009B4739"/>
    <w:rsid w:val="009B486B"/>
    <w:rsid w:val="009B4A4B"/>
    <w:rsid w:val="009B4FE6"/>
    <w:rsid w:val="009B529E"/>
    <w:rsid w:val="009B54F7"/>
    <w:rsid w:val="009B6411"/>
    <w:rsid w:val="009B76AE"/>
    <w:rsid w:val="009C0452"/>
    <w:rsid w:val="009C06D9"/>
    <w:rsid w:val="009C0BE3"/>
    <w:rsid w:val="009C0E77"/>
    <w:rsid w:val="009C1283"/>
    <w:rsid w:val="009C1374"/>
    <w:rsid w:val="009C1B59"/>
    <w:rsid w:val="009C1C8B"/>
    <w:rsid w:val="009C2F00"/>
    <w:rsid w:val="009C3C8B"/>
    <w:rsid w:val="009C3EE8"/>
    <w:rsid w:val="009C42A5"/>
    <w:rsid w:val="009C4CB0"/>
    <w:rsid w:val="009C5190"/>
    <w:rsid w:val="009C522F"/>
    <w:rsid w:val="009C5376"/>
    <w:rsid w:val="009C58F2"/>
    <w:rsid w:val="009C6783"/>
    <w:rsid w:val="009C687E"/>
    <w:rsid w:val="009C69BD"/>
    <w:rsid w:val="009C6C47"/>
    <w:rsid w:val="009C6C48"/>
    <w:rsid w:val="009C6C5B"/>
    <w:rsid w:val="009C76D9"/>
    <w:rsid w:val="009C7B4D"/>
    <w:rsid w:val="009C7F85"/>
    <w:rsid w:val="009D0706"/>
    <w:rsid w:val="009D1611"/>
    <w:rsid w:val="009D1EA4"/>
    <w:rsid w:val="009D2C2E"/>
    <w:rsid w:val="009D3856"/>
    <w:rsid w:val="009D39E7"/>
    <w:rsid w:val="009D4090"/>
    <w:rsid w:val="009D492E"/>
    <w:rsid w:val="009D4EDD"/>
    <w:rsid w:val="009D5336"/>
    <w:rsid w:val="009D6F30"/>
    <w:rsid w:val="009D71B7"/>
    <w:rsid w:val="009D747A"/>
    <w:rsid w:val="009D7709"/>
    <w:rsid w:val="009D7E3B"/>
    <w:rsid w:val="009E0609"/>
    <w:rsid w:val="009E0C13"/>
    <w:rsid w:val="009E12BD"/>
    <w:rsid w:val="009E1600"/>
    <w:rsid w:val="009E1B5F"/>
    <w:rsid w:val="009E1FCC"/>
    <w:rsid w:val="009E20A3"/>
    <w:rsid w:val="009E211E"/>
    <w:rsid w:val="009E21D0"/>
    <w:rsid w:val="009E2741"/>
    <w:rsid w:val="009E33A0"/>
    <w:rsid w:val="009E4B41"/>
    <w:rsid w:val="009E4D16"/>
    <w:rsid w:val="009E4E65"/>
    <w:rsid w:val="009E51C4"/>
    <w:rsid w:val="009E5AB9"/>
    <w:rsid w:val="009E6B8D"/>
    <w:rsid w:val="009E7169"/>
    <w:rsid w:val="009E7386"/>
    <w:rsid w:val="009E7E92"/>
    <w:rsid w:val="009F08CA"/>
    <w:rsid w:val="009F09A4"/>
    <w:rsid w:val="009F11CD"/>
    <w:rsid w:val="009F1865"/>
    <w:rsid w:val="009F1D71"/>
    <w:rsid w:val="009F2836"/>
    <w:rsid w:val="009F3867"/>
    <w:rsid w:val="009F398E"/>
    <w:rsid w:val="009F4AB3"/>
    <w:rsid w:val="009F4CB7"/>
    <w:rsid w:val="009F5284"/>
    <w:rsid w:val="009F5535"/>
    <w:rsid w:val="009F6696"/>
    <w:rsid w:val="009F6DEF"/>
    <w:rsid w:val="009F7398"/>
    <w:rsid w:val="009F7AD8"/>
    <w:rsid w:val="009F7F69"/>
    <w:rsid w:val="00A00117"/>
    <w:rsid w:val="00A01631"/>
    <w:rsid w:val="00A01D09"/>
    <w:rsid w:val="00A03AC6"/>
    <w:rsid w:val="00A041EB"/>
    <w:rsid w:val="00A04449"/>
    <w:rsid w:val="00A04D4B"/>
    <w:rsid w:val="00A066B7"/>
    <w:rsid w:val="00A06831"/>
    <w:rsid w:val="00A06AE2"/>
    <w:rsid w:val="00A10D99"/>
    <w:rsid w:val="00A11985"/>
    <w:rsid w:val="00A11B2B"/>
    <w:rsid w:val="00A12115"/>
    <w:rsid w:val="00A1233D"/>
    <w:rsid w:val="00A1242E"/>
    <w:rsid w:val="00A12A17"/>
    <w:rsid w:val="00A130D9"/>
    <w:rsid w:val="00A1387D"/>
    <w:rsid w:val="00A13B30"/>
    <w:rsid w:val="00A140B0"/>
    <w:rsid w:val="00A16457"/>
    <w:rsid w:val="00A16D17"/>
    <w:rsid w:val="00A200ED"/>
    <w:rsid w:val="00A203F2"/>
    <w:rsid w:val="00A208FD"/>
    <w:rsid w:val="00A20946"/>
    <w:rsid w:val="00A22AFF"/>
    <w:rsid w:val="00A22C32"/>
    <w:rsid w:val="00A231C1"/>
    <w:rsid w:val="00A2363D"/>
    <w:rsid w:val="00A23E17"/>
    <w:rsid w:val="00A23EB9"/>
    <w:rsid w:val="00A23FDF"/>
    <w:rsid w:val="00A25541"/>
    <w:rsid w:val="00A26534"/>
    <w:rsid w:val="00A26788"/>
    <w:rsid w:val="00A26D6B"/>
    <w:rsid w:val="00A27B61"/>
    <w:rsid w:val="00A27F40"/>
    <w:rsid w:val="00A30349"/>
    <w:rsid w:val="00A315D0"/>
    <w:rsid w:val="00A32A52"/>
    <w:rsid w:val="00A32B92"/>
    <w:rsid w:val="00A32E1D"/>
    <w:rsid w:val="00A34DEB"/>
    <w:rsid w:val="00A35CCA"/>
    <w:rsid w:val="00A35D5A"/>
    <w:rsid w:val="00A361FE"/>
    <w:rsid w:val="00A3702B"/>
    <w:rsid w:val="00A37DD9"/>
    <w:rsid w:val="00A37EB8"/>
    <w:rsid w:val="00A37F0D"/>
    <w:rsid w:val="00A37F73"/>
    <w:rsid w:val="00A410C7"/>
    <w:rsid w:val="00A4117E"/>
    <w:rsid w:val="00A41BFF"/>
    <w:rsid w:val="00A42C09"/>
    <w:rsid w:val="00A42FDC"/>
    <w:rsid w:val="00A43424"/>
    <w:rsid w:val="00A436F1"/>
    <w:rsid w:val="00A43A5E"/>
    <w:rsid w:val="00A4492C"/>
    <w:rsid w:val="00A44984"/>
    <w:rsid w:val="00A468CD"/>
    <w:rsid w:val="00A46F71"/>
    <w:rsid w:val="00A47BE7"/>
    <w:rsid w:val="00A503B3"/>
    <w:rsid w:val="00A50904"/>
    <w:rsid w:val="00A50C96"/>
    <w:rsid w:val="00A5120D"/>
    <w:rsid w:val="00A51FB4"/>
    <w:rsid w:val="00A52027"/>
    <w:rsid w:val="00A524AE"/>
    <w:rsid w:val="00A526C4"/>
    <w:rsid w:val="00A52759"/>
    <w:rsid w:val="00A52881"/>
    <w:rsid w:val="00A52961"/>
    <w:rsid w:val="00A54C96"/>
    <w:rsid w:val="00A55A17"/>
    <w:rsid w:val="00A55EE9"/>
    <w:rsid w:val="00A56448"/>
    <w:rsid w:val="00A5650B"/>
    <w:rsid w:val="00A56F39"/>
    <w:rsid w:val="00A56F41"/>
    <w:rsid w:val="00A572C2"/>
    <w:rsid w:val="00A5755B"/>
    <w:rsid w:val="00A57576"/>
    <w:rsid w:val="00A578FB"/>
    <w:rsid w:val="00A57BE7"/>
    <w:rsid w:val="00A57E6C"/>
    <w:rsid w:val="00A604B8"/>
    <w:rsid w:val="00A605A8"/>
    <w:rsid w:val="00A60E44"/>
    <w:rsid w:val="00A6191C"/>
    <w:rsid w:val="00A61CD2"/>
    <w:rsid w:val="00A61FB7"/>
    <w:rsid w:val="00A6209A"/>
    <w:rsid w:val="00A6218C"/>
    <w:rsid w:val="00A62795"/>
    <w:rsid w:val="00A62CE0"/>
    <w:rsid w:val="00A62E36"/>
    <w:rsid w:val="00A63389"/>
    <w:rsid w:val="00A639BA"/>
    <w:rsid w:val="00A64882"/>
    <w:rsid w:val="00A6492C"/>
    <w:rsid w:val="00A649E8"/>
    <w:rsid w:val="00A64E61"/>
    <w:rsid w:val="00A650B7"/>
    <w:rsid w:val="00A6529A"/>
    <w:rsid w:val="00A65417"/>
    <w:rsid w:val="00A659A9"/>
    <w:rsid w:val="00A65F95"/>
    <w:rsid w:val="00A666C5"/>
    <w:rsid w:val="00A676BF"/>
    <w:rsid w:val="00A677AB"/>
    <w:rsid w:val="00A677E1"/>
    <w:rsid w:val="00A679CD"/>
    <w:rsid w:val="00A67BC7"/>
    <w:rsid w:val="00A701F6"/>
    <w:rsid w:val="00A7029E"/>
    <w:rsid w:val="00A70923"/>
    <w:rsid w:val="00A71586"/>
    <w:rsid w:val="00A715E4"/>
    <w:rsid w:val="00A716C1"/>
    <w:rsid w:val="00A71BE1"/>
    <w:rsid w:val="00A721B8"/>
    <w:rsid w:val="00A721F2"/>
    <w:rsid w:val="00A73238"/>
    <w:rsid w:val="00A7411C"/>
    <w:rsid w:val="00A74C22"/>
    <w:rsid w:val="00A74DAD"/>
    <w:rsid w:val="00A74F61"/>
    <w:rsid w:val="00A75324"/>
    <w:rsid w:val="00A757E8"/>
    <w:rsid w:val="00A75A91"/>
    <w:rsid w:val="00A76800"/>
    <w:rsid w:val="00A76D51"/>
    <w:rsid w:val="00A76DB4"/>
    <w:rsid w:val="00A76FDF"/>
    <w:rsid w:val="00A77764"/>
    <w:rsid w:val="00A80766"/>
    <w:rsid w:val="00A808BB"/>
    <w:rsid w:val="00A80939"/>
    <w:rsid w:val="00A815D4"/>
    <w:rsid w:val="00A816F5"/>
    <w:rsid w:val="00A81B0E"/>
    <w:rsid w:val="00A82173"/>
    <w:rsid w:val="00A824A3"/>
    <w:rsid w:val="00A82511"/>
    <w:rsid w:val="00A8277C"/>
    <w:rsid w:val="00A83289"/>
    <w:rsid w:val="00A8391A"/>
    <w:rsid w:val="00A84929"/>
    <w:rsid w:val="00A84FFC"/>
    <w:rsid w:val="00A85B1E"/>
    <w:rsid w:val="00A864E2"/>
    <w:rsid w:val="00A86C03"/>
    <w:rsid w:val="00A86D51"/>
    <w:rsid w:val="00A874F5"/>
    <w:rsid w:val="00A875BA"/>
    <w:rsid w:val="00A87BEB"/>
    <w:rsid w:val="00A90EC8"/>
    <w:rsid w:val="00A90FE7"/>
    <w:rsid w:val="00A91561"/>
    <w:rsid w:val="00A92194"/>
    <w:rsid w:val="00A92376"/>
    <w:rsid w:val="00A92579"/>
    <w:rsid w:val="00A929B7"/>
    <w:rsid w:val="00A92E93"/>
    <w:rsid w:val="00A9333E"/>
    <w:rsid w:val="00A9367E"/>
    <w:rsid w:val="00A9448D"/>
    <w:rsid w:val="00A94695"/>
    <w:rsid w:val="00A94B00"/>
    <w:rsid w:val="00A95264"/>
    <w:rsid w:val="00A961A4"/>
    <w:rsid w:val="00A96DD1"/>
    <w:rsid w:val="00A96F40"/>
    <w:rsid w:val="00A9797F"/>
    <w:rsid w:val="00A97DA8"/>
    <w:rsid w:val="00A97E66"/>
    <w:rsid w:val="00AA043D"/>
    <w:rsid w:val="00AA1D23"/>
    <w:rsid w:val="00AA303E"/>
    <w:rsid w:val="00AA3193"/>
    <w:rsid w:val="00AA3320"/>
    <w:rsid w:val="00AA348D"/>
    <w:rsid w:val="00AA3BE7"/>
    <w:rsid w:val="00AA3DA9"/>
    <w:rsid w:val="00AA3DCA"/>
    <w:rsid w:val="00AA3F2C"/>
    <w:rsid w:val="00AA4729"/>
    <w:rsid w:val="00AA508F"/>
    <w:rsid w:val="00AA5A70"/>
    <w:rsid w:val="00AA62BE"/>
    <w:rsid w:val="00AA6485"/>
    <w:rsid w:val="00AA736A"/>
    <w:rsid w:val="00AA79E0"/>
    <w:rsid w:val="00AA7F93"/>
    <w:rsid w:val="00AB0785"/>
    <w:rsid w:val="00AB1C36"/>
    <w:rsid w:val="00AB1C68"/>
    <w:rsid w:val="00AB1F26"/>
    <w:rsid w:val="00AB24AC"/>
    <w:rsid w:val="00AB2750"/>
    <w:rsid w:val="00AB2FE8"/>
    <w:rsid w:val="00AB3968"/>
    <w:rsid w:val="00AB3DE9"/>
    <w:rsid w:val="00AB3F68"/>
    <w:rsid w:val="00AB4730"/>
    <w:rsid w:val="00AB4C45"/>
    <w:rsid w:val="00AB5242"/>
    <w:rsid w:val="00AB539A"/>
    <w:rsid w:val="00AB58D5"/>
    <w:rsid w:val="00AB5A5E"/>
    <w:rsid w:val="00AB6D40"/>
    <w:rsid w:val="00AB784B"/>
    <w:rsid w:val="00AB7ACA"/>
    <w:rsid w:val="00AB7BCE"/>
    <w:rsid w:val="00AC1011"/>
    <w:rsid w:val="00AC1DC1"/>
    <w:rsid w:val="00AC21F2"/>
    <w:rsid w:val="00AC28E7"/>
    <w:rsid w:val="00AC2EF9"/>
    <w:rsid w:val="00AC3245"/>
    <w:rsid w:val="00AC3B50"/>
    <w:rsid w:val="00AC405D"/>
    <w:rsid w:val="00AC43F1"/>
    <w:rsid w:val="00AC4718"/>
    <w:rsid w:val="00AC6323"/>
    <w:rsid w:val="00AC69C2"/>
    <w:rsid w:val="00AC77F2"/>
    <w:rsid w:val="00AC787E"/>
    <w:rsid w:val="00AC7DBD"/>
    <w:rsid w:val="00AC7F01"/>
    <w:rsid w:val="00AD00BA"/>
    <w:rsid w:val="00AD1153"/>
    <w:rsid w:val="00AD115A"/>
    <w:rsid w:val="00AD11FF"/>
    <w:rsid w:val="00AD1A3A"/>
    <w:rsid w:val="00AD27AE"/>
    <w:rsid w:val="00AD448E"/>
    <w:rsid w:val="00AD49B5"/>
    <w:rsid w:val="00AD4AB1"/>
    <w:rsid w:val="00AD4E2B"/>
    <w:rsid w:val="00AD4FAF"/>
    <w:rsid w:val="00AD4FC9"/>
    <w:rsid w:val="00AD5FAA"/>
    <w:rsid w:val="00AD7389"/>
    <w:rsid w:val="00AD78DD"/>
    <w:rsid w:val="00AD7CCD"/>
    <w:rsid w:val="00AD7ECB"/>
    <w:rsid w:val="00AE0221"/>
    <w:rsid w:val="00AE3028"/>
    <w:rsid w:val="00AE3B32"/>
    <w:rsid w:val="00AE4250"/>
    <w:rsid w:val="00AE57B1"/>
    <w:rsid w:val="00AE5935"/>
    <w:rsid w:val="00AE5DAD"/>
    <w:rsid w:val="00AE6095"/>
    <w:rsid w:val="00AE60A7"/>
    <w:rsid w:val="00AE65F1"/>
    <w:rsid w:val="00AE679B"/>
    <w:rsid w:val="00AE682D"/>
    <w:rsid w:val="00AE6BE1"/>
    <w:rsid w:val="00AE73CC"/>
    <w:rsid w:val="00AE7EF4"/>
    <w:rsid w:val="00AF03D2"/>
    <w:rsid w:val="00AF065F"/>
    <w:rsid w:val="00AF0A63"/>
    <w:rsid w:val="00AF0BBE"/>
    <w:rsid w:val="00AF0E5D"/>
    <w:rsid w:val="00AF11DB"/>
    <w:rsid w:val="00AF1EF0"/>
    <w:rsid w:val="00AF2451"/>
    <w:rsid w:val="00AF2D75"/>
    <w:rsid w:val="00AF30B2"/>
    <w:rsid w:val="00AF3177"/>
    <w:rsid w:val="00AF33E8"/>
    <w:rsid w:val="00AF3724"/>
    <w:rsid w:val="00AF4476"/>
    <w:rsid w:val="00AF65EA"/>
    <w:rsid w:val="00AF6FB8"/>
    <w:rsid w:val="00B00328"/>
    <w:rsid w:val="00B003B3"/>
    <w:rsid w:val="00B01463"/>
    <w:rsid w:val="00B0146A"/>
    <w:rsid w:val="00B0150B"/>
    <w:rsid w:val="00B01581"/>
    <w:rsid w:val="00B0191B"/>
    <w:rsid w:val="00B01926"/>
    <w:rsid w:val="00B01B94"/>
    <w:rsid w:val="00B01ED1"/>
    <w:rsid w:val="00B02879"/>
    <w:rsid w:val="00B02883"/>
    <w:rsid w:val="00B02DDD"/>
    <w:rsid w:val="00B039F2"/>
    <w:rsid w:val="00B04B9D"/>
    <w:rsid w:val="00B04D14"/>
    <w:rsid w:val="00B04D9E"/>
    <w:rsid w:val="00B04E58"/>
    <w:rsid w:val="00B05215"/>
    <w:rsid w:val="00B05787"/>
    <w:rsid w:val="00B05F02"/>
    <w:rsid w:val="00B062BC"/>
    <w:rsid w:val="00B06AF7"/>
    <w:rsid w:val="00B076A7"/>
    <w:rsid w:val="00B07C5D"/>
    <w:rsid w:val="00B1059E"/>
    <w:rsid w:val="00B107B6"/>
    <w:rsid w:val="00B10B1D"/>
    <w:rsid w:val="00B10F4D"/>
    <w:rsid w:val="00B11C4D"/>
    <w:rsid w:val="00B12CA5"/>
    <w:rsid w:val="00B12F90"/>
    <w:rsid w:val="00B135CE"/>
    <w:rsid w:val="00B140FD"/>
    <w:rsid w:val="00B14270"/>
    <w:rsid w:val="00B14508"/>
    <w:rsid w:val="00B14AA2"/>
    <w:rsid w:val="00B14EED"/>
    <w:rsid w:val="00B14FE9"/>
    <w:rsid w:val="00B15199"/>
    <w:rsid w:val="00B15C2D"/>
    <w:rsid w:val="00B15D5C"/>
    <w:rsid w:val="00B16A62"/>
    <w:rsid w:val="00B171BF"/>
    <w:rsid w:val="00B17C9D"/>
    <w:rsid w:val="00B17CCF"/>
    <w:rsid w:val="00B17DCC"/>
    <w:rsid w:val="00B200B2"/>
    <w:rsid w:val="00B209FF"/>
    <w:rsid w:val="00B21AA5"/>
    <w:rsid w:val="00B21E77"/>
    <w:rsid w:val="00B22B0D"/>
    <w:rsid w:val="00B23684"/>
    <w:rsid w:val="00B23EA0"/>
    <w:rsid w:val="00B24571"/>
    <w:rsid w:val="00B2561B"/>
    <w:rsid w:val="00B256B4"/>
    <w:rsid w:val="00B26CD6"/>
    <w:rsid w:val="00B26D04"/>
    <w:rsid w:val="00B26F3B"/>
    <w:rsid w:val="00B27004"/>
    <w:rsid w:val="00B27B4E"/>
    <w:rsid w:val="00B30A13"/>
    <w:rsid w:val="00B30EFF"/>
    <w:rsid w:val="00B329C4"/>
    <w:rsid w:val="00B33485"/>
    <w:rsid w:val="00B34006"/>
    <w:rsid w:val="00B3587E"/>
    <w:rsid w:val="00B3631E"/>
    <w:rsid w:val="00B36B48"/>
    <w:rsid w:val="00B36E40"/>
    <w:rsid w:val="00B36E83"/>
    <w:rsid w:val="00B3703D"/>
    <w:rsid w:val="00B37B40"/>
    <w:rsid w:val="00B37FA4"/>
    <w:rsid w:val="00B40EFE"/>
    <w:rsid w:val="00B4124F"/>
    <w:rsid w:val="00B414E1"/>
    <w:rsid w:val="00B41588"/>
    <w:rsid w:val="00B43413"/>
    <w:rsid w:val="00B44280"/>
    <w:rsid w:val="00B45B3E"/>
    <w:rsid w:val="00B45CC3"/>
    <w:rsid w:val="00B46F23"/>
    <w:rsid w:val="00B474BE"/>
    <w:rsid w:val="00B47520"/>
    <w:rsid w:val="00B476A3"/>
    <w:rsid w:val="00B501AF"/>
    <w:rsid w:val="00B51284"/>
    <w:rsid w:val="00B51550"/>
    <w:rsid w:val="00B516FF"/>
    <w:rsid w:val="00B52229"/>
    <w:rsid w:val="00B52FD0"/>
    <w:rsid w:val="00B540FD"/>
    <w:rsid w:val="00B54666"/>
    <w:rsid w:val="00B5479D"/>
    <w:rsid w:val="00B5645A"/>
    <w:rsid w:val="00B5667B"/>
    <w:rsid w:val="00B566D2"/>
    <w:rsid w:val="00B5676C"/>
    <w:rsid w:val="00B56B81"/>
    <w:rsid w:val="00B56D39"/>
    <w:rsid w:val="00B5785E"/>
    <w:rsid w:val="00B57B50"/>
    <w:rsid w:val="00B60277"/>
    <w:rsid w:val="00B60619"/>
    <w:rsid w:val="00B60C16"/>
    <w:rsid w:val="00B61B05"/>
    <w:rsid w:val="00B6216B"/>
    <w:rsid w:val="00B62596"/>
    <w:rsid w:val="00B62703"/>
    <w:rsid w:val="00B62C82"/>
    <w:rsid w:val="00B63144"/>
    <w:rsid w:val="00B641FE"/>
    <w:rsid w:val="00B64817"/>
    <w:rsid w:val="00B648F3"/>
    <w:rsid w:val="00B64AE8"/>
    <w:rsid w:val="00B657C9"/>
    <w:rsid w:val="00B66301"/>
    <w:rsid w:val="00B663D2"/>
    <w:rsid w:val="00B666C9"/>
    <w:rsid w:val="00B67124"/>
    <w:rsid w:val="00B67518"/>
    <w:rsid w:val="00B67F9C"/>
    <w:rsid w:val="00B703E1"/>
    <w:rsid w:val="00B70829"/>
    <w:rsid w:val="00B70956"/>
    <w:rsid w:val="00B70C80"/>
    <w:rsid w:val="00B71B55"/>
    <w:rsid w:val="00B7204B"/>
    <w:rsid w:val="00B72494"/>
    <w:rsid w:val="00B72E87"/>
    <w:rsid w:val="00B73198"/>
    <w:rsid w:val="00B738DA"/>
    <w:rsid w:val="00B73952"/>
    <w:rsid w:val="00B741D8"/>
    <w:rsid w:val="00B74978"/>
    <w:rsid w:val="00B74B39"/>
    <w:rsid w:val="00B74D0F"/>
    <w:rsid w:val="00B74DE6"/>
    <w:rsid w:val="00B75780"/>
    <w:rsid w:val="00B75865"/>
    <w:rsid w:val="00B75FAA"/>
    <w:rsid w:val="00B76041"/>
    <w:rsid w:val="00B765D5"/>
    <w:rsid w:val="00B76955"/>
    <w:rsid w:val="00B76BBD"/>
    <w:rsid w:val="00B77A13"/>
    <w:rsid w:val="00B77A85"/>
    <w:rsid w:val="00B77EDD"/>
    <w:rsid w:val="00B80816"/>
    <w:rsid w:val="00B809AA"/>
    <w:rsid w:val="00B80F1A"/>
    <w:rsid w:val="00B81086"/>
    <w:rsid w:val="00B8116C"/>
    <w:rsid w:val="00B81A87"/>
    <w:rsid w:val="00B81EFA"/>
    <w:rsid w:val="00B8216A"/>
    <w:rsid w:val="00B82190"/>
    <w:rsid w:val="00B8230C"/>
    <w:rsid w:val="00B8278F"/>
    <w:rsid w:val="00B82A19"/>
    <w:rsid w:val="00B82A60"/>
    <w:rsid w:val="00B832D4"/>
    <w:rsid w:val="00B8352C"/>
    <w:rsid w:val="00B8379D"/>
    <w:rsid w:val="00B837F0"/>
    <w:rsid w:val="00B83EBA"/>
    <w:rsid w:val="00B84266"/>
    <w:rsid w:val="00B843FA"/>
    <w:rsid w:val="00B85262"/>
    <w:rsid w:val="00B8598B"/>
    <w:rsid w:val="00B86791"/>
    <w:rsid w:val="00B868CE"/>
    <w:rsid w:val="00B8763D"/>
    <w:rsid w:val="00B90283"/>
    <w:rsid w:val="00B905AE"/>
    <w:rsid w:val="00B90BC1"/>
    <w:rsid w:val="00B90BDB"/>
    <w:rsid w:val="00B90DD6"/>
    <w:rsid w:val="00B910BD"/>
    <w:rsid w:val="00B91166"/>
    <w:rsid w:val="00B9131A"/>
    <w:rsid w:val="00B91713"/>
    <w:rsid w:val="00B91C0A"/>
    <w:rsid w:val="00B9213A"/>
    <w:rsid w:val="00B927B1"/>
    <w:rsid w:val="00B92A6E"/>
    <w:rsid w:val="00B93690"/>
    <w:rsid w:val="00B93BF1"/>
    <w:rsid w:val="00B942EC"/>
    <w:rsid w:val="00B94CF8"/>
    <w:rsid w:val="00B9563A"/>
    <w:rsid w:val="00B9583F"/>
    <w:rsid w:val="00B96074"/>
    <w:rsid w:val="00B962D2"/>
    <w:rsid w:val="00B96811"/>
    <w:rsid w:val="00B970CF"/>
    <w:rsid w:val="00BA023A"/>
    <w:rsid w:val="00BA0420"/>
    <w:rsid w:val="00BA0FDB"/>
    <w:rsid w:val="00BA118D"/>
    <w:rsid w:val="00BA1FEE"/>
    <w:rsid w:val="00BA20EE"/>
    <w:rsid w:val="00BA2677"/>
    <w:rsid w:val="00BA2849"/>
    <w:rsid w:val="00BA2ADC"/>
    <w:rsid w:val="00BA4221"/>
    <w:rsid w:val="00BA46F6"/>
    <w:rsid w:val="00BA49EE"/>
    <w:rsid w:val="00BA53C4"/>
    <w:rsid w:val="00BA55A9"/>
    <w:rsid w:val="00BA5778"/>
    <w:rsid w:val="00BA5D6F"/>
    <w:rsid w:val="00BA62F0"/>
    <w:rsid w:val="00BA6A44"/>
    <w:rsid w:val="00BA6D37"/>
    <w:rsid w:val="00BA73A4"/>
    <w:rsid w:val="00BA73BD"/>
    <w:rsid w:val="00BB0AF8"/>
    <w:rsid w:val="00BB0DB7"/>
    <w:rsid w:val="00BB2E08"/>
    <w:rsid w:val="00BB3026"/>
    <w:rsid w:val="00BB3245"/>
    <w:rsid w:val="00BB44D8"/>
    <w:rsid w:val="00BB521D"/>
    <w:rsid w:val="00BB5920"/>
    <w:rsid w:val="00BB6BB4"/>
    <w:rsid w:val="00BB6CF2"/>
    <w:rsid w:val="00BB74EC"/>
    <w:rsid w:val="00BB75D0"/>
    <w:rsid w:val="00BC00CB"/>
    <w:rsid w:val="00BC043C"/>
    <w:rsid w:val="00BC048B"/>
    <w:rsid w:val="00BC12EF"/>
    <w:rsid w:val="00BC1B78"/>
    <w:rsid w:val="00BC1F19"/>
    <w:rsid w:val="00BC2378"/>
    <w:rsid w:val="00BC2BB6"/>
    <w:rsid w:val="00BC2D38"/>
    <w:rsid w:val="00BC334E"/>
    <w:rsid w:val="00BC3DA0"/>
    <w:rsid w:val="00BC4A17"/>
    <w:rsid w:val="00BC4C20"/>
    <w:rsid w:val="00BC5A77"/>
    <w:rsid w:val="00BC629A"/>
    <w:rsid w:val="00BC643C"/>
    <w:rsid w:val="00BC64BE"/>
    <w:rsid w:val="00BC694C"/>
    <w:rsid w:val="00BC76F5"/>
    <w:rsid w:val="00BC7721"/>
    <w:rsid w:val="00BC781A"/>
    <w:rsid w:val="00BC7BD6"/>
    <w:rsid w:val="00BD0060"/>
    <w:rsid w:val="00BD0400"/>
    <w:rsid w:val="00BD0CDF"/>
    <w:rsid w:val="00BD0FA5"/>
    <w:rsid w:val="00BD1D12"/>
    <w:rsid w:val="00BD357C"/>
    <w:rsid w:val="00BD396E"/>
    <w:rsid w:val="00BD468D"/>
    <w:rsid w:val="00BD5297"/>
    <w:rsid w:val="00BD5585"/>
    <w:rsid w:val="00BD5E37"/>
    <w:rsid w:val="00BD635E"/>
    <w:rsid w:val="00BD69E1"/>
    <w:rsid w:val="00BD79BC"/>
    <w:rsid w:val="00BD7C7D"/>
    <w:rsid w:val="00BE09C8"/>
    <w:rsid w:val="00BE0CA2"/>
    <w:rsid w:val="00BE2638"/>
    <w:rsid w:val="00BE2A71"/>
    <w:rsid w:val="00BE3374"/>
    <w:rsid w:val="00BE38B5"/>
    <w:rsid w:val="00BE3F2A"/>
    <w:rsid w:val="00BE3FA9"/>
    <w:rsid w:val="00BE43C8"/>
    <w:rsid w:val="00BE478F"/>
    <w:rsid w:val="00BE5CE5"/>
    <w:rsid w:val="00BE66C4"/>
    <w:rsid w:val="00BF14E2"/>
    <w:rsid w:val="00BF176A"/>
    <w:rsid w:val="00BF1958"/>
    <w:rsid w:val="00BF1AE3"/>
    <w:rsid w:val="00BF1D76"/>
    <w:rsid w:val="00BF1EB0"/>
    <w:rsid w:val="00BF20F1"/>
    <w:rsid w:val="00BF2570"/>
    <w:rsid w:val="00BF2D94"/>
    <w:rsid w:val="00BF2DA1"/>
    <w:rsid w:val="00BF3542"/>
    <w:rsid w:val="00BF46DB"/>
    <w:rsid w:val="00BF4732"/>
    <w:rsid w:val="00BF50C7"/>
    <w:rsid w:val="00BF6550"/>
    <w:rsid w:val="00BF7035"/>
    <w:rsid w:val="00BF70C2"/>
    <w:rsid w:val="00BF77A5"/>
    <w:rsid w:val="00C004CE"/>
    <w:rsid w:val="00C00862"/>
    <w:rsid w:val="00C00C22"/>
    <w:rsid w:val="00C01C27"/>
    <w:rsid w:val="00C0330F"/>
    <w:rsid w:val="00C03D5D"/>
    <w:rsid w:val="00C04000"/>
    <w:rsid w:val="00C0443C"/>
    <w:rsid w:val="00C05E37"/>
    <w:rsid w:val="00C06123"/>
    <w:rsid w:val="00C06AC5"/>
    <w:rsid w:val="00C076ED"/>
    <w:rsid w:val="00C07A85"/>
    <w:rsid w:val="00C07CA1"/>
    <w:rsid w:val="00C11171"/>
    <w:rsid w:val="00C115EB"/>
    <w:rsid w:val="00C11D13"/>
    <w:rsid w:val="00C11DD0"/>
    <w:rsid w:val="00C11E88"/>
    <w:rsid w:val="00C121D2"/>
    <w:rsid w:val="00C12280"/>
    <w:rsid w:val="00C12AF6"/>
    <w:rsid w:val="00C13B41"/>
    <w:rsid w:val="00C13B66"/>
    <w:rsid w:val="00C14489"/>
    <w:rsid w:val="00C14A4A"/>
    <w:rsid w:val="00C150EB"/>
    <w:rsid w:val="00C157BA"/>
    <w:rsid w:val="00C15BED"/>
    <w:rsid w:val="00C16471"/>
    <w:rsid w:val="00C164B7"/>
    <w:rsid w:val="00C17441"/>
    <w:rsid w:val="00C17A30"/>
    <w:rsid w:val="00C20C5F"/>
    <w:rsid w:val="00C20C95"/>
    <w:rsid w:val="00C21706"/>
    <w:rsid w:val="00C21A75"/>
    <w:rsid w:val="00C22918"/>
    <w:rsid w:val="00C234C2"/>
    <w:rsid w:val="00C2350C"/>
    <w:rsid w:val="00C23BD7"/>
    <w:rsid w:val="00C23D9A"/>
    <w:rsid w:val="00C23ED0"/>
    <w:rsid w:val="00C241F3"/>
    <w:rsid w:val="00C24323"/>
    <w:rsid w:val="00C25ADF"/>
    <w:rsid w:val="00C26742"/>
    <w:rsid w:val="00C26BDC"/>
    <w:rsid w:val="00C26DFC"/>
    <w:rsid w:val="00C279D7"/>
    <w:rsid w:val="00C27EDE"/>
    <w:rsid w:val="00C30BD6"/>
    <w:rsid w:val="00C31FCD"/>
    <w:rsid w:val="00C32740"/>
    <w:rsid w:val="00C333EC"/>
    <w:rsid w:val="00C33416"/>
    <w:rsid w:val="00C3376E"/>
    <w:rsid w:val="00C34EC1"/>
    <w:rsid w:val="00C3526B"/>
    <w:rsid w:val="00C35D58"/>
    <w:rsid w:val="00C364D6"/>
    <w:rsid w:val="00C36DDA"/>
    <w:rsid w:val="00C37236"/>
    <w:rsid w:val="00C3726A"/>
    <w:rsid w:val="00C37855"/>
    <w:rsid w:val="00C40583"/>
    <w:rsid w:val="00C409FE"/>
    <w:rsid w:val="00C40D07"/>
    <w:rsid w:val="00C42059"/>
    <w:rsid w:val="00C423AF"/>
    <w:rsid w:val="00C42A0C"/>
    <w:rsid w:val="00C42DAA"/>
    <w:rsid w:val="00C437F0"/>
    <w:rsid w:val="00C4387F"/>
    <w:rsid w:val="00C43EAC"/>
    <w:rsid w:val="00C441DB"/>
    <w:rsid w:val="00C44DE8"/>
    <w:rsid w:val="00C4530F"/>
    <w:rsid w:val="00C45FEC"/>
    <w:rsid w:val="00C465D7"/>
    <w:rsid w:val="00C47311"/>
    <w:rsid w:val="00C4732B"/>
    <w:rsid w:val="00C478A8"/>
    <w:rsid w:val="00C47DBD"/>
    <w:rsid w:val="00C509D4"/>
    <w:rsid w:val="00C51E00"/>
    <w:rsid w:val="00C5241D"/>
    <w:rsid w:val="00C52EA0"/>
    <w:rsid w:val="00C531AA"/>
    <w:rsid w:val="00C531FC"/>
    <w:rsid w:val="00C53ACB"/>
    <w:rsid w:val="00C53AFB"/>
    <w:rsid w:val="00C55859"/>
    <w:rsid w:val="00C5650A"/>
    <w:rsid w:val="00C56DDC"/>
    <w:rsid w:val="00C57394"/>
    <w:rsid w:val="00C576AE"/>
    <w:rsid w:val="00C60090"/>
    <w:rsid w:val="00C613F7"/>
    <w:rsid w:val="00C61943"/>
    <w:rsid w:val="00C62801"/>
    <w:rsid w:val="00C62E8C"/>
    <w:rsid w:val="00C63C0A"/>
    <w:rsid w:val="00C63CFF"/>
    <w:rsid w:val="00C64652"/>
    <w:rsid w:val="00C6497D"/>
    <w:rsid w:val="00C64B68"/>
    <w:rsid w:val="00C64E56"/>
    <w:rsid w:val="00C65D6D"/>
    <w:rsid w:val="00C6627C"/>
    <w:rsid w:val="00C6642D"/>
    <w:rsid w:val="00C6647F"/>
    <w:rsid w:val="00C665C9"/>
    <w:rsid w:val="00C66EF7"/>
    <w:rsid w:val="00C67498"/>
    <w:rsid w:val="00C70AE6"/>
    <w:rsid w:val="00C70F3B"/>
    <w:rsid w:val="00C70F72"/>
    <w:rsid w:val="00C71D06"/>
    <w:rsid w:val="00C71D22"/>
    <w:rsid w:val="00C71E26"/>
    <w:rsid w:val="00C71F74"/>
    <w:rsid w:val="00C722D0"/>
    <w:rsid w:val="00C7286C"/>
    <w:rsid w:val="00C730C8"/>
    <w:rsid w:val="00C73371"/>
    <w:rsid w:val="00C73E8D"/>
    <w:rsid w:val="00C74042"/>
    <w:rsid w:val="00C74109"/>
    <w:rsid w:val="00C7484F"/>
    <w:rsid w:val="00C75D2D"/>
    <w:rsid w:val="00C76734"/>
    <w:rsid w:val="00C76F50"/>
    <w:rsid w:val="00C7748C"/>
    <w:rsid w:val="00C77495"/>
    <w:rsid w:val="00C77D88"/>
    <w:rsid w:val="00C77E1D"/>
    <w:rsid w:val="00C8094D"/>
    <w:rsid w:val="00C80A13"/>
    <w:rsid w:val="00C81C49"/>
    <w:rsid w:val="00C82161"/>
    <w:rsid w:val="00C82251"/>
    <w:rsid w:val="00C82C62"/>
    <w:rsid w:val="00C83903"/>
    <w:rsid w:val="00C83C9D"/>
    <w:rsid w:val="00C83DB0"/>
    <w:rsid w:val="00C840B0"/>
    <w:rsid w:val="00C84BA3"/>
    <w:rsid w:val="00C8514D"/>
    <w:rsid w:val="00C86174"/>
    <w:rsid w:val="00C863C1"/>
    <w:rsid w:val="00C864CC"/>
    <w:rsid w:val="00C86F64"/>
    <w:rsid w:val="00C87CAD"/>
    <w:rsid w:val="00C90585"/>
    <w:rsid w:val="00C905D9"/>
    <w:rsid w:val="00C90822"/>
    <w:rsid w:val="00C91184"/>
    <w:rsid w:val="00C91CB9"/>
    <w:rsid w:val="00C92270"/>
    <w:rsid w:val="00C92DB6"/>
    <w:rsid w:val="00C93039"/>
    <w:rsid w:val="00C94B6B"/>
    <w:rsid w:val="00C94E50"/>
    <w:rsid w:val="00C94F31"/>
    <w:rsid w:val="00C94FB5"/>
    <w:rsid w:val="00C95280"/>
    <w:rsid w:val="00C95756"/>
    <w:rsid w:val="00C9589E"/>
    <w:rsid w:val="00C959C3"/>
    <w:rsid w:val="00C9602B"/>
    <w:rsid w:val="00C9616F"/>
    <w:rsid w:val="00C965C0"/>
    <w:rsid w:val="00C96CF8"/>
    <w:rsid w:val="00CA02B0"/>
    <w:rsid w:val="00CA0349"/>
    <w:rsid w:val="00CA1271"/>
    <w:rsid w:val="00CA261B"/>
    <w:rsid w:val="00CA262B"/>
    <w:rsid w:val="00CA3611"/>
    <w:rsid w:val="00CA3BCF"/>
    <w:rsid w:val="00CA50F7"/>
    <w:rsid w:val="00CA692B"/>
    <w:rsid w:val="00CA73FE"/>
    <w:rsid w:val="00CA7506"/>
    <w:rsid w:val="00CB033D"/>
    <w:rsid w:val="00CB073F"/>
    <w:rsid w:val="00CB0BFA"/>
    <w:rsid w:val="00CB0E6E"/>
    <w:rsid w:val="00CB16D7"/>
    <w:rsid w:val="00CB19DA"/>
    <w:rsid w:val="00CB1B60"/>
    <w:rsid w:val="00CB2DFF"/>
    <w:rsid w:val="00CB45FB"/>
    <w:rsid w:val="00CB5732"/>
    <w:rsid w:val="00CB5B12"/>
    <w:rsid w:val="00CB5D3D"/>
    <w:rsid w:val="00CB6A1F"/>
    <w:rsid w:val="00CB6B16"/>
    <w:rsid w:val="00CB741E"/>
    <w:rsid w:val="00CB74E9"/>
    <w:rsid w:val="00CB79F3"/>
    <w:rsid w:val="00CB7ED0"/>
    <w:rsid w:val="00CB7F3D"/>
    <w:rsid w:val="00CC0564"/>
    <w:rsid w:val="00CC065F"/>
    <w:rsid w:val="00CC0817"/>
    <w:rsid w:val="00CC12AC"/>
    <w:rsid w:val="00CC13E5"/>
    <w:rsid w:val="00CC1635"/>
    <w:rsid w:val="00CC1800"/>
    <w:rsid w:val="00CC2D9D"/>
    <w:rsid w:val="00CC38AF"/>
    <w:rsid w:val="00CC49E6"/>
    <w:rsid w:val="00CC4B46"/>
    <w:rsid w:val="00CC5206"/>
    <w:rsid w:val="00CC5A14"/>
    <w:rsid w:val="00CC5A5C"/>
    <w:rsid w:val="00CC6142"/>
    <w:rsid w:val="00CC698B"/>
    <w:rsid w:val="00CC75EA"/>
    <w:rsid w:val="00CD071E"/>
    <w:rsid w:val="00CD1C57"/>
    <w:rsid w:val="00CD216E"/>
    <w:rsid w:val="00CD259B"/>
    <w:rsid w:val="00CD29DB"/>
    <w:rsid w:val="00CD3040"/>
    <w:rsid w:val="00CD3794"/>
    <w:rsid w:val="00CD39BC"/>
    <w:rsid w:val="00CD3A3F"/>
    <w:rsid w:val="00CD3F92"/>
    <w:rsid w:val="00CD48EB"/>
    <w:rsid w:val="00CD4953"/>
    <w:rsid w:val="00CD4BE1"/>
    <w:rsid w:val="00CD6239"/>
    <w:rsid w:val="00CD6760"/>
    <w:rsid w:val="00CD73A9"/>
    <w:rsid w:val="00CD783F"/>
    <w:rsid w:val="00CE01A8"/>
    <w:rsid w:val="00CE0344"/>
    <w:rsid w:val="00CE1AFF"/>
    <w:rsid w:val="00CE32A4"/>
    <w:rsid w:val="00CE33D4"/>
    <w:rsid w:val="00CE3491"/>
    <w:rsid w:val="00CE400C"/>
    <w:rsid w:val="00CE4299"/>
    <w:rsid w:val="00CE4872"/>
    <w:rsid w:val="00CE4C88"/>
    <w:rsid w:val="00CE530C"/>
    <w:rsid w:val="00CE5553"/>
    <w:rsid w:val="00CE5F9E"/>
    <w:rsid w:val="00CE5FE4"/>
    <w:rsid w:val="00CE664C"/>
    <w:rsid w:val="00CE6691"/>
    <w:rsid w:val="00CE756B"/>
    <w:rsid w:val="00CF077C"/>
    <w:rsid w:val="00CF0D3D"/>
    <w:rsid w:val="00CF1480"/>
    <w:rsid w:val="00CF1675"/>
    <w:rsid w:val="00CF1F97"/>
    <w:rsid w:val="00CF2C33"/>
    <w:rsid w:val="00CF2C8E"/>
    <w:rsid w:val="00CF35DE"/>
    <w:rsid w:val="00CF3847"/>
    <w:rsid w:val="00CF3B85"/>
    <w:rsid w:val="00CF3BE9"/>
    <w:rsid w:val="00CF43A5"/>
    <w:rsid w:val="00CF5DF1"/>
    <w:rsid w:val="00CF649E"/>
    <w:rsid w:val="00CF7402"/>
    <w:rsid w:val="00CF7F2F"/>
    <w:rsid w:val="00D009C1"/>
    <w:rsid w:val="00D00A13"/>
    <w:rsid w:val="00D01A5D"/>
    <w:rsid w:val="00D02AD7"/>
    <w:rsid w:val="00D035AA"/>
    <w:rsid w:val="00D0365C"/>
    <w:rsid w:val="00D03B6A"/>
    <w:rsid w:val="00D04795"/>
    <w:rsid w:val="00D04A27"/>
    <w:rsid w:val="00D05DFE"/>
    <w:rsid w:val="00D060BD"/>
    <w:rsid w:val="00D06F4C"/>
    <w:rsid w:val="00D07CAF"/>
    <w:rsid w:val="00D106A9"/>
    <w:rsid w:val="00D10BCA"/>
    <w:rsid w:val="00D10ECC"/>
    <w:rsid w:val="00D11668"/>
    <w:rsid w:val="00D11770"/>
    <w:rsid w:val="00D11AC3"/>
    <w:rsid w:val="00D11CC5"/>
    <w:rsid w:val="00D12806"/>
    <w:rsid w:val="00D12F13"/>
    <w:rsid w:val="00D132D8"/>
    <w:rsid w:val="00D1369C"/>
    <w:rsid w:val="00D13883"/>
    <w:rsid w:val="00D13FCB"/>
    <w:rsid w:val="00D143EA"/>
    <w:rsid w:val="00D1443F"/>
    <w:rsid w:val="00D15AE1"/>
    <w:rsid w:val="00D15F16"/>
    <w:rsid w:val="00D16999"/>
    <w:rsid w:val="00D16DF7"/>
    <w:rsid w:val="00D16E5C"/>
    <w:rsid w:val="00D2038B"/>
    <w:rsid w:val="00D20E12"/>
    <w:rsid w:val="00D21682"/>
    <w:rsid w:val="00D226EA"/>
    <w:rsid w:val="00D22BCC"/>
    <w:rsid w:val="00D23D9D"/>
    <w:rsid w:val="00D24FC6"/>
    <w:rsid w:val="00D252AF"/>
    <w:rsid w:val="00D25624"/>
    <w:rsid w:val="00D25CA4"/>
    <w:rsid w:val="00D265C0"/>
    <w:rsid w:val="00D2675E"/>
    <w:rsid w:val="00D26EEE"/>
    <w:rsid w:val="00D304D4"/>
    <w:rsid w:val="00D30A53"/>
    <w:rsid w:val="00D30B33"/>
    <w:rsid w:val="00D30C1F"/>
    <w:rsid w:val="00D3100E"/>
    <w:rsid w:val="00D310CA"/>
    <w:rsid w:val="00D31221"/>
    <w:rsid w:val="00D314FE"/>
    <w:rsid w:val="00D31B26"/>
    <w:rsid w:val="00D31EE3"/>
    <w:rsid w:val="00D32A42"/>
    <w:rsid w:val="00D32BD2"/>
    <w:rsid w:val="00D331B4"/>
    <w:rsid w:val="00D33293"/>
    <w:rsid w:val="00D33E30"/>
    <w:rsid w:val="00D34BE9"/>
    <w:rsid w:val="00D34D6D"/>
    <w:rsid w:val="00D34DEE"/>
    <w:rsid w:val="00D34FC9"/>
    <w:rsid w:val="00D35A27"/>
    <w:rsid w:val="00D3628F"/>
    <w:rsid w:val="00D3717B"/>
    <w:rsid w:val="00D371A9"/>
    <w:rsid w:val="00D40072"/>
    <w:rsid w:val="00D403D8"/>
    <w:rsid w:val="00D40A50"/>
    <w:rsid w:val="00D40C65"/>
    <w:rsid w:val="00D40CBA"/>
    <w:rsid w:val="00D41257"/>
    <w:rsid w:val="00D4187B"/>
    <w:rsid w:val="00D41D4B"/>
    <w:rsid w:val="00D43609"/>
    <w:rsid w:val="00D43717"/>
    <w:rsid w:val="00D43FDB"/>
    <w:rsid w:val="00D44337"/>
    <w:rsid w:val="00D44F2C"/>
    <w:rsid w:val="00D4543E"/>
    <w:rsid w:val="00D45C6B"/>
    <w:rsid w:val="00D4688C"/>
    <w:rsid w:val="00D470E4"/>
    <w:rsid w:val="00D47564"/>
    <w:rsid w:val="00D47EFC"/>
    <w:rsid w:val="00D50C77"/>
    <w:rsid w:val="00D50D0A"/>
    <w:rsid w:val="00D51860"/>
    <w:rsid w:val="00D519A5"/>
    <w:rsid w:val="00D51B3B"/>
    <w:rsid w:val="00D51BB1"/>
    <w:rsid w:val="00D51F1C"/>
    <w:rsid w:val="00D52725"/>
    <w:rsid w:val="00D52A42"/>
    <w:rsid w:val="00D53786"/>
    <w:rsid w:val="00D5391D"/>
    <w:rsid w:val="00D54440"/>
    <w:rsid w:val="00D54C16"/>
    <w:rsid w:val="00D54D23"/>
    <w:rsid w:val="00D56556"/>
    <w:rsid w:val="00D56D57"/>
    <w:rsid w:val="00D56FE5"/>
    <w:rsid w:val="00D602BE"/>
    <w:rsid w:val="00D607A0"/>
    <w:rsid w:val="00D60871"/>
    <w:rsid w:val="00D610B3"/>
    <w:rsid w:val="00D617C4"/>
    <w:rsid w:val="00D617E2"/>
    <w:rsid w:val="00D635C8"/>
    <w:rsid w:val="00D63D57"/>
    <w:rsid w:val="00D63E72"/>
    <w:rsid w:val="00D64790"/>
    <w:rsid w:val="00D656BA"/>
    <w:rsid w:val="00D6577D"/>
    <w:rsid w:val="00D65A1F"/>
    <w:rsid w:val="00D65CE6"/>
    <w:rsid w:val="00D65D45"/>
    <w:rsid w:val="00D663C3"/>
    <w:rsid w:val="00D66610"/>
    <w:rsid w:val="00D701B6"/>
    <w:rsid w:val="00D7130F"/>
    <w:rsid w:val="00D729E1"/>
    <w:rsid w:val="00D7407D"/>
    <w:rsid w:val="00D744BF"/>
    <w:rsid w:val="00D74A01"/>
    <w:rsid w:val="00D74B3A"/>
    <w:rsid w:val="00D74E81"/>
    <w:rsid w:val="00D7526D"/>
    <w:rsid w:val="00D7566E"/>
    <w:rsid w:val="00D75990"/>
    <w:rsid w:val="00D75C9B"/>
    <w:rsid w:val="00D7613C"/>
    <w:rsid w:val="00D76300"/>
    <w:rsid w:val="00D81897"/>
    <w:rsid w:val="00D85132"/>
    <w:rsid w:val="00D85656"/>
    <w:rsid w:val="00D86DB4"/>
    <w:rsid w:val="00D86E15"/>
    <w:rsid w:val="00D86F6B"/>
    <w:rsid w:val="00D86F77"/>
    <w:rsid w:val="00D87380"/>
    <w:rsid w:val="00D873EB"/>
    <w:rsid w:val="00D87F16"/>
    <w:rsid w:val="00D908A0"/>
    <w:rsid w:val="00D90E85"/>
    <w:rsid w:val="00D91D4C"/>
    <w:rsid w:val="00D91EF8"/>
    <w:rsid w:val="00D922F7"/>
    <w:rsid w:val="00D92302"/>
    <w:rsid w:val="00D92983"/>
    <w:rsid w:val="00D929B5"/>
    <w:rsid w:val="00D929EA"/>
    <w:rsid w:val="00D92D32"/>
    <w:rsid w:val="00D9456F"/>
    <w:rsid w:val="00D94A8C"/>
    <w:rsid w:val="00D95645"/>
    <w:rsid w:val="00D96CF4"/>
    <w:rsid w:val="00D9760D"/>
    <w:rsid w:val="00D97DBA"/>
    <w:rsid w:val="00DA00F6"/>
    <w:rsid w:val="00DA0F3A"/>
    <w:rsid w:val="00DA1114"/>
    <w:rsid w:val="00DA1EFE"/>
    <w:rsid w:val="00DA21E5"/>
    <w:rsid w:val="00DA24E8"/>
    <w:rsid w:val="00DA2544"/>
    <w:rsid w:val="00DA2D7F"/>
    <w:rsid w:val="00DA2E6D"/>
    <w:rsid w:val="00DA3790"/>
    <w:rsid w:val="00DA638B"/>
    <w:rsid w:val="00DA649F"/>
    <w:rsid w:val="00DA7457"/>
    <w:rsid w:val="00DA7AD5"/>
    <w:rsid w:val="00DB06FB"/>
    <w:rsid w:val="00DB1BF3"/>
    <w:rsid w:val="00DB1D31"/>
    <w:rsid w:val="00DB2A9D"/>
    <w:rsid w:val="00DB2FC5"/>
    <w:rsid w:val="00DB34CE"/>
    <w:rsid w:val="00DB48E9"/>
    <w:rsid w:val="00DB4B1F"/>
    <w:rsid w:val="00DB4BF9"/>
    <w:rsid w:val="00DB4D66"/>
    <w:rsid w:val="00DB4F3B"/>
    <w:rsid w:val="00DB4FFF"/>
    <w:rsid w:val="00DB546C"/>
    <w:rsid w:val="00DB5797"/>
    <w:rsid w:val="00DB659B"/>
    <w:rsid w:val="00DB6E34"/>
    <w:rsid w:val="00DB6FBD"/>
    <w:rsid w:val="00DB72A3"/>
    <w:rsid w:val="00DB789F"/>
    <w:rsid w:val="00DB7C1C"/>
    <w:rsid w:val="00DC001E"/>
    <w:rsid w:val="00DC02C2"/>
    <w:rsid w:val="00DC04D1"/>
    <w:rsid w:val="00DC0AF8"/>
    <w:rsid w:val="00DC0BF1"/>
    <w:rsid w:val="00DC1539"/>
    <w:rsid w:val="00DC2051"/>
    <w:rsid w:val="00DC20B2"/>
    <w:rsid w:val="00DC27EC"/>
    <w:rsid w:val="00DC2827"/>
    <w:rsid w:val="00DC29BB"/>
    <w:rsid w:val="00DC2D2A"/>
    <w:rsid w:val="00DC35ED"/>
    <w:rsid w:val="00DC361B"/>
    <w:rsid w:val="00DC3EC2"/>
    <w:rsid w:val="00DC3F02"/>
    <w:rsid w:val="00DC4019"/>
    <w:rsid w:val="00DC47E2"/>
    <w:rsid w:val="00DC4D1A"/>
    <w:rsid w:val="00DC51B8"/>
    <w:rsid w:val="00DC56FA"/>
    <w:rsid w:val="00DC61D2"/>
    <w:rsid w:val="00DC62D5"/>
    <w:rsid w:val="00DC633E"/>
    <w:rsid w:val="00DC63EE"/>
    <w:rsid w:val="00DC67C5"/>
    <w:rsid w:val="00DC6D1B"/>
    <w:rsid w:val="00DC724A"/>
    <w:rsid w:val="00DC7449"/>
    <w:rsid w:val="00DC764E"/>
    <w:rsid w:val="00DC7E2D"/>
    <w:rsid w:val="00DD0AB5"/>
    <w:rsid w:val="00DD1747"/>
    <w:rsid w:val="00DD1C63"/>
    <w:rsid w:val="00DD1D8B"/>
    <w:rsid w:val="00DD268A"/>
    <w:rsid w:val="00DD3008"/>
    <w:rsid w:val="00DD31BE"/>
    <w:rsid w:val="00DD3410"/>
    <w:rsid w:val="00DD37AF"/>
    <w:rsid w:val="00DD5AEF"/>
    <w:rsid w:val="00DD6BB6"/>
    <w:rsid w:val="00DD7D7A"/>
    <w:rsid w:val="00DE0057"/>
    <w:rsid w:val="00DE0068"/>
    <w:rsid w:val="00DE20ED"/>
    <w:rsid w:val="00DE2339"/>
    <w:rsid w:val="00DE2A6C"/>
    <w:rsid w:val="00DE332B"/>
    <w:rsid w:val="00DE3ECF"/>
    <w:rsid w:val="00DE4119"/>
    <w:rsid w:val="00DE45F3"/>
    <w:rsid w:val="00DE4FEF"/>
    <w:rsid w:val="00DE523B"/>
    <w:rsid w:val="00DE570F"/>
    <w:rsid w:val="00DE5FBD"/>
    <w:rsid w:val="00DE63EE"/>
    <w:rsid w:val="00DE65DB"/>
    <w:rsid w:val="00DE7475"/>
    <w:rsid w:val="00DE7482"/>
    <w:rsid w:val="00DE7ADD"/>
    <w:rsid w:val="00DF01B6"/>
    <w:rsid w:val="00DF1099"/>
    <w:rsid w:val="00DF1646"/>
    <w:rsid w:val="00DF1962"/>
    <w:rsid w:val="00DF1DD6"/>
    <w:rsid w:val="00DF26AE"/>
    <w:rsid w:val="00DF298D"/>
    <w:rsid w:val="00DF30AE"/>
    <w:rsid w:val="00DF3211"/>
    <w:rsid w:val="00DF4033"/>
    <w:rsid w:val="00DF432E"/>
    <w:rsid w:val="00DF4C2B"/>
    <w:rsid w:val="00DF5815"/>
    <w:rsid w:val="00DF5991"/>
    <w:rsid w:val="00DF6119"/>
    <w:rsid w:val="00DF61B8"/>
    <w:rsid w:val="00DF61D6"/>
    <w:rsid w:val="00DF6583"/>
    <w:rsid w:val="00DF74E2"/>
    <w:rsid w:val="00E000CE"/>
    <w:rsid w:val="00E001AC"/>
    <w:rsid w:val="00E00ECD"/>
    <w:rsid w:val="00E01A1B"/>
    <w:rsid w:val="00E02CEA"/>
    <w:rsid w:val="00E02D8D"/>
    <w:rsid w:val="00E04096"/>
    <w:rsid w:val="00E041C3"/>
    <w:rsid w:val="00E043E8"/>
    <w:rsid w:val="00E04543"/>
    <w:rsid w:val="00E047A9"/>
    <w:rsid w:val="00E052AF"/>
    <w:rsid w:val="00E05419"/>
    <w:rsid w:val="00E0576D"/>
    <w:rsid w:val="00E06062"/>
    <w:rsid w:val="00E0608C"/>
    <w:rsid w:val="00E0626B"/>
    <w:rsid w:val="00E073C4"/>
    <w:rsid w:val="00E074F9"/>
    <w:rsid w:val="00E078A6"/>
    <w:rsid w:val="00E100D3"/>
    <w:rsid w:val="00E106ED"/>
    <w:rsid w:val="00E107D2"/>
    <w:rsid w:val="00E10F36"/>
    <w:rsid w:val="00E11CE5"/>
    <w:rsid w:val="00E11CF2"/>
    <w:rsid w:val="00E125A1"/>
    <w:rsid w:val="00E12739"/>
    <w:rsid w:val="00E12749"/>
    <w:rsid w:val="00E1364F"/>
    <w:rsid w:val="00E136E8"/>
    <w:rsid w:val="00E1491C"/>
    <w:rsid w:val="00E158CF"/>
    <w:rsid w:val="00E15DE9"/>
    <w:rsid w:val="00E1612C"/>
    <w:rsid w:val="00E1632A"/>
    <w:rsid w:val="00E16990"/>
    <w:rsid w:val="00E17332"/>
    <w:rsid w:val="00E178D2"/>
    <w:rsid w:val="00E179D9"/>
    <w:rsid w:val="00E17A98"/>
    <w:rsid w:val="00E17EA4"/>
    <w:rsid w:val="00E201C2"/>
    <w:rsid w:val="00E21AFC"/>
    <w:rsid w:val="00E21D42"/>
    <w:rsid w:val="00E22F93"/>
    <w:rsid w:val="00E23954"/>
    <w:rsid w:val="00E23BFF"/>
    <w:rsid w:val="00E253CB"/>
    <w:rsid w:val="00E265D8"/>
    <w:rsid w:val="00E26CFB"/>
    <w:rsid w:val="00E2735B"/>
    <w:rsid w:val="00E27960"/>
    <w:rsid w:val="00E27A64"/>
    <w:rsid w:val="00E27E33"/>
    <w:rsid w:val="00E311C2"/>
    <w:rsid w:val="00E32782"/>
    <w:rsid w:val="00E333FD"/>
    <w:rsid w:val="00E33FB1"/>
    <w:rsid w:val="00E34241"/>
    <w:rsid w:val="00E34CEB"/>
    <w:rsid w:val="00E35721"/>
    <w:rsid w:val="00E35D61"/>
    <w:rsid w:val="00E362EB"/>
    <w:rsid w:val="00E37153"/>
    <w:rsid w:val="00E37B40"/>
    <w:rsid w:val="00E4112B"/>
    <w:rsid w:val="00E4186D"/>
    <w:rsid w:val="00E41DAE"/>
    <w:rsid w:val="00E4253D"/>
    <w:rsid w:val="00E42CAA"/>
    <w:rsid w:val="00E43641"/>
    <w:rsid w:val="00E43733"/>
    <w:rsid w:val="00E452D6"/>
    <w:rsid w:val="00E468E5"/>
    <w:rsid w:val="00E4728C"/>
    <w:rsid w:val="00E472DB"/>
    <w:rsid w:val="00E4745F"/>
    <w:rsid w:val="00E47959"/>
    <w:rsid w:val="00E47FB3"/>
    <w:rsid w:val="00E50380"/>
    <w:rsid w:val="00E50690"/>
    <w:rsid w:val="00E50852"/>
    <w:rsid w:val="00E50BB4"/>
    <w:rsid w:val="00E50CC9"/>
    <w:rsid w:val="00E51412"/>
    <w:rsid w:val="00E51B34"/>
    <w:rsid w:val="00E52A83"/>
    <w:rsid w:val="00E52C85"/>
    <w:rsid w:val="00E53145"/>
    <w:rsid w:val="00E537E3"/>
    <w:rsid w:val="00E542F0"/>
    <w:rsid w:val="00E54727"/>
    <w:rsid w:val="00E547AD"/>
    <w:rsid w:val="00E54BDE"/>
    <w:rsid w:val="00E55B04"/>
    <w:rsid w:val="00E55D53"/>
    <w:rsid w:val="00E55DB9"/>
    <w:rsid w:val="00E5603A"/>
    <w:rsid w:val="00E57CDC"/>
    <w:rsid w:val="00E60371"/>
    <w:rsid w:val="00E603A6"/>
    <w:rsid w:val="00E60D8F"/>
    <w:rsid w:val="00E614FD"/>
    <w:rsid w:val="00E616D6"/>
    <w:rsid w:val="00E62726"/>
    <w:rsid w:val="00E635B3"/>
    <w:rsid w:val="00E637AE"/>
    <w:rsid w:val="00E63ACB"/>
    <w:rsid w:val="00E63B2F"/>
    <w:rsid w:val="00E64830"/>
    <w:rsid w:val="00E64875"/>
    <w:rsid w:val="00E649D3"/>
    <w:rsid w:val="00E64A89"/>
    <w:rsid w:val="00E657B3"/>
    <w:rsid w:val="00E65E18"/>
    <w:rsid w:val="00E6627D"/>
    <w:rsid w:val="00E665B2"/>
    <w:rsid w:val="00E66CEC"/>
    <w:rsid w:val="00E6709D"/>
    <w:rsid w:val="00E674D1"/>
    <w:rsid w:val="00E678DA"/>
    <w:rsid w:val="00E67DFA"/>
    <w:rsid w:val="00E70A51"/>
    <w:rsid w:val="00E714C5"/>
    <w:rsid w:val="00E719EB"/>
    <w:rsid w:val="00E72960"/>
    <w:rsid w:val="00E73207"/>
    <w:rsid w:val="00E738FD"/>
    <w:rsid w:val="00E73CFE"/>
    <w:rsid w:val="00E73D0A"/>
    <w:rsid w:val="00E744AF"/>
    <w:rsid w:val="00E7450E"/>
    <w:rsid w:val="00E7552C"/>
    <w:rsid w:val="00E75727"/>
    <w:rsid w:val="00E76117"/>
    <w:rsid w:val="00E761D5"/>
    <w:rsid w:val="00E763C1"/>
    <w:rsid w:val="00E7688A"/>
    <w:rsid w:val="00E8003F"/>
    <w:rsid w:val="00E800AA"/>
    <w:rsid w:val="00E8015A"/>
    <w:rsid w:val="00E816B4"/>
    <w:rsid w:val="00E8213A"/>
    <w:rsid w:val="00E82AD1"/>
    <w:rsid w:val="00E83727"/>
    <w:rsid w:val="00E8456A"/>
    <w:rsid w:val="00E847C5"/>
    <w:rsid w:val="00E84F8C"/>
    <w:rsid w:val="00E852B9"/>
    <w:rsid w:val="00E85604"/>
    <w:rsid w:val="00E86232"/>
    <w:rsid w:val="00E900D8"/>
    <w:rsid w:val="00E90D8B"/>
    <w:rsid w:val="00E916F0"/>
    <w:rsid w:val="00E92894"/>
    <w:rsid w:val="00E9298F"/>
    <w:rsid w:val="00E93669"/>
    <w:rsid w:val="00E93B99"/>
    <w:rsid w:val="00E944A5"/>
    <w:rsid w:val="00E94D42"/>
    <w:rsid w:val="00E95282"/>
    <w:rsid w:val="00E954D6"/>
    <w:rsid w:val="00E95BCC"/>
    <w:rsid w:val="00E95C27"/>
    <w:rsid w:val="00E95E9E"/>
    <w:rsid w:val="00E9601D"/>
    <w:rsid w:val="00EA0007"/>
    <w:rsid w:val="00EA0043"/>
    <w:rsid w:val="00EA0779"/>
    <w:rsid w:val="00EA0A25"/>
    <w:rsid w:val="00EA16C3"/>
    <w:rsid w:val="00EA239C"/>
    <w:rsid w:val="00EA23EB"/>
    <w:rsid w:val="00EA4820"/>
    <w:rsid w:val="00EA48CC"/>
    <w:rsid w:val="00EA5391"/>
    <w:rsid w:val="00EA678E"/>
    <w:rsid w:val="00EA6AD1"/>
    <w:rsid w:val="00EA6E62"/>
    <w:rsid w:val="00EB05A4"/>
    <w:rsid w:val="00EB073E"/>
    <w:rsid w:val="00EB09A1"/>
    <w:rsid w:val="00EB0B8D"/>
    <w:rsid w:val="00EB0D39"/>
    <w:rsid w:val="00EB0DE7"/>
    <w:rsid w:val="00EB2440"/>
    <w:rsid w:val="00EB2584"/>
    <w:rsid w:val="00EB3A34"/>
    <w:rsid w:val="00EB492A"/>
    <w:rsid w:val="00EB512D"/>
    <w:rsid w:val="00EB53DA"/>
    <w:rsid w:val="00EB5ED9"/>
    <w:rsid w:val="00EB6429"/>
    <w:rsid w:val="00EB719F"/>
    <w:rsid w:val="00EB7329"/>
    <w:rsid w:val="00EB77A7"/>
    <w:rsid w:val="00EB7F5A"/>
    <w:rsid w:val="00EC01BE"/>
    <w:rsid w:val="00EC0638"/>
    <w:rsid w:val="00EC067C"/>
    <w:rsid w:val="00EC0E34"/>
    <w:rsid w:val="00EC163D"/>
    <w:rsid w:val="00EC2D54"/>
    <w:rsid w:val="00EC4340"/>
    <w:rsid w:val="00EC4986"/>
    <w:rsid w:val="00EC49F2"/>
    <w:rsid w:val="00EC4D7B"/>
    <w:rsid w:val="00EC50CB"/>
    <w:rsid w:val="00EC51D5"/>
    <w:rsid w:val="00EC556F"/>
    <w:rsid w:val="00EC5A1F"/>
    <w:rsid w:val="00EC5DB2"/>
    <w:rsid w:val="00EC6710"/>
    <w:rsid w:val="00EC708D"/>
    <w:rsid w:val="00EC70DB"/>
    <w:rsid w:val="00EC78F2"/>
    <w:rsid w:val="00ED01E9"/>
    <w:rsid w:val="00ED0523"/>
    <w:rsid w:val="00ED19AF"/>
    <w:rsid w:val="00ED1A0A"/>
    <w:rsid w:val="00ED1D3A"/>
    <w:rsid w:val="00ED1FA9"/>
    <w:rsid w:val="00ED20E8"/>
    <w:rsid w:val="00ED2212"/>
    <w:rsid w:val="00ED2742"/>
    <w:rsid w:val="00ED2D17"/>
    <w:rsid w:val="00ED2FA0"/>
    <w:rsid w:val="00ED3176"/>
    <w:rsid w:val="00ED34ED"/>
    <w:rsid w:val="00ED366A"/>
    <w:rsid w:val="00ED40A2"/>
    <w:rsid w:val="00ED415E"/>
    <w:rsid w:val="00ED4890"/>
    <w:rsid w:val="00ED4AA0"/>
    <w:rsid w:val="00ED5047"/>
    <w:rsid w:val="00ED54E5"/>
    <w:rsid w:val="00ED5AFB"/>
    <w:rsid w:val="00ED5D82"/>
    <w:rsid w:val="00ED629C"/>
    <w:rsid w:val="00ED6409"/>
    <w:rsid w:val="00ED7A0E"/>
    <w:rsid w:val="00ED7D23"/>
    <w:rsid w:val="00ED7E33"/>
    <w:rsid w:val="00ED7FE2"/>
    <w:rsid w:val="00EE0390"/>
    <w:rsid w:val="00EE0B2B"/>
    <w:rsid w:val="00EE101C"/>
    <w:rsid w:val="00EE152D"/>
    <w:rsid w:val="00EE2DA0"/>
    <w:rsid w:val="00EE2E8B"/>
    <w:rsid w:val="00EE3283"/>
    <w:rsid w:val="00EE34B3"/>
    <w:rsid w:val="00EE364A"/>
    <w:rsid w:val="00EE3CEE"/>
    <w:rsid w:val="00EE57D9"/>
    <w:rsid w:val="00EE5EC3"/>
    <w:rsid w:val="00EE7F43"/>
    <w:rsid w:val="00EF09D3"/>
    <w:rsid w:val="00EF1AE7"/>
    <w:rsid w:val="00EF1C4A"/>
    <w:rsid w:val="00EF20C9"/>
    <w:rsid w:val="00EF273D"/>
    <w:rsid w:val="00EF27D1"/>
    <w:rsid w:val="00EF2A8A"/>
    <w:rsid w:val="00EF35E7"/>
    <w:rsid w:val="00EF3A73"/>
    <w:rsid w:val="00EF5F99"/>
    <w:rsid w:val="00EF6447"/>
    <w:rsid w:val="00EF6556"/>
    <w:rsid w:val="00EF6AB6"/>
    <w:rsid w:val="00EF712B"/>
    <w:rsid w:val="00EF761B"/>
    <w:rsid w:val="00EF7C32"/>
    <w:rsid w:val="00EF7C90"/>
    <w:rsid w:val="00F0039F"/>
    <w:rsid w:val="00F00B4A"/>
    <w:rsid w:val="00F00B91"/>
    <w:rsid w:val="00F00CC4"/>
    <w:rsid w:val="00F00E4F"/>
    <w:rsid w:val="00F01FF1"/>
    <w:rsid w:val="00F02654"/>
    <w:rsid w:val="00F02674"/>
    <w:rsid w:val="00F02CB9"/>
    <w:rsid w:val="00F02D3D"/>
    <w:rsid w:val="00F048B8"/>
    <w:rsid w:val="00F0521C"/>
    <w:rsid w:val="00F0523F"/>
    <w:rsid w:val="00F059ED"/>
    <w:rsid w:val="00F0615A"/>
    <w:rsid w:val="00F064C2"/>
    <w:rsid w:val="00F06585"/>
    <w:rsid w:val="00F06A07"/>
    <w:rsid w:val="00F06EDB"/>
    <w:rsid w:val="00F06F49"/>
    <w:rsid w:val="00F0732C"/>
    <w:rsid w:val="00F0775B"/>
    <w:rsid w:val="00F07F22"/>
    <w:rsid w:val="00F10355"/>
    <w:rsid w:val="00F108C2"/>
    <w:rsid w:val="00F10904"/>
    <w:rsid w:val="00F109AD"/>
    <w:rsid w:val="00F11052"/>
    <w:rsid w:val="00F1107F"/>
    <w:rsid w:val="00F12378"/>
    <w:rsid w:val="00F123FC"/>
    <w:rsid w:val="00F124F8"/>
    <w:rsid w:val="00F12718"/>
    <w:rsid w:val="00F12DE7"/>
    <w:rsid w:val="00F13888"/>
    <w:rsid w:val="00F14A7C"/>
    <w:rsid w:val="00F1509B"/>
    <w:rsid w:val="00F1520D"/>
    <w:rsid w:val="00F15692"/>
    <w:rsid w:val="00F156A3"/>
    <w:rsid w:val="00F15CBF"/>
    <w:rsid w:val="00F1612E"/>
    <w:rsid w:val="00F16216"/>
    <w:rsid w:val="00F16504"/>
    <w:rsid w:val="00F16752"/>
    <w:rsid w:val="00F16B3C"/>
    <w:rsid w:val="00F16F2C"/>
    <w:rsid w:val="00F1710E"/>
    <w:rsid w:val="00F17E1D"/>
    <w:rsid w:val="00F201BD"/>
    <w:rsid w:val="00F202BC"/>
    <w:rsid w:val="00F2034B"/>
    <w:rsid w:val="00F205E1"/>
    <w:rsid w:val="00F21DF5"/>
    <w:rsid w:val="00F221A8"/>
    <w:rsid w:val="00F23389"/>
    <w:rsid w:val="00F23F73"/>
    <w:rsid w:val="00F24F39"/>
    <w:rsid w:val="00F25A7B"/>
    <w:rsid w:val="00F25B70"/>
    <w:rsid w:val="00F261D3"/>
    <w:rsid w:val="00F264DB"/>
    <w:rsid w:val="00F26984"/>
    <w:rsid w:val="00F26EB7"/>
    <w:rsid w:val="00F26FD9"/>
    <w:rsid w:val="00F2743F"/>
    <w:rsid w:val="00F2767F"/>
    <w:rsid w:val="00F30BB6"/>
    <w:rsid w:val="00F30DE2"/>
    <w:rsid w:val="00F311EC"/>
    <w:rsid w:val="00F314A7"/>
    <w:rsid w:val="00F31A43"/>
    <w:rsid w:val="00F32647"/>
    <w:rsid w:val="00F32A1A"/>
    <w:rsid w:val="00F32C2A"/>
    <w:rsid w:val="00F32F44"/>
    <w:rsid w:val="00F334A9"/>
    <w:rsid w:val="00F33A98"/>
    <w:rsid w:val="00F33E8D"/>
    <w:rsid w:val="00F33F37"/>
    <w:rsid w:val="00F350E0"/>
    <w:rsid w:val="00F3572F"/>
    <w:rsid w:val="00F374BD"/>
    <w:rsid w:val="00F4091D"/>
    <w:rsid w:val="00F41287"/>
    <w:rsid w:val="00F41E91"/>
    <w:rsid w:val="00F42662"/>
    <w:rsid w:val="00F4275E"/>
    <w:rsid w:val="00F42874"/>
    <w:rsid w:val="00F43C48"/>
    <w:rsid w:val="00F44662"/>
    <w:rsid w:val="00F4496E"/>
    <w:rsid w:val="00F45DD3"/>
    <w:rsid w:val="00F45F30"/>
    <w:rsid w:val="00F465A6"/>
    <w:rsid w:val="00F470DB"/>
    <w:rsid w:val="00F472FF"/>
    <w:rsid w:val="00F475E3"/>
    <w:rsid w:val="00F479BD"/>
    <w:rsid w:val="00F51403"/>
    <w:rsid w:val="00F51FC1"/>
    <w:rsid w:val="00F52C79"/>
    <w:rsid w:val="00F530B1"/>
    <w:rsid w:val="00F5376D"/>
    <w:rsid w:val="00F53DB2"/>
    <w:rsid w:val="00F541BA"/>
    <w:rsid w:val="00F5422F"/>
    <w:rsid w:val="00F54E03"/>
    <w:rsid w:val="00F552A4"/>
    <w:rsid w:val="00F5567F"/>
    <w:rsid w:val="00F55912"/>
    <w:rsid w:val="00F55A6C"/>
    <w:rsid w:val="00F55C95"/>
    <w:rsid w:val="00F56866"/>
    <w:rsid w:val="00F57D54"/>
    <w:rsid w:val="00F60001"/>
    <w:rsid w:val="00F6027D"/>
    <w:rsid w:val="00F607A7"/>
    <w:rsid w:val="00F60A99"/>
    <w:rsid w:val="00F60D22"/>
    <w:rsid w:val="00F61ED7"/>
    <w:rsid w:val="00F631A3"/>
    <w:rsid w:val="00F6345B"/>
    <w:rsid w:val="00F63548"/>
    <w:rsid w:val="00F637FA"/>
    <w:rsid w:val="00F642EF"/>
    <w:rsid w:val="00F650AD"/>
    <w:rsid w:val="00F65A34"/>
    <w:rsid w:val="00F65AED"/>
    <w:rsid w:val="00F66A3B"/>
    <w:rsid w:val="00F66B74"/>
    <w:rsid w:val="00F67B67"/>
    <w:rsid w:val="00F67CE2"/>
    <w:rsid w:val="00F701A7"/>
    <w:rsid w:val="00F71176"/>
    <w:rsid w:val="00F721D0"/>
    <w:rsid w:val="00F72265"/>
    <w:rsid w:val="00F728C7"/>
    <w:rsid w:val="00F72B4D"/>
    <w:rsid w:val="00F72D0A"/>
    <w:rsid w:val="00F73111"/>
    <w:rsid w:val="00F7329B"/>
    <w:rsid w:val="00F73A75"/>
    <w:rsid w:val="00F73B0B"/>
    <w:rsid w:val="00F73CF6"/>
    <w:rsid w:val="00F750AA"/>
    <w:rsid w:val="00F75271"/>
    <w:rsid w:val="00F7536E"/>
    <w:rsid w:val="00F758DE"/>
    <w:rsid w:val="00F7643D"/>
    <w:rsid w:val="00F76C26"/>
    <w:rsid w:val="00F77615"/>
    <w:rsid w:val="00F77697"/>
    <w:rsid w:val="00F77CC1"/>
    <w:rsid w:val="00F81F62"/>
    <w:rsid w:val="00F81F7A"/>
    <w:rsid w:val="00F8200C"/>
    <w:rsid w:val="00F82426"/>
    <w:rsid w:val="00F82D8E"/>
    <w:rsid w:val="00F82F17"/>
    <w:rsid w:val="00F8309D"/>
    <w:rsid w:val="00F83CE5"/>
    <w:rsid w:val="00F840DD"/>
    <w:rsid w:val="00F841AA"/>
    <w:rsid w:val="00F842B6"/>
    <w:rsid w:val="00F84E14"/>
    <w:rsid w:val="00F84EC4"/>
    <w:rsid w:val="00F8521B"/>
    <w:rsid w:val="00F85686"/>
    <w:rsid w:val="00F86214"/>
    <w:rsid w:val="00F86D41"/>
    <w:rsid w:val="00F86D97"/>
    <w:rsid w:val="00F877C9"/>
    <w:rsid w:val="00F87851"/>
    <w:rsid w:val="00F87CB6"/>
    <w:rsid w:val="00F90A52"/>
    <w:rsid w:val="00F91275"/>
    <w:rsid w:val="00F916FB"/>
    <w:rsid w:val="00F921C2"/>
    <w:rsid w:val="00F92DD0"/>
    <w:rsid w:val="00F961BF"/>
    <w:rsid w:val="00F963EA"/>
    <w:rsid w:val="00FA031A"/>
    <w:rsid w:val="00FA0B22"/>
    <w:rsid w:val="00FA0F4A"/>
    <w:rsid w:val="00FA1E16"/>
    <w:rsid w:val="00FA1FA2"/>
    <w:rsid w:val="00FA200E"/>
    <w:rsid w:val="00FA22DB"/>
    <w:rsid w:val="00FA26B8"/>
    <w:rsid w:val="00FA27E0"/>
    <w:rsid w:val="00FA2B40"/>
    <w:rsid w:val="00FA317B"/>
    <w:rsid w:val="00FA38D1"/>
    <w:rsid w:val="00FA3F8F"/>
    <w:rsid w:val="00FA42C3"/>
    <w:rsid w:val="00FA480F"/>
    <w:rsid w:val="00FA4816"/>
    <w:rsid w:val="00FA4B7B"/>
    <w:rsid w:val="00FA4EF3"/>
    <w:rsid w:val="00FA55D2"/>
    <w:rsid w:val="00FA57C1"/>
    <w:rsid w:val="00FA5C57"/>
    <w:rsid w:val="00FA6436"/>
    <w:rsid w:val="00FA684D"/>
    <w:rsid w:val="00FA6B93"/>
    <w:rsid w:val="00FB0147"/>
    <w:rsid w:val="00FB0227"/>
    <w:rsid w:val="00FB0378"/>
    <w:rsid w:val="00FB0AB5"/>
    <w:rsid w:val="00FB197B"/>
    <w:rsid w:val="00FB1DD4"/>
    <w:rsid w:val="00FB2EAC"/>
    <w:rsid w:val="00FB3988"/>
    <w:rsid w:val="00FB4122"/>
    <w:rsid w:val="00FB4657"/>
    <w:rsid w:val="00FB4670"/>
    <w:rsid w:val="00FB471C"/>
    <w:rsid w:val="00FB4740"/>
    <w:rsid w:val="00FB49D5"/>
    <w:rsid w:val="00FB57F9"/>
    <w:rsid w:val="00FB6019"/>
    <w:rsid w:val="00FB60CD"/>
    <w:rsid w:val="00FB642D"/>
    <w:rsid w:val="00FB6617"/>
    <w:rsid w:val="00FB668E"/>
    <w:rsid w:val="00FB6743"/>
    <w:rsid w:val="00FB6A8D"/>
    <w:rsid w:val="00FC1232"/>
    <w:rsid w:val="00FC1437"/>
    <w:rsid w:val="00FC1455"/>
    <w:rsid w:val="00FC15D7"/>
    <w:rsid w:val="00FC1AEE"/>
    <w:rsid w:val="00FC1BC7"/>
    <w:rsid w:val="00FC1F65"/>
    <w:rsid w:val="00FC3020"/>
    <w:rsid w:val="00FC4AEB"/>
    <w:rsid w:val="00FC5638"/>
    <w:rsid w:val="00FC5896"/>
    <w:rsid w:val="00FC76BA"/>
    <w:rsid w:val="00FC77E1"/>
    <w:rsid w:val="00FC79BC"/>
    <w:rsid w:val="00FC7A73"/>
    <w:rsid w:val="00FC7D08"/>
    <w:rsid w:val="00FC7D64"/>
    <w:rsid w:val="00FC7F62"/>
    <w:rsid w:val="00FD07C5"/>
    <w:rsid w:val="00FD106F"/>
    <w:rsid w:val="00FD152E"/>
    <w:rsid w:val="00FD1E58"/>
    <w:rsid w:val="00FD220E"/>
    <w:rsid w:val="00FD2840"/>
    <w:rsid w:val="00FD37EB"/>
    <w:rsid w:val="00FD490D"/>
    <w:rsid w:val="00FD56DC"/>
    <w:rsid w:val="00FD59BA"/>
    <w:rsid w:val="00FD5E71"/>
    <w:rsid w:val="00FD715D"/>
    <w:rsid w:val="00FD7273"/>
    <w:rsid w:val="00FD75CD"/>
    <w:rsid w:val="00FD7885"/>
    <w:rsid w:val="00FE01D1"/>
    <w:rsid w:val="00FE04FB"/>
    <w:rsid w:val="00FE0CFB"/>
    <w:rsid w:val="00FE134A"/>
    <w:rsid w:val="00FE137C"/>
    <w:rsid w:val="00FE1DFD"/>
    <w:rsid w:val="00FE2275"/>
    <w:rsid w:val="00FE2559"/>
    <w:rsid w:val="00FE2691"/>
    <w:rsid w:val="00FE2EC2"/>
    <w:rsid w:val="00FE3192"/>
    <w:rsid w:val="00FE35E8"/>
    <w:rsid w:val="00FE3B99"/>
    <w:rsid w:val="00FE4172"/>
    <w:rsid w:val="00FE4A94"/>
    <w:rsid w:val="00FE55DD"/>
    <w:rsid w:val="00FE584D"/>
    <w:rsid w:val="00FE597C"/>
    <w:rsid w:val="00FE5B84"/>
    <w:rsid w:val="00FE5F0E"/>
    <w:rsid w:val="00FE5F71"/>
    <w:rsid w:val="00FE6018"/>
    <w:rsid w:val="00FE7B9B"/>
    <w:rsid w:val="00FE7D54"/>
    <w:rsid w:val="00FE7F82"/>
    <w:rsid w:val="00FF0216"/>
    <w:rsid w:val="00FF076D"/>
    <w:rsid w:val="00FF0EF3"/>
    <w:rsid w:val="00FF1488"/>
    <w:rsid w:val="00FF18D1"/>
    <w:rsid w:val="00FF1CCD"/>
    <w:rsid w:val="00FF1DD4"/>
    <w:rsid w:val="00FF2233"/>
    <w:rsid w:val="00FF345C"/>
    <w:rsid w:val="00FF356C"/>
    <w:rsid w:val="00FF3B48"/>
    <w:rsid w:val="00FF3FC2"/>
    <w:rsid w:val="00FF4330"/>
    <w:rsid w:val="00FF47AA"/>
    <w:rsid w:val="00FF47FD"/>
    <w:rsid w:val="00FF499C"/>
    <w:rsid w:val="00FF50FC"/>
    <w:rsid w:val="00FF55D2"/>
    <w:rsid w:val="00FF5742"/>
    <w:rsid w:val="00FF57A6"/>
    <w:rsid w:val="00FF57D0"/>
    <w:rsid w:val="00FF5842"/>
    <w:rsid w:val="00FF6857"/>
    <w:rsid w:val="00FF7859"/>
    <w:rsid w:val="00FF78D5"/>
    <w:rsid w:val="00FF7AC1"/>
    <w:rsid w:val="23686F63"/>
    <w:rsid w:val="26634293"/>
    <w:rsid w:val="36790D88"/>
    <w:rsid w:val="68D51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unhideWhenUsed/>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qFormat/>
    <w:uiPriority w:val="99"/>
    <w:rPr>
      <w:b/>
      <w:bCs/>
    </w:rPr>
  </w:style>
  <w:style w:type="table" w:styleId="9">
    <w:name w:val="Table Grid"/>
    <w:basedOn w:val="8"/>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color w:val="CC0000"/>
    </w:rPr>
  </w:style>
  <w:style w:type="character" w:styleId="12">
    <w:name w:val="annotation reference"/>
    <w:basedOn w:val="10"/>
    <w:semiHidden/>
    <w:unhideWhenUsed/>
    <w:qFormat/>
    <w:uiPriority w:val="99"/>
    <w:rPr>
      <w:sz w:val="21"/>
      <w:szCs w:val="21"/>
    </w:rPr>
  </w:style>
  <w:style w:type="character" w:customStyle="1" w:styleId="13">
    <w:name w:val="标题 1 字符"/>
    <w:basedOn w:val="10"/>
    <w:link w:val="2"/>
    <w:qFormat/>
    <w:uiPriority w:val="0"/>
    <w:rPr>
      <w:rFonts w:ascii="Times New Roman" w:hAnsi="Times New Roman" w:eastAsia="宋体" w:cs="Times New Roman"/>
      <w:b/>
      <w:bCs/>
      <w:kern w:val="44"/>
      <w:sz w:val="44"/>
      <w:szCs w:val="44"/>
    </w:rPr>
  </w:style>
  <w:style w:type="character" w:customStyle="1" w:styleId="14">
    <w:name w:val="corporatetitle1"/>
    <w:qFormat/>
    <w:uiPriority w:val="0"/>
    <w:rPr>
      <w:b/>
      <w:bCs/>
      <w:color w:val="CC0000"/>
      <w:spacing w:val="375"/>
      <w:sz w:val="22"/>
      <w:szCs w:val="22"/>
    </w:rPr>
  </w:style>
  <w:style w:type="character" w:customStyle="1" w:styleId="15">
    <w:name w:val="页脚 字符"/>
    <w:basedOn w:val="10"/>
    <w:link w:val="5"/>
    <w:qFormat/>
    <w:uiPriority w:val="99"/>
    <w:rPr>
      <w:rFonts w:ascii="Times New Roman" w:hAnsi="Times New Roman" w:eastAsia="宋体" w:cs="Times New Roman"/>
      <w:sz w:val="18"/>
      <w:szCs w:val="18"/>
    </w:rPr>
  </w:style>
  <w:style w:type="character" w:customStyle="1" w:styleId="16">
    <w:name w:val="页眉 字符"/>
    <w:basedOn w:val="10"/>
    <w:link w:val="6"/>
    <w:qFormat/>
    <w:uiPriority w:val="99"/>
    <w:rPr>
      <w:rFonts w:ascii="Times New Roman" w:hAnsi="Times New Roman" w:eastAsia="宋体" w:cs="Times New Roman"/>
      <w:sz w:val="18"/>
      <w:szCs w:val="18"/>
    </w:rPr>
  </w:style>
  <w:style w:type="character" w:customStyle="1" w:styleId="17">
    <w:name w:val="批注框文本 字符"/>
    <w:basedOn w:val="10"/>
    <w:link w:val="4"/>
    <w:qFormat/>
    <w:uiPriority w:val="99"/>
    <w:rPr>
      <w:rFonts w:ascii="Times New Roman" w:hAnsi="Times New Roman" w:eastAsia="宋体" w:cs="Times New Roman"/>
      <w:sz w:val="18"/>
      <w:szCs w:val="18"/>
    </w:rPr>
  </w:style>
  <w:style w:type="character" w:customStyle="1" w:styleId="18">
    <w:name w:val="批注文字 字符"/>
    <w:basedOn w:val="10"/>
    <w:link w:val="3"/>
    <w:semiHidden/>
    <w:qFormat/>
    <w:uiPriority w:val="99"/>
    <w:rPr>
      <w:rFonts w:ascii="Times New Roman" w:hAnsi="Times New Roman" w:eastAsia="宋体" w:cs="Times New Roman"/>
      <w:szCs w:val="24"/>
    </w:rPr>
  </w:style>
  <w:style w:type="character" w:customStyle="1" w:styleId="19">
    <w:name w:val="批注主题 字符"/>
    <w:basedOn w:val="18"/>
    <w:link w:val="7"/>
    <w:semiHidden/>
    <w:qFormat/>
    <w:uiPriority w:val="99"/>
    <w:rPr>
      <w:rFonts w:ascii="Times New Roman" w:hAnsi="Times New Roman" w:eastAsia="宋体" w:cs="Times New Roman"/>
      <w:b/>
      <w:bCs/>
      <w:szCs w:val="24"/>
    </w:rPr>
  </w:style>
  <w:style w:type="paragraph" w:styleId="20">
    <w:name w:val="List Paragraph"/>
    <w:basedOn w:val="1"/>
    <w:link w:val="23"/>
    <w:qFormat/>
    <w:uiPriority w:val="34"/>
    <w:pPr>
      <w:ind w:firstLine="420" w:firstLineChars="200"/>
    </w:pPr>
  </w:style>
  <w:style w:type="character" w:customStyle="1" w:styleId="21">
    <w:name w:val="Body text|1_"/>
    <w:link w:val="22"/>
    <w:qFormat/>
    <w:uiPriority w:val="0"/>
    <w:rPr>
      <w:rFonts w:ascii="宋体" w:hAnsi="宋体" w:cs="宋体"/>
      <w:color w:val="666666"/>
      <w:lang w:val="zh-TW" w:eastAsia="zh-TW" w:bidi="zh-TW"/>
    </w:rPr>
  </w:style>
  <w:style w:type="paragraph" w:customStyle="1" w:styleId="22">
    <w:name w:val="Body text|1"/>
    <w:basedOn w:val="1"/>
    <w:link w:val="21"/>
    <w:qFormat/>
    <w:uiPriority w:val="0"/>
    <w:pPr>
      <w:spacing w:line="360" w:lineRule="auto"/>
      <w:jc w:val="left"/>
    </w:pPr>
    <w:rPr>
      <w:rFonts w:ascii="宋体" w:hAnsi="宋体" w:cs="宋体" w:eastAsiaTheme="minorEastAsia"/>
      <w:color w:val="666666"/>
      <w:szCs w:val="22"/>
      <w:lang w:val="zh-TW" w:eastAsia="zh-TW" w:bidi="zh-TW"/>
    </w:rPr>
  </w:style>
  <w:style w:type="character" w:customStyle="1" w:styleId="23">
    <w:name w:val="列出段落 字符"/>
    <w:link w:val="20"/>
    <w:qFormat/>
    <w:uiPriority w:val="34"/>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4E950-E92B-4CFE-87B2-FBF44E9B44FD}">
  <ds:schemaRefs/>
</ds:datastoreItem>
</file>

<file path=docProps/app.xml><?xml version="1.0" encoding="utf-8"?>
<Properties xmlns="http://schemas.openxmlformats.org/officeDocument/2006/extended-properties" xmlns:vt="http://schemas.openxmlformats.org/officeDocument/2006/docPropsVTypes">
  <Template>Normal.dotm</Template>
  <Company>平安银行股份有限公司</Company>
  <Pages>32</Pages>
  <Words>3641</Words>
  <Characters>20759</Characters>
  <Lines>172</Lines>
  <Paragraphs>48</Paragraphs>
  <TotalTime>6</TotalTime>
  <ScaleCrop>false</ScaleCrop>
  <LinksUpToDate>false</LinksUpToDate>
  <CharactersWithSpaces>24352</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2023-11-06T11:23:00Z</dcterms:created>
  <dc:creator>PingAn</dc:creator>
  <cp:lastModifiedBy>ZHANGBOHENG674</cp:lastModifiedBy>
  <cp:lastPrinted>2020-10-23T02:40:00Z</cp:lastPrinted>
  <dcterms:modified xsi:type="dcterms:W3CDTF">2024-11-07T05:16:48Z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-1731800682</vt:i4>
  </property>
  <property fmtid="{D5CDD505-2E9C-101B-9397-08002B2CF9AE}" pid="3" name="KSOProductBuildVer">
    <vt:lpwstr>2052-11.8.2.12265</vt:lpwstr>
  </property>
  <property fmtid="{D5CDD505-2E9C-101B-9397-08002B2CF9AE}" pid="4" name="ICV">
    <vt:lpwstr>58B63C8B33EF4329BAF907F00CC7891E</vt:lpwstr>
  </property>
</Properties>
</file>