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【丰收封闭式固收类】</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【2</w:t>
      </w:r>
      <w:r>
        <w:rPr>
          <w:rStyle w:val="27"/>
          <w:rFonts w:ascii="宋体" w:hAnsi="宋体" w:cs="Times New Roman"/>
          <w:sz w:val="32"/>
          <w:szCs w:val="32"/>
        </w:rPr>
        <w:t>02</w:t>
      </w:r>
      <w:r>
        <w:rPr>
          <w:rStyle w:val="27"/>
          <w:rFonts w:hint="eastAsia" w:ascii="宋体" w:hAnsi="宋体" w:cs="Times New Roman"/>
          <w:sz w:val="32"/>
          <w:szCs w:val="32"/>
          <w:lang w:val="en-US" w:eastAsia="zh-CN"/>
        </w:rPr>
        <w:t>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7</w:t>
      </w:r>
      <w:r>
        <w:rPr>
          <w:rStyle w:val="27"/>
          <w:rFonts w:hint="eastAsia" w:ascii="宋体" w:hAnsi="宋体" w:cs="Times New Roman"/>
          <w:sz w:val="32"/>
          <w:szCs w:val="32"/>
        </w:rPr>
        <w:t>】月</w:t>
      </w:r>
      <w:permEnd w:id="1"/>
    </w:p>
    <w:p>
      <w:pPr>
        <w:adjustRightInd w:val="0"/>
        <w:spacing w:line="360" w:lineRule="auto"/>
        <w:jc w:val="center"/>
        <w:rPr>
          <w:rStyle w:val="27"/>
          <w:rFonts w:ascii="宋体" w:hAnsi="宋体"/>
          <w:sz w:val="32"/>
          <w:szCs w:val="32"/>
        </w:rPr>
      </w:pPr>
    </w:p>
    <w:p>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permStart w:id="2" w:edGrp="everyone"/>
          <w:bookmarkStart w:id="0" w:name="_Toc78276587"/>
          <w:r>
            <w:rPr>
              <w:lang w:val="zh-CN"/>
            </w:rPr>
            <w:t>目录</w:t>
          </w:r>
        </w:p>
        <w:p>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"_Toc176189753"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_Toc176189753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"_Toc176189754"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tab/>
          </w:r>
          <w:r>
            <w:fldChar w:fldCharType="begin"/>
          </w:r>
          <w:r>
            <w:instrText xml:space="preserve"> PAGEREF _Toc176189754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"_Toc176189755"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_Toc176189755 \h </w:instrText>
          </w:r>
          <w:r>
            <w:fldChar w:fldCharType="separate"/>
          </w:r>
          <w:r>
            <w:t>13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"_Toc176189756"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_Toc176189756 \h </w:instrText>
          </w:r>
          <w:r>
            <w:fldChar w:fldCharType="separate"/>
          </w:r>
          <w:r>
            <w:t>15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"_Toc176189757"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_Toc176189757 \h </w:instrText>
          </w:r>
          <w:r>
            <w:fldChar w:fldCharType="separate"/>
          </w:r>
          <w:r>
            <w:t>16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"_Toc176189758"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_Toc176189758 \h </w:instrText>
          </w:r>
          <w:r>
            <w:fldChar w:fldCharType="separate"/>
          </w:r>
          <w:r>
            <w:t>19</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"_Toc176189759"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_Toc176189759 \h </w:instrText>
          </w:r>
          <w:r>
            <w:fldChar w:fldCharType="separate"/>
          </w:r>
          <w:r>
            <w:t>20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"_Toc176189760"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_Toc176189760 \h </w:instrText>
          </w:r>
          <w:r>
            <w:fldChar w:fldCharType="separate"/>
          </w:r>
          <w:r>
            <w:t>24</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"_Toc176189761"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_Toc176189761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"_Toc176189762"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_Toc176189762 \h </w:instrText>
          </w:r>
          <w:r>
            <w:fldChar w:fldCharType="separate"/>
          </w:r>
          <w:r>
            <w:t>28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"_Toc176189763"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_Toc176189763 \h </w:instrText>
          </w:r>
          <w:r>
            <w:fldChar w:fldCharType="separate"/>
          </w:r>
          <w:r>
            <w:t>30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"_Toc176189764"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_Toc176189764 \h </w:instrText>
          </w:r>
          <w:r>
            <w:fldChar w:fldCharType="separate"/>
          </w:r>
          <w:r>
            <w:t>32</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176189753"/>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【丰收封闭式固收类】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【丰收封闭式固收类】</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【丰收封闭式固收类】</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【丰收封闭式固收类】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【丰收封闭式固收类】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【丰收封闭式固收类】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【丰收封闭式固收类】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【丰收封闭式固收类】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【丰收封闭式固收类】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eastAsia="黑体"/>
          <w:sz w:val="18"/>
        </w:rPr>
        <w:t>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pStyle w:val="34"/>
        <w:spacing w:line="360" w:lineRule="auto"/>
        <w:ind w:firstLine="360" w:firstLineChars="200"/>
        <w:rPr>
          <w:rFonts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cs="仿宋_GB2312" w:asciiTheme="minorEastAsia" w:hAnsiTheme="minorEastAsia" w:eastAsiaTheme="minorEastAsia"/>
          <w:bCs/>
          <w:color w:val="auto"/>
          <w:sz w:val="18"/>
          <w:szCs w:val="18"/>
        </w:rPr>
        <w:t>★</w:t>
      </w:r>
      <w:r>
        <w:rPr>
          <w:rFonts w:hint="eastAsia" w:asciiTheme="minorEastAsia" w:hAnsiTheme="minorEastAsia" w:eastAsiaTheme="minorEastAsia"/>
          <w:sz w:val="18"/>
          <w:szCs w:val="18"/>
        </w:rPr>
        <w:t>销售服务费：指</w:t>
      </w:r>
      <w:r>
        <w:rPr>
          <w:rFonts w:hint="eastAsia" w:hAnsi="宋体"/>
          <w:sz w:val="18"/>
          <w:szCs w:val="18"/>
        </w:rPr>
        <w:t>因理财产品销售行为产生的费用。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hAnsi="宋体"/>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2" w:name="_Toc176189754"/>
      <w:bookmarkStart w:id="3" w:name="_Toc79154665"/>
      <w:r>
        <w:rPr>
          <w:rFonts w:hint="eastAsia" w:hAnsi="宋体"/>
          <w:sz w:val="28"/>
          <w:szCs w:val="28"/>
        </w:rPr>
        <w:t>第二条  理财产品基本情况</w:t>
      </w:r>
      <w:bookmarkEnd w:id="2"/>
      <w:bookmarkEnd w:id="3"/>
      <w:r>
        <w:rPr>
          <w:rFonts w:hint="eastAsia" w:hAnsi="宋体"/>
          <w:sz w:val="28"/>
          <w:szCs w:val="28"/>
        </w:rPr>
        <w:t xml:space="preserve"> </w:t>
      </w:r>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1" w:hRule="atLeast"/>
          <w:jc w:val="center"/>
        </w:trPr>
        <w:tc>
          <w:tcPr>
            <w:tcW w:w="1970"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74" w:type="dxa"/>
            <w:shd w:val="solid" w:color="FFFFFF" w:fill="FFFFFF"/>
          </w:tcPr>
          <w:p>
            <w:pPr>
              <w:spacing w:line="360" w:lineRule="auto"/>
              <w:jc w:val="left"/>
              <w:rPr>
                <w:rFonts w:hint="eastAsia" w:ascii="宋体" w:hAnsi="宋体" w:eastAsia="宋体"/>
                <w:bCs/>
                <w:sz w:val="18"/>
                <w:szCs w:val="18"/>
                <w:lang w:eastAsia="zh-CN"/>
              </w:rPr>
            </w:pPr>
            <w:r>
              <w:rPr>
                <w:rFonts w:hint="eastAsia" w:ascii="宋体" w:hAnsi="宋体"/>
                <w:bCs/>
                <w:sz w:val="18"/>
                <w:szCs w:val="18"/>
                <w:lang w:eastAsia="zh-CN"/>
              </w:rPr>
              <w:t>【</w:t>
            </w:r>
            <w:r>
              <w:rPr>
                <w:rFonts w:hint="eastAsia" w:ascii="宋体" w:hAnsi="宋体"/>
                <w:bCs/>
                <w:sz w:val="18"/>
                <w:szCs w:val="18"/>
              </w:rPr>
              <w:t>兴银理财丰收封闭式1</w:t>
            </w:r>
            <w:r>
              <w:rPr>
                <w:rFonts w:hint="eastAsia" w:ascii="宋体" w:hAnsi="宋体"/>
                <w:bCs/>
                <w:sz w:val="18"/>
                <w:szCs w:val="18"/>
                <w:lang w:val="en-US" w:eastAsia="zh-CN"/>
              </w:rPr>
              <w:t>80</w:t>
            </w:r>
            <w:r>
              <w:rPr>
                <w:rFonts w:hint="eastAsia" w:ascii="宋体" w:hAnsi="宋体"/>
                <w:bCs/>
                <w:sz w:val="18"/>
                <w:szCs w:val="18"/>
              </w:rPr>
              <w:t>号固收类理财产品</w:t>
            </w:r>
            <w:r>
              <w:rPr>
                <w:rFonts w:hint="eastAsia" w:ascii="宋体" w:hAnsi="宋体"/>
                <w:bCs/>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tcPr>
          <w:p>
            <w:pPr>
              <w:spacing w:line="360" w:lineRule="auto"/>
              <w:jc w:val="left"/>
              <w:rPr>
                <w:rFonts w:hint="eastAsia" w:ascii="宋体" w:hAnsi="宋体"/>
                <w:bCs/>
                <w:sz w:val="18"/>
                <w:szCs w:val="18"/>
              </w:rPr>
            </w:pPr>
            <w:r>
              <w:rPr>
                <w:rFonts w:hint="eastAsia" w:ascii="宋体" w:hAnsi="宋体"/>
                <w:bCs/>
                <w:sz w:val="18"/>
                <w:szCs w:val="18"/>
              </w:rPr>
              <w:t>【丰收封闭式1</w:t>
            </w:r>
            <w:r>
              <w:rPr>
                <w:rFonts w:hint="eastAsia" w:ascii="宋体" w:hAnsi="宋体"/>
                <w:bCs/>
                <w:sz w:val="18"/>
                <w:szCs w:val="18"/>
                <w:lang w:val="en-US" w:eastAsia="zh-CN"/>
              </w:rPr>
              <w:t>80</w:t>
            </w:r>
            <w:r>
              <w:rPr>
                <w:rFonts w:hint="eastAsia" w:ascii="宋体" w:hAnsi="宋体"/>
                <w:bCs/>
                <w:sz w:val="18"/>
                <w:szCs w:val="18"/>
              </w:rPr>
              <w:t>号A】（适用【</w:t>
            </w:r>
            <w:r>
              <w:rPr>
                <w:rFonts w:hint="eastAsia" w:ascii="宋体" w:hAnsi="宋体"/>
                <w:bCs/>
                <w:sz w:val="18"/>
                <w:szCs w:val="18"/>
                <w:lang w:val="en-US" w:eastAsia="zh-CN"/>
              </w:rPr>
              <w:t>A</w:t>
            </w:r>
            <w:r>
              <w:rPr>
                <w:rFonts w:hint="eastAsia" w:ascii="宋体" w:hAnsi="宋体"/>
                <w:bCs/>
                <w:sz w:val="18"/>
                <w:szCs w:val="18"/>
              </w:rPr>
              <w:t>】类份额）</w:t>
            </w:r>
          </w:p>
          <w:p>
            <w:pPr>
              <w:spacing w:line="360" w:lineRule="auto"/>
              <w:jc w:val="left"/>
              <w:rPr>
                <w:rFonts w:hint="eastAsia" w:ascii="宋体" w:hAnsi="宋体"/>
                <w:bCs/>
                <w:sz w:val="18"/>
                <w:szCs w:val="18"/>
              </w:rPr>
            </w:pPr>
            <w:r>
              <w:rPr>
                <w:rFonts w:hint="eastAsia" w:ascii="宋体" w:hAnsi="宋体"/>
                <w:bCs/>
                <w:sz w:val="18"/>
                <w:szCs w:val="18"/>
              </w:rPr>
              <w:t>【丰收封闭式</w:t>
            </w:r>
            <w:r>
              <w:rPr>
                <w:rFonts w:hint="eastAsia" w:ascii="宋体" w:hAnsi="宋体"/>
                <w:bCs/>
                <w:sz w:val="18"/>
                <w:szCs w:val="18"/>
                <w:lang w:val="en-US" w:eastAsia="zh-CN"/>
              </w:rPr>
              <w:t>180</w:t>
            </w:r>
            <w:r>
              <w:rPr>
                <w:rFonts w:hint="eastAsia" w:ascii="宋体" w:hAnsi="宋体"/>
                <w:bCs/>
                <w:sz w:val="18"/>
                <w:szCs w:val="18"/>
              </w:rPr>
              <w:t>号B】（适用【</w:t>
            </w:r>
            <w:r>
              <w:rPr>
                <w:rFonts w:hint="eastAsia" w:ascii="宋体" w:hAnsi="宋体"/>
                <w:bCs/>
                <w:sz w:val="18"/>
                <w:szCs w:val="18"/>
                <w:lang w:val="en-US" w:eastAsia="zh-CN"/>
              </w:rPr>
              <w:t>B</w:t>
            </w:r>
            <w:r>
              <w:rPr>
                <w:rFonts w:hint="eastAsia" w:ascii="宋体" w:hAnsi="宋体"/>
                <w:bCs/>
                <w:sz w:val="18"/>
                <w:szCs w:val="18"/>
              </w:rPr>
              <w:t>】类份额）</w:t>
            </w:r>
          </w:p>
          <w:p>
            <w:pPr>
              <w:spacing w:line="360" w:lineRule="auto"/>
              <w:jc w:val="left"/>
              <w:rPr>
                <w:rFonts w:hint="eastAsia" w:hAnsi="宋体"/>
                <w:sz w:val="18"/>
                <w:szCs w:val="18"/>
              </w:rPr>
            </w:pPr>
            <w:r>
              <w:rPr>
                <w:rFonts w:hint="eastAsia" w:ascii="宋体" w:hAnsi="宋体"/>
                <w:bCs/>
                <w:sz w:val="18"/>
                <w:szCs w:val="18"/>
              </w:rPr>
              <w:t>【丰收封闭式1</w:t>
            </w:r>
            <w:r>
              <w:rPr>
                <w:rFonts w:hint="eastAsia" w:ascii="宋体" w:hAnsi="宋体"/>
                <w:bCs/>
                <w:sz w:val="18"/>
                <w:szCs w:val="18"/>
                <w:lang w:val="en-US" w:eastAsia="zh-CN"/>
              </w:rPr>
              <w:t>80</w:t>
            </w:r>
            <w:r>
              <w:rPr>
                <w:rFonts w:hint="eastAsia" w:ascii="宋体" w:hAnsi="宋体"/>
                <w:bCs/>
                <w:sz w:val="18"/>
                <w:szCs w:val="18"/>
              </w:rPr>
              <w:t>号C】（适用【</w:t>
            </w:r>
            <w:r>
              <w:rPr>
                <w:rFonts w:hint="eastAsia" w:ascii="宋体" w:hAnsi="宋体"/>
                <w:bCs/>
                <w:sz w:val="18"/>
                <w:szCs w:val="18"/>
                <w:lang w:val="en-US" w:eastAsia="zh-CN"/>
              </w:rPr>
              <w:t>C</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14"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【Z7002025000908】</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sz w:val="18"/>
                <w:szCs w:val="18"/>
              </w:rPr>
              <w:t>9C311800】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tcPr>
          <w:p>
            <w:pPr>
              <w:spacing w:line="360" w:lineRule="auto"/>
              <w:jc w:val="left"/>
              <w:rPr>
                <w:rFonts w:hint="eastAsia" w:hAnsi="宋体"/>
                <w:sz w:val="18"/>
                <w:szCs w:val="18"/>
              </w:rPr>
            </w:pPr>
            <w:r>
              <w:rPr>
                <w:rFonts w:hint="eastAsia" w:hAnsi="宋体"/>
                <w:sz w:val="18"/>
                <w:szCs w:val="18"/>
              </w:rPr>
              <w:t>【9C31180A】（适用【A】类份额）</w:t>
            </w:r>
          </w:p>
          <w:p>
            <w:pPr>
              <w:spacing w:line="360" w:lineRule="auto"/>
              <w:jc w:val="left"/>
              <w:rPr>
                <w:rFonts w:hint="eastAsia" w:hAnsi="宋体"/>
                <w:sz w:val="18"/>
                <w:szCs w:val="18"/>
              </w:rPr>
            </w:pPr>
            <w:r>
              <w:rPr>
                <w:rFonts w:hint="eastAsia" w:hAnsi="宋体"/>
                <w:sz w:val="18"/>
                <w:szCs w:val="18"/>
              </w:rPr>
              <w:t>【9C31180B】（适用【B】类份额）</w:t>
            </w:r>
          </w:p>
          <w:p>
            <w:pPr>
              <w:spacing w:line="360" w:lineRule="auto"/>
              <w:jc w:val="left"/>
              <w:rPr>
                <w:rFonts w:hint="eastAsia" w:hAnsi="宋体"/>
                <w:sz w:val="18"/>
                <w:szCs w:val="18"/>
              </w:rPr>
            </w:pPr>
            <w:r>
              <w:rPr>
                <w:rFonts w:hint="eastAsia" w:hAnsi="宋体"/>
                <w:sz w:val="18"/>
                <w:szCs w:val="18"/>
              </w:rPr>
              <w:t>【9C31180C】（适用【C】类份额）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pPr>
              <w:spacing w:line="360" w:lineRule="auto"/>
              <w:rPr>
                <w:rFonts w:ascii="宋体" w:hAnsi="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封闭式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674" w:type="dxa"/>
            <w:shd w:val="solid" w:color="FFFFFF" w:fill="FFFFFF"/>
            <w:vAlign w:val="center"/>
          </w:tcPr>
          <w:p>
            <w:pPr>
              <w:adjustRightInd w:val="0"/>
              <w:snapToGrid w:val="0"/>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固定收益类</w:t>
            </w:r>
          </w:p>
          <w:p>
            <w:pPr>
              <w:adjustRightInd w:val="0"/>
              <w:snapToGrid w:val="0"/>
              <w:spacing w:line="360" w:lineRule="auto"/>
              <w:rPr>
                <w:rFonts w:ascii="黑体" w:hAnsi="黑体" w:eastAsia="黑体"/>
                <w:bCs/>
                <w:sz w:val="18"/>
                <w:szCs w:val="18"/>
              </w:rPr>
            </w:pPr>
            <w:r>
              <w:rPr>
                <w:rFonts w:hint="eastAsia" w:ascii="黑体" w:hAnsi="黑体" w:eastAsia="黑体"/>
                <w:sz w:val="18"/>
                <w:szCs w:val="18"/>
              </w:rPr>
              <w:t>固定</w:t>
            </w:r>
            <w:r>
              <w:rPr>
                <w:rFonts w:ascii="黑体" w:hAnsi="黑体" w:eastAsia="黑体"/>
                <w:sz w:val="18"/>
                <w:szCs w:val="18"/>
              </w:rPr>
              <w:t>收益</w:t>
            </w:r>
            <w:r>
              <w:rPr>
                <w:rFonts w:hint="eastAsia" w:ascii="黑体" w:hAnsi="黑体" w:eastAsia="黑体"/>
                <w:sz w:val="18"/>
                <w:szCs w:val="18"/>
              </w:rPr>
              <w:t>类</w:t>
            </w:r>
            <w:r>
              <w:rPr>
                <w:rFonts w:ascii="黑体" w:hAnsi="黑体" w:eastAsia="黑体"/>
                <w:sz w:val="18"/>
                <w:szCs w:val="18"/>
              </w:rPr>
              <w:t>产品是指根据监管</w:t>
            </w:r>
            <w:r>
              <w:rPr>
                <w:rFonts w:hint="eastAsia" w:ascii="黑体" w:hAnsi="黑体" w:eastAsia="黑体"/>
                <w:sz w:val="18"/>
                <w:szCs w:val="18"/>
              </w:rPr>
              <w:t>相关规定</w:t>
            </w:r>
            <w:r>
              <w:rPr>
                <w:rFonts w:ascii="黑体" w:hAnsi="黑体" w:eastAsia="黑体"/>
                <w:sz w:val="18"/>
                <w:szCs w:val="18"/>
              </w:rPr>
              <w:t>，投资于债权类资产的</w:t>
            </w:r>
            <w:r>
              <w:rPr>
                <w:rFonts w:hint="eastAsia" w:ascii="黑体" w:hAnsi="黑体" w:eastAsia="黑体"/>
                <w:sz w:val="18"/>
                <w:szCs w:val="18"/>
              </w:rPr>
              <w:t>比例</w:t>
            </w:r>
            <w:r>
              <w:rPr>
                <w:rFonts w:ascii="黑体" w:hAnsi="黑体" w:eastAsia="黑体"/>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pPr>
              <w:adjustRightInd w:val="0"/>
              <w:snapToGrid w:val="0"/>
              <w:spacing w:line="360" w:lineRule="auto"/>
              <w:rPr>
                <w:rFonts w:ascii="黑体" w:hAnsi="黑体" w:eastAsia="黑体"/>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color w:val="000000" w:themeColor="text1"/>
                <w:sz w:val="18"/>
                <w:szCs w:val="18"/>
                <w14:textFill>
                  <w14:solidFill>
                    <w14:schemeClr w14:val="tx1"/>
                  </w14:solidFill>
                </w14:textFill>
              </w:rPr>
            </w:pPr>
            <w:r>
              <w:rPr>
                <w:rFonts w:hint="eastAsia" w:ascii="黑体" w:hAnsi="黑体" w:eastAsia="黑体"/>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 xml:space="preserve">■ </w:t>
            </w:r>
            <w:r>
              <w:rPr>
                <w:rFonts w:asciiTheme="majorEastAsia" w:hAnsiTheme="majorEastAsia" w:eastAsiaTheme="majorEastAsia"/>
                <w:bCs/>
                <w:sz w:val="18"/>
                <w:szCs w:val="18"/>
              </w:rPr>
              <w:t>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30</w:t>
            </w:r>
            <w:r>
              <w:rPr>
                <w:rFonts w:hint="eastAsia" w:asciiTheme="majorEastAsia" w:hAnsiTheme="majorEastAsia" w:eastAsiaTheme="majorEastAsia"/>
                <w:bCs/>
                <w:sz w:val="18"/>
                <w:szCs w:val="18"/>
              </w:rPr>
              <w:t>】亿元，最小成立规模为【/】亿元。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362</w:t>
            </w:r>
            <w:r>
              <w:rPr>
                <w:rFonts w:hint="eastAsia" w:asciiTheme="majorEastAsia" w:hAnsiTheme="majorEastAsia" w:eastAsiaTheme="majorEastAsia"/>
                <w:bCs/>
                <w:sz w:val="18"/>
                <w:szCs w:val="18"/>
              </w:rPr>
              <w:t>】天</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□无固定期限</w:t>
            </w:r>
          </w:p>
          <w:p>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7</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17</w:t>
            </w:r>
            <w:r>
              <w:rPr>
                <w:rFonts w:hint="eastAsia" w:cs="Times New Roman" w:asciiTheme="minorEastAsia" w:hAnsiTheme="minorEastAsia"/>
                <w:sz w:val="18"/>
                <w:szCs w:val="18"/>
              </w:rPr>
              <w:t>】日【0</w:t>
            </w:r>
            <w:r>
              <w:rPr>
                <w:rFonts w:cs="Times New Roman" w:asciiTheme="minorEastAsia" w:hAnsiTheme="minorEastAsia"/>
                <w:sz w:val="18"/>
                <w:szCs w:val="18"/>
              </w:rPr>
              <w:t>9:00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【2</w:t>
            </w:r>
            <w:r>
              <w:rPr>
                <w:rFonts w:cs="Times New Roman" w:asciiTheme="minorEastAsia" w:hAnsiTheme="minorEastAsia"/>
                <w:sz w:val="18"/>
                <w:szCs w:val="18"/>
              </w:rPr>
              <w:t>0</w:t>
            </w:r>
            <w:r>
              <w:rPr>
                <w:rFonts w:hint="eastAsia" w:cs="Times New Roman" w:asciiTheme="minorEastAsia" w:hAnsiTheme="minorEastAsia"/>
                <w:sz w:val="18"/>
                <w:szCs w:val="18"/>
                <w:lang w:val="en-US" w:eastAsia="zh-CN"/>
              </w:rPr>
              <w:t>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7</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23</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【1</w:t>
            </w:r>
            <w:r>
              <w:rPr>
                <w:rFonts w:asciiTheme="majorEastAsia" w:hAnsiTheme="majorEastAsia" w:eastAsiaTheme="majorEastAsia"/>
                <w:sz w:val="18"/>
                <w:szCs w:val="18"/>
              </w:rPr>
              <w:t>7:00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w:t>
            </w:r>
            <w:r>
              <w:rPr>
                <w:rFonts w:hint="eastAsia" w:cs="Times New Roman" w:asciiTheme="minorEastAsia" w:hAnsiTheme="minorEastAsia"/>
                <w:sz w:val="18"/>
                <w:szCs w:val="18"/>
                <w:lang w:val="en-US" w:eastAsia="zh-CN"/>
              </w:rPr>
              <w:t>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7</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24</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w:t>
            </w:r>
            <w:r>
              <w:rPr>
                <w:rFonts w:hint="eastAsia" w:cs="Times New Roman" w:asciiTheme="minorEastAsia" w:hAnsiTheme="minorEastAsia"/>
                <w:sz w:val="18"/>
                <w:szCs w:val="18"/>
                <w:lang w:val="en-US" w:eastAsia="zh-CN"/>
              </w:rPr>
              <w:t>6</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7</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21</w:t>
            </w:r>
            <w:bookmarkStart w:id="156" w:name="_GoBack"/>
            <w:bookmarkEnd w:id="156"/>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购买起点金额为【1</w:t>
            </w:r>
            <w:r>
              <w:rPr>
                <w:rFonts w:asciiTheme="majorEastAsia" w:hAnsiTheme="majorEastAsia" w:eastAsiaTheme="majorEastAsia"/>
                <w:bCs/>
                <w:sz w:val="18"/>
                <w:szCs w:val="18"/>
              </w:rPr>
              <w:t>.00</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pPr>
              <w:pStyle w:val="34"/>
              <w:spacing w:line="360" w:lineRule="auto"/>
              <w:rPr>
                <w:rFonts w:hAnsi="宋体"/>
                <w:bCs/>
                <w:sz w:val="18"/>
                <w:szCs w:val="18"/>
              </w:rPr>
            </w:pPr>
            <w:r>
              <w:rPr>
                <w:rFonts w:hint="eastAsia" w:hAnsi="宋体"/>
                <w:bCs/>
                <w:sz w:val="18"/>
                <w:szCs w:val="18"/>
              </w:rPr>
              <w:t>（适用【/】类</w:t>
            </w:r>
            <w:r>
              <w:rPr>
                <w:rFonts w:hAnsi="宋体"/>
                <w:bCs/>
                <w:sz w:val="18"/>
                <w:szCs w:val="18"/>
              </w:rPr>
              <w:t>份额</w:t>
            </w:r>
            <w:r>
              <w:rPr>
                <w:rFonts w:hint="eastAsia" w:hAnsi="宋体"/>
                <w:bCs/>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认购的数量限制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（1）单一投资者认购上限为【/】。</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w:t>
            </w:r>
            <w:r>
              <w:rPr>
                <w:rFonts w:ascii="黑体" w:hAnsi="黑体" w:eastAsia="黑体"/>
                <w:color w:val="000000" w:themeColor="text1"/>
                <w:sz w:val="18"/>
                <w:szCs w:val="18"/>
                <w14:textFill>
                  <w14:solidFill>
                    <w14:schemeClr w14:val="tx1"/>
                  </w14:solidFill>
                </w14:textFill>
              </w:rPr>
              <w:t>50%。</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pPr>
              <w:autoSpaceDE w:val="0"/>
              <w:autoSpaceDN w:val="0"/>
              <w:adjustRightInd w:val="0"/>
              <w:spacing w:line="360" w:lineRule="auto"/>
              <w:jc w:val="left"/>
              <w:rPr>
                <w:rFonts w:hAnsi="宋体"/>
                <w:sz w:val="18"/>
                <w:szCs w:val="18"/>
              </w:rPr>
            </w:pPr>
            <w:r>
              <w:rPr>
                <w:rFonts w:hAnsi="宋体"/>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产品管理人设置业绩比较基准。</w:t>
            </w:r>
          </w:p>
          <w:p>
            <w:pPr>
              <w:autoSpaceDE w:val="0"/>
              <w:autoSpaceDN w:val="0"/>
              <w:adjustRightInd w:val="0"/>
              <w:spacing w:line="360" w:lineRule="auto"/>
              <w:jc w:val="left"/>
              <w:rPr>
                <w:rFonts w:asciiTheme="majorEastAsia" w:hAnsiTheme="majorEastAsia" w:eastAsia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宋体" w:hAnsi="宋体"/>
                <w:bCs/>
                <w:sz w:val="18"/>
                <w:szCs w:val="18"/>
              </w:rPr>
              <w:t>【以一年期定期存款利率为无风险利率，基于当前对未来市场的判断，根据拟投资债权类资产的信用利差、久期敞口以及流动性溢价，预判组合的波动幅度</w:t>
            </w:r>
            <w:r>
              <w:rPr>
                <w:rFonts w:ascii="宋体" w:hAnsi="宋体"/>
                <w:bCs/>
                <w:sz w:val="18"/>
                <w:szCs w:val="18"/>
              </w:rPr>
              <w:t>】</w:t>
            </w:r>
            <w:r>
              <w:rPr>
                <w:rFonts w:hint="eastAsia" w:asciiTheme="majorEastAsia" w:hAnsiTheme="majorEastAsia" w:eastAsiaTheme="majorEastAsia"/>
                <w:bCs/>
                <w:sz w:val="18"/>
                <w:szCs w:val="18"/>
              </w:rPr>
              <w:t>。</w:t>
            </w:r>
          </w:p>
          <w:p>
            <w:pPr>
              <w:spacing w:line="360" w:lineRule="auto"/>
              <w:jc w:val="left"/>
              <w:rPr>
                <w:rFonts w:hint="eastAsia" w:asciiTheme="majorEastAsia" w:hAnsiTheme="majorEastAsia"/>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rPr>
                <w:rFonts w:ascii="宋体" w:hAnsi="宋体"/>
                <w:bCs/>
                <w:sz w:val="18"/>
                <w:szCs w:val="18"/>
              </w:rPr>
            </w:pPr>
            <w:r>
              <w:rPr>
                <w:rFonts w:hint="eastAsia" w:asciiTheme="majorEastAsia" w:hAnsiTheme="majorEastAsia"/>
                <w:sz w:val="18"/>
              </w:rPr>
              <w:t>A类份额：年化</w:t>
            </w:r>
            <w:r>
              <w:rPr>
                <w:rFonts w:hint="eastAsia" w:ascii="宋体" w:hAnsi="宋体"/>
                <w:bCs/>
                <w:sz w:val="18"/>
                <w:szCs w:val="18"/>
              </w:rPr>
              <w:t>【2</w:t>
            </w:r>
            <w:r>
              <w:rPr>
                <w:rFonts w:ascii="宋体" w:hAnsi="宋体"/>
                <w:bCs/>
                <w:sz w:val="18"/>
                <w:szCs w:val="18"/>
              </w:rPr>
              <w:t>.</w:t>
            </w:r>
            <w:r>
              <w:rPr>
                <w:rFonts w:hint="eastAsia" w:ascii="宋体" w:hAnsi="宋体"/>
                <w:bCs/>
                <w:sz w:val="18"/>
                <w:szCs w:val="18"/>
                <w:lang w:val="en-US" w:eastAsia="zh-CN"/>
              </w:rPr>
              <w:t>00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20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ascii="宋体" w:hAnsi="宋体"/>
                <w:bCs/>
                <w:sz w:val="18"/>
                <w:szCs w:val="18"/>
              </w:rPr>
            </w:pPr>
            <w:r>
              <w:rPr>
                <w:rFonts w:asciiTheme="majorEastAsia" w:hAnsiTheme="majorEastAsia"/>
                <w:sz w:val="18"/>
              </w:rPr>
              <w:t>B</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10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30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asciiTheme="majorEastAsia" w:hAnsiTheme="majorEastAsia" w:eastAsiaTheme="majorEastAsia"/>
                <w:bCs/>
                <w:sz w:val="18"/>
                <w:szCs w:val="18"/>
              </w:rPr>
            </w:pPr>
            <w:r>
              <w:rPr>
                <w:rFonts w:asciiTheme="majorEastAsia" w:hAnsiTheme="majorEastAsia"/>
                <w:sz w:val="18"/>
              </w:rPr>
              <w:t>C</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25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45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pPr>
              <w:spacing w:line="360" w:lineRule="auto"/>
              <w:jc w:val="left"/>
              <w:rPr>
                <w:rFonts w:asciiTheme="majorEastAsia" w:hAnsiTheme="majorEastAsia"/>
                <w:b/>
                <w:sz w:val="18"/>
              </w:rPr>
            </w:pPr>
            <w:r>
              <w:rPr>
                <w:rFonts w:hint="eastAsia" w:asciiTheme="majorEastAsia" w:hAnsiTheme="majorEastAsia"/>
                <w:b/>
                <w:sz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（适用【</w:t>
            </w:r>
            <w:r>
              <w:rPr>
                <w:rFonts w:hint="eastAsia" w:hAnsi="宋体"/>
                <w:bCs/>
                <w:sz w:val="18"/>
                <w:szCs w:val="18"/>
                <w:lang w:val="en-US" w:eastAsia="zh-CN"/>
              </w:rPr>
              <w:t>/</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hAnsi="宋体"/>
                <w:bCs/>
                <w:sz w:val="18"/>
                <w:szCs w:val="18"/>
              </w:rPr>
            </w:pPr>
            <w:r>
              <w:rPr>
                <w:rFonts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bCs/>
                <w:sz w:val="18"/>
                <w:szCs w:val="18"/>
              </w:rPr>
            </w:pPr>
            <w:r>
              <w:rPr>
                <w:rFonts w:ascii="宋体" w:hAnsi="宋体"/>
                <w:bCs/>
                <w:sz w:val="18"/>
                <w:szCs w:val="18"/>
              </w:rPr>
              <w:t>业绩报酬计提基准的设定</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产品管理人不设置业绩报酬计提基准。</w:t>
            </w:r>
          </w:p>
          <w:p>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pPr>
              <w:autoSpaceDE w:val="0"/>
              <w:autoSpaceDN w:val="0"/>
              <w:adjustRightInd w:val="0"/>
              <w:spacing w:line="360" w:lineRule="auto"/>
              <w:jc w:val="left"/>
              <w:rPr>
                <w:rFonts w:ascii="黑体" w:hAnsi="黑体" w:eastAsia="黑体"/>
                <w:sz w:val="18"/>
              </w:rPr>
            </w:pPr>
            <w:r>
              <w:rPr>
                <w:rFonts w:hint="eastAsia" w:ascii="黑体" w:hAnsi="黑体" w:eastAsia="黑体"/>
                <w:sz w:val="18"/>
              </w:rPr>
              <w:t>（</w:t>
            </w:r>
            <w:r>
              <w:rPr>
                <w:rFonts w:ascii="黑体" w:hAnsi="黑体" w:eastAsia="黑体"/>
                <w:sz w:val="18"/>
              </w:rPr>
              <w:t>1）</w:t>
            </w:r>
            <w:r>
              <w:rPr>
                <w:rFonts w:hint="eastAsia" w:ascii="黑体" w:hAnsi="黑体" w:eastAsia="黑体"/>
                <w:sz w:val="18"/>
                <w:szCs w:val="18"/>
              </w:rPr>
              <w:t>★</w:t>
            </w:r>
            <w:r>
              <w:rPr>
                <w:rFonts w:hint="eastAsia" w:ascii="黑体" w:hAnsi="黑体" w:eastAsia="黑体"/>
                <w:sz w:val="18"/>
              </w:rPr>
              <w:t>业绩报酬计提基准仅作为管理人计算超额业绩报酬的参照标准</w:t>
            </w:r>
            <w:r>
              <w:rPr>
                <w:rFonts w:hint="eastAsia" w:ascii="黑体" w:hAnsi="黑体" w:eastAsia="黑体"/>
                <w:bCs/>
                <w:sz w:val="18"/>
                <w:szCs w:val="18"/>
              </w:rPr>
              <w:t>。业绩报酬计提基准不是预期收益率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hint="eastAsia"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2）销售服</w:t>
            </w:r>
            <w:r>
              <w:rPr>
                <w:rFonts w:hint="eastAsia" w:ascii="黑体" w:hAnsi="黑体" w:eastAsia="黑体"/>
                <w:bCs/>
                <w:color w:val="000000" w:themeColor="text1"/>
                <w:sz w:val="18"/>
                <w:szCs w:val="18"/>
                <w14:textFill>
                  <w14:solidFill>
                    <w14:schemeClr w14:val="tx1"/>
                  </w14:solidFill>
                </w14:textFill>
              </w:rPr>
              <w:t>务费：</w:t>
            </w:r>
          </w:p>
          <w:p>
            <w:pPr>
              <w:spacing w:line="360" w:lineRule="auto"/>
              <w:rPr>
                <w:rFonts w:hint="eastAsia" w:ascii="黑体" w:hAnsi="黑体" w:eastAsia="黑体"/>
                <w:bCs/>
                <w:sz w:val="18"/>
                <w:szCs w:val="18"/>
              </w:rPr>
            </w:pPr>
            <w:r>
              <w:rPr>
                <w:rFonts w:hint="eastAsia" w:ascii="黑体" w:hAnsi="黑体" w:eastAsia="黑体"/>
                <w:bCs/>
                <w:sz w:val="18"/>
                <w:szCs w:val="18"/>
              </w:rPr>
              <w:t>A类份额：年化费率【0.25%】;</w:t>
            </w:r>
          </w:p>
          <w:p>
            <w:pPr>
              <w:spacing w:line="360" w:lineRule="auto"/>
              <w:rPr>
                <w:rFonts w:hint="eastAsia" w:ascii="黑体" w:hAnsi="黑体" w:eastAsia="黑体"/>
                <w:bCs/>
                <w:sz w:val="18"/>
                <w:szCs w:val="18"/>
              </w:rPr>
            </w:pPr>
            <w:r>
              <w:rPr>
                <w:rFonts w:hint="eastAsia" w:ascii="黑体" w:hAnsi="黑体" w:eastAsia="黑体"/>
                <w:bCs/>
                <w:sz w:val="18"/>
                <w:szCs w:val="18"/>
              </w:rPr>
              <w:t>B类份额：年化费率【0.15%】;</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sz w:val="18"/>
                <w:szCs w:val="18"/>
              </w:rPr>
              <w:t>C类份额：年化费率【0.00%】。</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3）投资管理费：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w:t>
            </w:r>
            <w:r>
              <w:rPr>
                <w:rFonts w:hint="eastAsia" w:ascii="黑体" w:hAnsi="黑体" w:eastAsia="黑体"/>
                <w:sz w:val="18"/>
                <w:szCs w:val="18"/>
                <w:lang w:val="en-US" w:eastAsia="zh-CN"/>
              </w:rPr>
              <w:t>14</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.0</w:t>
            </w:r>
            <w:r>
              <w:rPr>
                <w:rFonts w:hint="eastAsia" w:ascii="黑体" w:hAnsi="黑体" w:eastAsia="黑体"/>
                <w:sz w:val="18"/>
                <w:szCs w:val="18"/>
                <w:lang w:val="en-US" w:eastAsia="zh-CN"/>
              </w:rPr>
              <w:t>3</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hint="eastAsia" w:ascii="黑体" w:hAnsi="黑体" w:eastAsia="黑体"/>
                <w:bCs/>
                <w:color w:val="000000" w:themeColor="text1"/>
                <w:sz w:val="18"/>
                <w:szCs w:val="18"/>
                <w:lang w:val="en-US" w:eastAsia="zh-CN"/>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5）超额业绩报酬：</w:t>
            </w:r>
            <w:r>
              <w:rPr>
                <w:rFonts w:hint="eastAsia" w:ascii="黑体" w:hAnsi="黑体" w:eastAsia="黑体"/>
                <w:bCs/>
                <w:color w:val="000000" w:themeColor="text1"/>
                <w:sz w:val="18"/>
                <w:szCs w:val="18"/>
                <w:lang w:val="en-US" w:eastAsia="zh-CN"/>
                <w14:textFill>
                  <w14:solidFill>
                    <w14:schemeClr w14:val="tx1"/>
                  </w14:solidFill>
                </w14:textFill>
              </w:rPr>
              <w:t>无</w:t>
            </w:r>
          </w:p>
          <w:p>
            <w:pPr>
              <w:spacing w:line="360" w:lineRule="auto"/>
              <w:rPr>
                <w:rFonts w:ascii="黑体" w:hAnsi="黑体" w:eastAsia="黑体"/>
                <w:bCs/>
                <w:sz w:val="18"/>
                <w:szCs w:val="18"/>
              </w:rPr>
            </w:pPr>
            <w:r>
              <w:rPr>
                <w:rFonts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4" w:name="_Toc79154666"/>
      <w:bookmarkStart w:id="5" w:name="_Toc176189755"/>
      <w:r>
        <w:rPr>
          <w:rFonts w:ascii="Times New Roman"/>
          <w:sz w:val="30"/>
        </w:rPr>
        <w:t>第</w:t>
      </w:r>
      <w:r>
        <w:rPr>
          <w:rFonts w:hint="eastAsia" w:ascii="Times New Roman"/>
          <w:sz w:val="30"/>
        </w:rPr>
        <w:t>三条</w:t>
      </w:r>
      <w:r>
        <w:rPr>
          <w:rFonts w:ascii="Times New Roman"/>
          <w:sz w:val="30"/>
        </w:rPr>
        <w:t xml:space="preserve">  </w:t>
      </w:r>
      <w:bookmarkStart w:id="6" w:name="_Toc79392573"/>
      <w:r>
        <w:rPr>
          <w:rFonts w:hint="eastAsia" w:ascii="Times New Roman"/>
          <w:sz w:val="30"/>
        </w:rPr>
        <w:t>理财产品的认购</w:t>
      </w:r>
      <w:bookmarkEnd w:id="4"/>
      <w:bookmarkEnd w:id="5"/>
    </w:p>
    <w:p>
      <w:pPr>
        <w:spacing w:line="360" w:lineRule="auto"/>
        <w:ind w:firstLine="361" w:firstLineChars="200"/>
        <w:rPr>
          <w:rFonts w:asciiTheme="minorEastAsia" w:hAnsiTheme="minorEastAsia"/>
          <w:b/>
          <w:bCs/>
          <w:sz w:val="18"/>
          <w:szCs w:val="18"/>
        </w:rPr>
      </w:pPr>
      <w:bookmarkStart w:id="7" w:name="_Hlt88031774"/>
      <w:bookmarkEnd w:id="7"/>
      <w:bookmarkStart w:id="8"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spacing w:line="360" w:lineRule="auto"/>
        <w:ind w:firstLine="360" w:firstLineChars="200"/>
        <w:rPr>
          <w:rFonts w:asciiTheme="minorEastAsia" w:hAnsiTheme="minorEastAsia"/>
          <w:bCs/>
          <w:kern w:val="0"/>
          <w:sz w:val="18"/>
          <w:szCs w:val="18"/>
        </w:rPr>
      </w:pPr>
      <w:r>
        <w:rPr>
          <w:rFonts w:hint="eastAsia" w:asciiTheme="minorEastAsia" w:hAnsiTheme="minorEastAsia"/>
          <w:bCs/>
          <w:sz w:val="18"/>
          <w:szCs w:val="18"/>
        </w:rPr>
        <w:t>认购期/募集期内投资者可</w:t>
      </w:r>
      <w:r>
        <w:rPr>
          <w:rFonts w:hint="eastAsia" w:asciiTheme="minorEastAsia" w:hAnsiTheme="minorEastAsia"/>
          <w:bCs/>
          <w:kern w:val="0"/>
          <w:sz w:val="18"/>
          <w:szCs w:val="18"/>
        </w:rPr>
        <w:t>提交认购申请</w:t>
      </w:r>
      <w:r>
        <w:rPr>
          <w:rFonts w:hint="eastAsia" w:asciiTheme="minorEastAsia" w:hAnsiTheme="minorEastAsia"/>
          <w:bCs/>
          <w:sz w:val="18"/>
          <w:szCs w:val="18"/>
        </w:rPr>
        <w:t>。</w:t>
      </w:r>
      <w:r>
        <w:rPr>
          <w:rFonts w:hint="eastAsia" w:asciiTheme="minorEastAsia" w:hAnsiTheme="minorEastAsia"/>
          <w:bCs/>
          <w:kern w:val="0"/>
          <w:sz w:val="18"/>
          <w:szCs w:val="18"/>
        </w:rPr>
        <w:t>提交认购申请并不代表认购成功，产品管理人将在认购确认日确认投资者是否认购成功，是否成功以管理人的确认结果为准。</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6"/>
    <w:bookmarkEnd w:id="8"/>
    <w:p>
      <w:pPr>
        <w:pStyle w:val="2"/>
        <w:spacing w:before="0" w:after="0" w:line="360" w:lineRule="auto"/>
        <w:jc w:val="center"/>
        <w:rPr>
          <w:rFonts w:ascii="Times New Roman"/>
          <w:sz w:val="30"/>
        </w:rPr>
      </w:pPr>
      <w:bookmarkStart w:id="9" w:name="_Toc176189756"/>
      <w:bookmarkStart w:id="10" w:name="_Toc4771"/>
      <w:bookmarkStart w:id="11" w:name="_Toc22074"/>
      <w:bookmarkStart w:id="12" w:name="_Toc15203"/>
      <w:bookmarkStart w:id="13" w:name="_Toc27189"/>
      <w:bookmarkStart w:id="14" w:name="_Toc29784"/>
      <w:bookmarkStart w:id="15" w:name="_Toc90742390"/>
      <w:bookmarkStart w:id="16" w:name="_Toc7151"/>
      <w:bookmarkStart w:id="17" w:name="_Toc74065741"/>
      <w:bookmarkStart w:id="18" w:name="_Toc3266"/>
      <w:bookmarkStart w:id="19" w:name="_Toc29948"/>
      <w:bookmarkStart w:id="20" w:name="_Toc27226"/>
      <w:bookmarkStart w:id="21" w:name="_Toc90742688"/>
      <w:bookmarkStart w:id="22" w:name="_Toc16265"/>
      <w:bookmarkStart w:id="23" w:name="_Toc90742321"/>
      <w:bookmarkStart w:id="24" w:name="_Toc79154668"/>
      <w:bookmarkStart w:id="25" w:name="_Toc6714"/>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9"/>
      <w:bookmarkEnd w:id="10"/>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6" w:name="_Toc176189757"/>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bCs/>
          <w:color w:val="auto"/>
          <w:sz w:val="18"/>
          <w:szCs w:val="18"/>
        </w:rPr>
      </w:pPr>
      <w:permStart w:id="14" w:edGrp="everyone"/>
      <w:r>
        <w:rPr>
          <w:rFonts w:hint="eastAsia" w:asciiTheme="majorEastAsia" w:hAnsiTheme="majorEastAsia" w:eastAsiaTheme="majorEastAsia"/>
          <w:color w:val="auto"/>
          <w:sz w:val="18"/>
          <w:szCs w:val="18"/>
        </w:rPr>
        <w:t>在严格控制组合风险的前提下，通过不断优化组合，力争实现超越业绩比较基准的收益</w:t>
      </w:r>
      <w:r>
        <w:rPr>
          <w:rFonts w:hint="eastAsia" w:asciiTheme="majorEastAsia" w:hAnsiTheme="majorEastAsia" w:eastAsiaTheme="majorEastAsia"/>
          <w:bCs/>
          <w:color w:val="auto"/>
          <w:sz w:val="18"/>
          <w:szCs w:val="18"/>
        </w:rPr>
        <w:t>。</w:t>
      </w:r>
    </w:p>
    <w:permEnd w:id="14"/>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5"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（3）债券借贷等。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（4）投资于上述资产的符合监管要求的公募基金、基金公司或子公司资产管理计划、证券公司资产管理计划、保险资产管理计划及信托计划等。</w:t>
      </w:r>
    </w:p>
    <w:p>
      <w:pPr>
        <w:pStyle w:val="34"/>
        <w:spacing w:line="360" w:lineRule="auto"/>
        <w:ind w:firstLine="360" w:firstLineChars="200"/>
        <w:jc w:val="both"/>
        <w:rPr>
          <w:rFonts w:asciiTheme="majorEastAsia" w:hAnsiTheme="majorEastAsia" w:eastAsiaTheme="majorEastAsia"/>
          <w:bCs/>
          <w:color w:val="auto"/>
          <w:sz w:val="18"/>
          <w:szCs w:val="18"/>
        </w:rPr>
      </w:pPr>
      <w:r>
        <w:rPr>
          <w:rFonts w:hint="eastAsia" w:asciiTheme="majorEastAsia" w:hAnsiTheme="majorEastAsia" w:eastAsiaTheme="majorEastAsia"/>
          <w:bCs/>
          <w:sz w:val="18"/>
          <w:szCs w:val="18"/>
        </w:rPr>
        <w:t>（5）其他风险不高于前述资产的资产</w:t>
      </w:r>
      <w:r>
        <w:rPr>
          <w:rFonts w:hint="eastAsia" w:asciiTheme="majorEastAsia" w:hAnsiTheme="majorEastAsia" w:eastAsiaTheme="majorEastAsia"/>
          <w:bCs/>
          <w:color w:val="auto"/>
          <w:sz w:val="18"/>
          <w:szCs w:val="18"/>
        </w:rPr>
        <w:t>。</w:t>
      </w:r>
    </w:p>
    <w:permEnd w:id="15"/>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spacing w:line="360" w:lineRule="auto"/>
        <w:ind w:firstLine="360" w:firstLineChars="200"/>
        <w:rPr>
          <w:rFonts w:hint="eastAsia" w:asciiTheme="majorEastAsia" w:hAnsiTheme="majorEastAsia" w:eastAsiaTheme="majorEastAsia"/>
          <w:bCs/>
          <w:sz w:val="18"/>
          <w:szCs w:val="18"/>
        </w:rPr>
      </w:pPr>
      <w:permStart w:id="16" w:edGrp="everyone"/>
      <w:r>
        <w:rPr>
          <w:rFonts w:hint="eastAsia" w:asciiTheme="majorEastAsia" w:hAnsiTheme="majorEastAsia" w:eastAsiaTheme="majorEastAsia"/>
          <w:bCs/>
          <w:kern w:val="0"/>
          <w:sz w:val="18"/>
          <w:szCs w:val="18"/>
        </w:rPr>
        <w:t>（</w:t>
      </w:r>
      <w:r>
        <w:rPr>
          <w:rFonts w:hint="eastAsia" w:asciiTheme="majorEastAsia" w:hAnsiTheme="majorEastAsia" w:eastAsiaTheme="majorEastAsia"/>
          <w:bCs/>
          <w:sz w:val="18"/>
          <w:szCs w:val="18"/>
        </w:rPr>
        <w:t xml:space="preserve">1）本产品投资于债权类资产的比例不低于产品总资产的80%。 </w:t>
      </w:r>
    </w:p>
    <w:p>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（2）本产品投资于金融衍生品类资产的比例合计不超过产品总资产的【20】%。</w:t>
      </w:r>
    </w:p>
    <w:p>
      <w:pPr>
        <w:autoSpaceDE w:val="0"/>
        <w:autoSpaceDN w:val="0"/>
        <w:adjustRightInd w:val="0"/>
        <w:spacing w:line="360" w:lineRule="auto"/>
        <w:ind w:firstLine="361" w:firstLineChars="200"/>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注：本产品可能投资不存在活跃交易市场，并且需要采用估值技术确定公允价值的资产，且投资上述资产的比例达到理财产品净资产50%以上。</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kern w:val="0"/>
          <w:sz w:val="18"/>
          <w:szCs w:val="18"/>
        </w:rPr>
      </w:pPr>
      <w:permStart w:id="18"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kern w:val="0"/>
          <w:sz w:val="18"/>
          <w:szCs w:val="18"/>
        </w:rPr>
        <w:t>1）</w:t>
      </w:r>
      <w:r>
        <w:rPr>
          <w:rFonts w:hint="eastAsia" w:asciiTheme="majorEastAsia" w:hAnsiTheme="majorEastAsia" w:eastAsiaTheme="majorEastAsia"/>
          <w:bCs/>
          <w:sz w:val="18"/>
          <w:szCs w:val="18"/>
        </w:rPr>
        <w:t>每只公募理财</w:t>
      </w:r>
      <w:r>
        <w:rPr>
          <w:rFonts w:hint="eastAsia" w:asciiTheme="majorEastAsia" w:hAnsiTheme="majorEastAsia" w:eastAsiaTheme="majorEastAsia"/>
          <w:bCs/>
          <w:kern w:val="0"/>
          <w:sz w:val="18"/>
          <w:szCs w:val="18"/>
        </w:rPr>
        <w:t>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（3）本产品因为流动性需要可开展存单质押、债券正回购等融资业务，本产品总资产不超过净资产的200%。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sz w:val="18"/>
          <w:szCs w:val="18"/>
        </w:rPr>
      </w:pPr>
      <w:permStart w:id="19" w:edGrp="everyone"/>
      <w:r>
        <w:rPr>
          <w:rFonts w:hint="eastAsia" w:asciiTheme="majorEastAsia" w:hAnsiTheme="majorEastAsia" w:eastAsiaTheme="majorEastAsia"/>
          <w:sz w:val="18"/>
          <w:szCs w:val="18"/>
        </w:rPr>
        <w:t>【</w:t>
      </w:r>
      <w:r>
        <w:rPr>
          <w:rFonts w:hint="eastAsia" w:hAnsi="宋体"/>
          <w:bCs/>
          <w:sz w:val="18"/>
          <w:szCs w:val="18"/>
        </w:rPr>
        <w:t>本产品采取债券配置策略，判断债券在经济和货币周期不同阶段的相对投资价值，确定不同期限和不同类型债券的配置价值，实现组合的稳健增值。产品整体以稳定类固定收益资产为主要投资标的、获取票息作为基础收益，同时参与债券资产的交易类机会、博取一定的弹性收益，是以低波动、绝对收益为目标进行投资管理。</w:t>
      </w:r>
      <w:r>
        <w:rPr>
          <w:rFonts w:hint="eastAsia" w:asciiTheme="majorEastAsia" w:hAnsiTheme="majorEastAsia" w:eastAsiaTheme="majorEastAsia"/>
          <w:sz w:val="18"/>
          <w:szCs w:val="18"/>
        </w:rPr>
        <w:t>】</w:t>
      </w:r>
    </w:p>
    <w:permEnd w:id="19"/>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7" w:name="_Toc176189758"/>
      <w:bookmarkStart w:id="28" w:name="_Toc18329"/>
      <w:bookmarkStart w:id="29" w:name="_Toc17912"/>
      <w:bookmarkStart w:id="30" w:name="_Toc18797"/>
      <w:bookmarkStart w:id="31" w:name="_Toc1823"/>
      <w:bookmarkStart w:id="32" w:name="_Toc7848"/>
      <w:bookmarkStart w:id="33" w:name="_Toc18526"/>
      <w:bookmarkStart w:id="34" w:name="_Toc74065742"/>
      <w:bookmarkStart w:id="35" w:name="_Toc14893"/>
      <w:bookmarkStart w:id="36" w:name="_Toc26986"/>
      <w:bookmarkStart w:id="37" w:name="_Toc4741"/>
      <w:bookmarkStart w:id="38" w:name="_Toc21988"/>
      <w:bookmarkStart w:id="39" w:name="_Toc139991735"/>
      <w:bookmarkStart w:id="40" w:name="_Toc79154669"/>
      <w:bookmarkStart w:id="41" w:name="_Toc141703885"/>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34"/>
        <w:spacing w:line="360" w:lineRule="auto"/>
        <w:ind w:firstLine="361" w:firstLineChars="200"/>
        <w:rPr>
          <w:rFonts w:asciiTheme="majorEastAsia" w:hAnsiTheme="majorEastAsia" w:eastAsiaTheme="majorEastAsia"/>
          <w:b/>
          <w:color w:val="auto"/>
          <w:sz w:val="18"/>
          <w:szCs w:val="18"/>
        </w:rPr>
      </w:pPr>
      <w:bookmarkStart w:id="42"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2"/>
    <w:p>
      <w:pPr>
        <w:pStyle w:val="2"/>
        <w:spacing w:before="0" w:after="0" w:line="360" w:lineRule="auto"/>
        <w:jc w:val="center"/>
        <w:rPr>
          <w:rFonts w:ascii="Times New Roman"/>
          <w:sz w:val="30"/>
        </w:rPr>
      </w:pPr>
      <w:bookmarkStart w:id="43" w:name="_Toc1270"/>
      <w:bookmarkStart w:id="44" w:name="_Toc141703886"/>
      <w:bookmarkStart w:id="45" w:name="_Toc610"/>
      <w:bookmarkStart w:id="46" w:name="_Toc79392606"/>
      <w:bookmarkStart w:id="47" w:name="_Toc1427"/>
      <w:bookmarkStart w:id="48" w:name="_Toc20733"/>
      <w:bookmarkStart w:id="49" w:name="_Toc123051452"/>
      <w:bookmarkStart w:id="50" w:name="_Toc79154670"/>
      <w:bookmarkStart w:id="51" w:name="_Toc123102453"/>
      <w:bookmarkStart w:id="52" w:name="_Toc23822"/>
      <w:bookmarkStart w:id="53" w:name="_Toc74065743"/>
      <w:bookmarkStart w:id="54" w:name="_Toc176189759"/>
      <w:bookmarkStart w:id="55" w:name="_Toc17244"/>
      <w:bookmarkStart w:id="56" w:name="_Toc4003"/>
      <w:bookmarkStart w:id="57" w:name="_Toc98560352"/>
      <w:bookmarkStart w:id="58" w:name="_Toc139991736"/>
      <w:bookmarkStart w:id="59" w:name="_Toc23261"/>
      <w:bookmarkStart w:id="60" w:name="_Toc7920"/>
      <w:bookmarkStart w:id="61" w:name="_Toc48649707"/>
      <w:bookmarkStart w:id="62" w:name="_Toc123112234"/>
      <w:bookmarkStart w:id="63" w:name="_Toc10463"/>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firstLineChars="200"/>
        <w:rPr>
          <w:rFonts w:hAnsi="宋体"/>
          <w:b/>
          <w:bCs/>
          <w:sz w:val="18"/>
          <w:szCs w:val="18"/>
        </w:rPr>
      </w:pPr>
      <w:r>
        <w:rPr>
          <w:rFonts w:hint="eastAsia" w:hAnsi="宋体"/>
          <w:b/>
          <w:bCs/>
          <w:sz w:val="18"/>
          <w:szCs w:val="18"/>
        </w:rPr>
        <w:t>（一）估值目的</w:t>
      </w:r>
    </w:p>
    <w:p>
      <w:pPr>
        <w:pStyle w:val="34"/>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pPr>
        <w:pStyle w:val="34"/>
        <w:spacing w:line="360" w:lineRule="auto"/>
        <w:ind w:firstLine="361" w:firstLineChars="200"/>
        <w:rPr>
          <w:rFonts w:hAnsi="宋体"/>
          <w:b/>
          <w:bCs/>
          <w:sz w:val="18"/>
          <w:szCs w:val="18"/>
        </w:rPr>
      </w:pPr>
      <w:r>
        <w:rPr>
          <w:rFonts w:hint="eastAsia" w:hAnsi="宋体"/>
          <w:b/>
          <w:bCs/>
          <w:sz w:val="18"/>
          <w:szCs w:val="18"/>
        </w:rPr>
        <w:t>（二）估值频率</w:t>
      </w:r>
    </w:p>
    <w:p>
      <w:pPr>
        <w:pStyle w:val="34"/>
        <w:spacing w:line="360" w:lineRule="auto"/>
        <w:ind w:firstLine="450" w:firstLineChars="250"/>
        <w:rPr>
          <w:sz w:val="18"/>
          <w:szCs w:val="18"/>
        </w:rPr>
      </w:pPr>
      <w:permStart w:id="20" w:edGrp="everyone"/>
      <w:r>
        <w:rPr>
          <w:rFonts w:hint="eastAsia" w:hAnsi="宋体"/>
          <w:sz w:val="18"/>
          <w:szCs w:val="18"/>
        </w:rPr>
        <w:t>本产品存续期间，每【周】进行一次估值。如遇产品到期日、季度末、半年度末、年度末等时间节点管理人将增加估值日。</w:t>
      </w:r>
    </w:p>
    <w:permEnd w:id="20"/>
    <w:p>
      <w:pPr>
        <w:pStyle w:val="34"/>
        <w:spacing w:line="360" w:lineRule="auto"/>
        <w:ind w:firstLine="452" w:firstLineChars="250"/>
        <w:rPr>
          <w:rFonts w:hAnsi="宋体"/>
          <w:b/>
          <w:bCs/>
          <w:sz w:val="18"/>
          <w:szCs w:val="18"/>
        </w:rPr>
      </w:pPr>
      <w:r>
        <w:rPr>
          <w:rFonts w:hint="eastAsia" w:hAnsi="宋体"/>
          <w:b/>
          <w:bCs/>
          <w:sz w:val="18"/>
          <w:szCs w:val="18"/>
        </w:rPr>
        <w:t>（三）估值对象</w:t>
      </w:r>
    </w:p>
    <w:p>
      <w:pPr>
        <w:pStyle w:val="34"/>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pPr>
        <w:pStyle w:val="34"/>
        <w:spacing w:line="360" w:lineRule="auto"/>
        <w:ind w:firstLine="452" w:firstLineChars="250"/>
        <w:rPr>
          <w:rFonts w:hAnsi="宋体"/>
          <w:b/>
          <w:bCs/>
          <w:sz w:val="18"/>
          <w:szCs w:val="18"/>
        </w:rPr>
      </w:pPr>
      <w:r>
        <w:rPr>
          <w:rFonts w:hint="eastAsia" w:hAnsi="宋体"/>
          <w:b/>
          <w:bCs/>
          <w:sz w:val="18"/>
          <w:szCs w:val="18"/>
        </w:rPr>
        <w:t>（四）估值方法</w:t>
      </w:r>
    </w:p>
    <w:p>
      <w:pPr>
        <w:pStyle w:val="34"/>
        <w:spacing w:line="360" w:lineRule="auto"/>
        <w:ind w:firstLine="360" w:firstLineChars="200"/>
        <w:rPr>
          <w:rFonts w:hAnsi="宋体"/>
          <w:bCs/>
          <w:sz w:val="18"/>
          <w:szCs w:val="18"/>
        </w:rPr>
      </w:pPr>
      <w:r>
        <w:rPr>
          <w:rFonts w:hAnsi="宋体"/>
          <w:bCs/>
          <w:sz w:val="18"/>
          <w:szCs w:val="18"/>
        </w:rPr>
        <w:t>1.标准化债权类资产估值</w:t>
      </w:r>
    </w:p>
    <w:p>
      <w:pPr>
        <w:pStyle w:val="34"/>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4"/>
        <w:spacing w:line="360" w:lineRule="auto"/>
        <w:ind w:firstLine="360" w:firstLineChars="200"/>
        <w:rPr>
          <w:rFonts w:hAnsi="宋体"/>
          <w:sz w:val="18"/>
          <w:szCs w:val="18"/>
        </w:rPr>
      </w:pPr>
      <w:r>
        <w:rPr>
          <w:rFonts w:hint="eastAsia" w:hAnsi="宋体"/>
          <w:sz w:val="18"/>
          <w:szCs w:val="18"/>
        </w:rPr>
        <w:t>（1）投资以收取合同现金流量为目的并持有到期的债券，可使用摊余成本计量。</w:t>
      </w:r>
    </w:p>
    <w:p>
      <w:pPr>
        <w:pStyle w:val="34"/>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pPr>
        <w:pStyle w:val="34"/>
        <w:spacing w:line="360" w:lineRule="auto"/>
        <w:ind w:firstLine="360" w:firstLineChars="200"/>
        <w:rPr>
          <w:rFonts w:hAnsi="宋体"/>
          <w:sz w:val="18"/>
          <w:szCs w:val="18"/>
        </w:rPr>
      </w:pPr>
      <w:r>
        <w:rPr>
          <w:rFonts w:hint="eastAsia" w:hAnsi="宋体"/>
          <w:sz w:val="18"/>
          <w:szCs w:val="18"/>
        </w:rPr>
        <w:t>（3）在证券交易所上市的债券，如第三方估值机构提供的估值价格与市场收盘价存在差异，且管理人认为收盘价更能体现其公允价值，可与托管人协商一致后采用收盘价进行估值。</w:t>
      </w:r>
    </w:p>
    <w:p>
      <w:pPr>
        <w:pStyle w:val="34"/>
        <w:spacing w:line="360" w:lineRule="auto"/>
        <w:ind w:firstLine="360" w:firstLineChars="200"/>
        <w:rPr>
          <w:rFonts w:hAnsi="宋体"/>
          <w:sz w:val="18"/>
          <w:szCs w:val="18"/>
        </w:rPr>
      </w:pPr>
      <w:r>
        <w:rPr>
          <w:rFonts w:hint="eastAsia" w:hAnsi="宋体"/>
          <w:sz w:val="18"/>
          <w:szCs w:val="18"/>
        </w:rPr>
        <w:t>（4）对在交易所市场挂牌交易的资产支持证券和私募债券，鉴于其不存在活跃市场或未来现金流难以确定，导致第三方估值数据和市场收盘价均无法准确反映其公允价值的，可采用估值技术对其进行估值，管理人会对估值模型的有效性进行持续有效评估，并尽可能予以修正。</w:t>
      </w:r>
    </w:p>
    <w:p>
      <w:pPr>
        <w:pStyle w:val="34"/>
        <w:spacing w:line="360" w:lineRule="auto"/>
        <w:ind w:firstLine="360" w:firstLineChars="200"/>
        <w:rPr>
          <w:rFonts w:hAnsi="宋体"/>
          <w:sz w:val="18"/>
          <w:szCs w:val="18"/>
        </w:rPr>
      </w:pPr>
      <w:r>
        <w:rPr>
          <w:rFonts w:hint="eastAsia" w:hAnsi="宋体"/>
          <w:sz w:val="18"/>
          <w:szCs w:val="18"/>
        </w:rPr>
        <w:t>（5）对在银行间市场或交易所市场已发行未上市的债券，且第三方估值机构未提供估值数据，采用估值技术确定其公允价值。</w:t>
      </w:r>
    </w:p>
    <w:p>
      <w:pPr>
        <w:pStyle w:val="34"/>
        <w:spacing w:line="360" w:lineRule="auto"/>
        <w:ind w:firstLine="360" w:firstLineChars="200"/>
        <w:rPr>
          <w:rFonts w:hAnsi="宋体"/>
          <w:sz w:val="18"/>
          <w:szCs w:val="18"/>
        </w:rPr>
      </w:pPr>
      <w:r>
        <w:rPr>
          <w:rFonts w:hint="eastAsia" w:hAnsi="宋体"/>
          <w:sz w:val="18"/>
          <w:szCs w:val="18"/>
        </w:rPr>
        <w:t>（6）同一债券同时在两个或两个以上市场交易的，按债券所处的市场及相应的估值标准，分别进行估值。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color w:val="auto"/>
          <w:sz w:val="18"/>
        </w:rPr>
        <w:t>2.</w:t>
      </w:r>
      <w:r>
        <w:rPr>
          <w:rFonts w:hint="eastAsia" w:asciiTheme="majorEastAsia" w:hAnsiTheme="majorEastAsia" w:eastAsiaTheme="majorEastAsia"/>
          <w:bCs/>
          <w:color w:val="auto"/>
          <w:sz w:val="18"/>
          <w:szCs w:val="18"/>
        </w:rPr>
        <w:t>境外债券</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4"/>
        <w:spacing w:line="360" w:lineRule="auto"/>
        <w:ind w:firstLine="360" w:firstLineChars="200"/>
        <w:rPr>
          <w:rFonts w:hAnsi="宋体"/>
          <w:sz w:val="18"/>
          <w:szCs w:val="18"/>
        </w:rPr>
      </w:pPr>
      <w:r>
        <w:rPr>
          <w:rFonts w:hAnsi="宋体"/>
          <w:bCs/>
          <w:sz w:val="18"/>
          <w:szCs w:val="18"/>
        </w:rPr>
        <w:t>3.非标准化债权类资产</w:t>
      </w:r>
    </w:p>
    <w:p>
      <w:pPr>
        <w:pStyle w:val="34"/>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若无法采用估值技术可靠计量公允价值，可按摊余成本计量。</w:t>
      </w:r>
    </w:p>
    <w:p>
      <w:pPr>
        <w:pStyle w:val="34"/>
        <w:spacing w:line="360" w:lineRule="auto"/>
        <w:ind w:firstLine="360" w:firstLineChars="200"/>
        <w:rPr>
          <w:rFonts w:hAnsi="宋体"/>
          <w:bCs/>
          <w:sz w:val="18"/>
          <w:szCs w:val="18"/>
        </w:rPr>
      </w:pPr>
      <w:r>
        <w:rPr>
          <w:rFonts w:hAnsi="宋体"/>
          <w:bCs/>
          <w:sz w:val="18"/>
          <w:szCs w:val="18"/>
        </w:rPr>
        <w:t>4.上市公司股票估值</w:t>
      </w:r>
    </w:p>
    <w:p>
      <w:pPr>
        <w:pStyle w:val="34"/>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pPr>
        <w:pStyle w:val="34"/>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pPr>
        <w:pStyle w:val="34"/>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pPr>
        <w:pStyle w:val="34"/>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pPr>
        <w:pStyle w:val="34"/>
        <w:spacing w:line="360" w:lineRule="auto"/>
        <w:ind w:firstLine="360" w:firstLineChars="200"/>
        <w:rPr>
          <w:rFonts w:hAnsi="宋体"/>
          <w:bCs/>
          <w:sz w:val="18"/>
          <w:szCs w:val="18"/>
        </w:rPr>
      </w:pPr>
      <w:r>
        <w:rPr>
          <w:rFonts w:hAnsi="宋体"/>
          <w:bCs/>
          <w:sz w:val="18"/>
          <w:szCs w:val="18"/>
        </w:rPr>
        <w:t>5.未上市公司股权</w:t>
      </w:r>
    </w:p>
    <w:p>
      <w:pPr>
        <w:pStyle w:val="34"/>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p>
    <w:p>
      <w:pPr>
        <w:pStyle w:val="34"/>
        <w:spacing w:line="360" w:lineRule="auto"/>
        <w:ind w:firstLine="360" w:firstLineChars="200"/>
        <w:rPr>
          <w:rFonts w:hAnsi="宋体"/>
          <w:bCs/>
          <w:sz w:val="18"/>
          <w:szCs w:val="18"/>
        </w:rPr>
      </w:pPr>
      <w:r>
        <w:rPr>
          <w:rFonts w:hAnsi="宋体"/>
          <w:bCs/>
          <w:sz w:val="18"/>
          <w:szCs w:val="18"/>
        </w:rPr>
        <w:t>6.优先股</w:t>
      </w:r>
    </w:p>
    <w:p>
      <w:pPr>
        <w:pStyle w:val="34"/>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4"/>
        <w:spacing w:line="360" w:lineRule="auto"/>
        <w:ind w:firstLine="360" w:firstLineChars="200"/>
        <w:rPr>
          <w:rFonts w:hAnsi="宋体"/>
          <w:bCs/>
          <w:sz w:val="18"/>
          <w:szCs w:val="18"/>
        </w:rPr>
      </w:pPr>
      <w:r>
        <w:rPr>
          <w:rFonts w:hAnsi="宋体"/>
          <w:bCs/>
          <w:sz w:val="18"/>
          <w:szCs w:val="18"/>
        </w:rPr>
        <w:t>7.证券投资基金估值</w:t>
      </w:r>
    </w:p>
    <w:p>
      <w:pPr>
        <w:pStyle w:val="34"/>
        <w:spacing w:line="360" w:lineRule="auto"/>
        <w:ind w:firstLine="360" w:firstLineChars="200"/>
        <w:rPr>
          <w:rFonts w:hAnsi="宋体"/>
          <w:sz w:val="18"/>
          <w:szCs w:val="18"/>
        </w:rPr>
      </w:pPr>
      <w:r>
        <w:rPr>
          <w:rFonts w:hint="eastAsia" w:hAnsi="宋体"/>
          <w:sz w:val="18"/>
          <w:szCs w:val="18"/>
        </w:rPr>
        <w:t>（1）非上市基金估值</w:t>
      </w:r>
    </w:p>
    <w:p>
      <w:pPr>
        <w:pStyle w:val="34"/>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1)本产品投资的境内非货币市场基金，按所投资基金估值日的基金份额净值估值；估值日基金净值未公布的，以基金管理人公布的最近一个工作日基金份额净值计算。</w:t>
      </w:r>
    </w:p>
    <w:p>
      <w:pPr>
        <w:pStyle w:val="34"/>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p>
    <w:p>
      <w:pPr>
        <w:pStyle w:val="34"/>
        <w:spacing w:line="360" w:lineRule="auto"/>
        <w:ind w:firstLine="360" w:firstLineChars="200"/>
        <w:rPr>
          <w:rFonts w:hAnsi="宋体"/>
          <w:sz w:val="18"/>
          <w:szCs w:val="18"/>
        </w:rPr>
      </w:pPr>
      <w:r>
        <w:rPr>
          <w:rFonts w:hint="eastAsia" w:hAnsi="宋体"/>
          <w:sz w:val="18"/>
          <w:szCs w:val="18"/>
        </w:rPr>
        <w:t>（2）上市基金估值</w:t>
      </w:r>
    </w:p>
    <w:p>
      <w:pPr>
        <w:pStyle w:val="34"/>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pPr>
        <w:pStyle w:val="34"/>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2)本产品投资的境内上市开放式基金（LOF），按所投资基金估值日的基金份额净值估值；估值日基金净值未公布的，以基金管理人公布的最近一个工作日基金份额净值计算。</w:t>
      </w:r>
    </w:p>
    <w:p>
      <w:pPr>
        <w:pStyle w:val="34"/>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pPr>
        <w:pStyle w:val="34"/>
        <w:spacing w:line="360" w:lineRule="auto"/>
        <w:ind w:firstLine="360" w:firstLineChars="200"/>
        <w:rPr>
          <w:rFonts w:hAnsi="宋体"/>
          <w:bCs/>
          <w:sz w:val="18"/>
          <w:szCs w:val="18"/>
        </w:rPr>
      </w:pPr>
      <w:r>
        <w:rPr>
          <w:rFonts w:hAnsi="宋体"/>
          <w:bCs/>
          <w:sz w:val="18"/>
          <w:szCs w:val="18"/>
        </w:rPr>
        <w:t>8.其他资产管理产品的估值</w:t>
      </w:r>
    </w:p>
    <w:p>
      <w:pPr>
        <w:pStyle w:val="34"/>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w:t>
      </w:r>
      <w:r>
        <w:rPr>
          <w:rFonts w:hint="eastAsia" w:asciiTheme="minorEastAsia" w:hAnsiTheme="minorEastAsia" w:eastAsiaTheme="minorEastAsia"/>
          <w:bCs/>
          <w:sz w:val="18"/>
          <w:szCs w:val="18"/>
        </w:rPr>
        <w:t>若无法获取净值，产品管理人可与托管人商定后，采用在当前情况下适用的估值技术确定公允价值。</w:t>
      </w:r>
    </w:p>
    <w:p>
      <w:pPr>
        <w:pStyle w:val="34"/>
        <w:spacing w:line="360" w:lineRule="auto"/>
        <w:ind w:firstLine="360" w:firstLineChars="200"/>
        <w:rPr>
          <w:rFonts w:hAnsi="宋体"/>
          <w:bCs/>
          <w:sz w:val="18"/>
          <w:szCs w:val="18"/>
        </w:rPr>
      </w:pPr>
      <w:r>
        <w:rPr>
          <w:rFonts w:hAnsi="宋体"/>
          <w:bCs/>
          <w:sz w:val="18"/>
          <w:szCs w:val="18"/>
        </w:rPr>
        <w:t>9.衍生金融工具估值</w:t>
      </w:r>
    </w:p>
    <w:p>
      <w:pPr>
        <w:pStyle w:val="34"/>
        <w:spacing w:line="360" w:lineRule="auto"/>
        <w:ind w:firstLine="360" w:firstLineChars="200"/>
        <w:rPr>
          <w:rFonts w:hAnsi="宋体"/>
          <w:sz w:val="18"/>
          <w:szCs w:val="18"/>
        </w:rPr>
      </w:pPr>
      <w:r>
        <w:rPr>
          <w:rFonts w:hint="eastAsia" w:hAnsi="宋体"/>
          <w:sz w:val="18"/>
          <w:szCs w:val="18"/>
        </w:rPr>
        <w:t xml:space="preserve">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 </w:t>
      </w:r>
    </w:p>
    <w:p>
      <w:pPr>
        <w:pStyle w:val="34"/>
        <w:spacing w:line="360" w:lineRule="auto"/>
        <w:ind w:firstLine="360" w:firstLineChars="200"/>
        <w:rPr>
          <w:rFonts w:hAnsi="宋体"/>
          <w:bCs/>
          <w:sz w:val="18"/>
          <w:szCs w:val="18"/>
        </w:rPr>
      </w:pPr>
      <w:r>
        <w:rPr>
          <w:rFonts w:hAnsi="宋体"/>
          <w:bCs/>
          <w:sz w:val="18"/>
          <w:szCs w:val="18"/>
        </w:rPr>
        <w:t>10.存款、拆借、回购等货币市场工具的估值</w:t>
      </w:r>
    </w:p>
    <w:p>
      <w:pPr>
        <w:pStyle w:val="34"/>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pPr>
        <w:pStyle w:val="34"/>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4"/>
        <w:spacing w:line="360" w:lineRule="auto"/>
        <w:ind w:firstLine="360" w:firstLineChars="200"/>
        <w:rPr>
          <w:rFonts w:ascii="黑体" w:hAnsi="黑体" w:eastAsia="黑体"/>
          <w:sz w:val="18"/>
          <w:szCs w:val="18"/>
        </w:rPr>
      </w:pPr>
      <w:r>
        <w:rPr>
          <w:rFonts w:ascii="黑体" w:hAnsi="黑体" w:eastAsia="黑体"/>
          <w:sz w:val="18"/>
          <w:szCs w:val="18"/>
        </w:rPr>
        <w:t>12.★估值方法的调整</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pPr>
        <w:pStyle w:val="34"/>
        <w:spacing w:line="360" w:lineRule="auto"/>
        <w:ind w:firstLine="361" w:firstLineChars="200"/>
        <w:rPr>
          <w:rFonts w:hAnsi="宋体"/>
          <w:b/>
          <w:bCs/>
          <w:sz w:val="18"/>
          <w:szCs w:val="18"/>
        </w:rPr>
      </w:pPr>
      <w:r>
        <w:rPr>
          <w:rFonts w:hint="eastAsia" w:hAnsi="宋体"/>
          <w:b/>
          <w:bCs/>
          <w:sz w:val="18"/>
          <w:szCs w:val="18"/>
        </w:rPr>
        <w:t>（五）估值程序</w:t>
      </w:r>
    </w:p>
    <w:p>
      <w:pPr>
        <w:pStyle w:val="34"/>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1.产品份额净值是按照估值日产品资产净值除以当日产品总份额计算，四舍五入保留5位小数。国家另有规定的，从其规定。</w:t>
      </w:r>
    </w:p>
    <w:p>
      <w:pPr>
        <w:pStyle w:val="34"/>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pPr>
        <w:pStyle w:val="34"/>
        <w:spacing w:line="360" w:lineRule="auto"/>
        <w:ind w:firstLine="360" w:firstLineChars="200"/>
        <w:rPr>
          <w:rFonts w:hAnsi="宋体"/>
          <w:sz w:val="18"/>
          <w:szCs w:val="18"/>
        </w:rPr>
      </w:pPr>
      <w:r>
        <w:rPr>
          <w:rFonts w:hint="eastAsia" w:hAnsi="宋体"/>
          <w:sz w:val="18"/>
          <w:szCs w:val="18"/>
        </w:rPr>
        <w:t xml:space="preserve">3. 如产品管理人或产品托管人发现理财估值违反本说明书约定的估值方法、程序及相关法律法规的规定或者未能充分维护理财份额持有人权益时，应立即通知对方，共同查明原因，双方协商解决。 </w:t>
      </w:r>
    </w:p>
    <w:p>
      <w:pPr>
        <w:pStyle w:val="34"/>
        <w:spacing w:line="360" w:lineRule="auto"/>
        <w:ind w:firstLine="361" w:firstLineChars="200"/>
        <w:rPr>
          <w:rFonts w:hAnsi="宋体"/>
          <w:b/>
          <w:bCs/>
          <w:sz w:val="18"/>
          <w:szCs w:val="18"/>
        </w:rPr>
      </w:pPr>
      <w:r>
        <w:rPr>
          <w:rFonts w:hint="eastAsia" w:hAnsi="宋体"/>
          <w:b/>
          <w:bCs/>
          <w:sz w:val="18"/>
          <w:szCs w:val="18"/>
        </w:rPr>
        <w:t>（六）估值主体</w:t>
      </w:r>
    </w:p>
    <w:p>
      <w:pPr>
        <w:pStyle w:val="34"/>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64" w:name="_Hlt70481650"/>
      <w:bookmarkEnd w:id="64"/>
      <w:bookmarkStart w:id="65" w:name="_Toc139991737"/>
      <w:bookmarkStart w:id="66" w:name="_Toc14835"/>
      <w:bookmarkStart w:id="67" w:name="_Toc31644"/>
      <w:bookmarkStart w:id="68" w:name="_Toc79154671"/>
      <w:bookmarkStart w:id="69" w:name="_Toc74065744"/>
      <w:bookmarkStart w:id="70" w:name="_Toc26207"/>
      <w:bookmarkStart w:id="71" w:name="_Toc123051453"/>
      <w:bookmarkStart w:id="72" w:name="_Toc123112235"/>
      <w:bookmarkStart w:id="73" w:name="_Toc29251"/>
      <w:bookmarkStart w:id="74" w:name="_Toc176189760"/>
      <w:bookmarkStart w:id="75" w:name="_Toc6405"/>
      <w:bookmarkStart w:id="76" w:name="_Toc123102454"/>
      <w:bookmarkStart w:id="77" w:name="_Toc31235"/>
      <w:bookmarkStart w:id="78" w:name="_Toc31653"/>
      <w:bookmarkStart w:id="79" w:name="_Toc141703887"/>
      <w:bookmarkStart w:id="80" w:name="_Toc3601"/>
      <w:bookmarkStart w:id="81" w:name="_Toc12245"/>
      <w:bookmarkStart w:id="82" w:name="_Toc15143"/>
      <w:bookmarkStart w:id="83" w:name="_Toc98560353"/>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Hlt55355235"/>
      <w:bookmarkEnd w:id="84"/>
      <w:bookmarkStart w:id="85" w:name="_Toc79392580"/>
      <w:bookmarkStart w:id="86" w:name="_Toc57530239"/>
      <w:bookmarkStart w:id="87" w:name="_Toc15118234"/>
      <w:bookmarkStart w:id="88" w:name="_Toc523711668"/>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0" w:firstLineChars="200"/>
        <w:rPr>
          <w:rFonts w:hAnsi="宋体"/>
          <w:bCs/>
          <w:color w:val="auto"/>
          <w:sz w:val="18"/>
          <w:szCs w:val="18"/>
        </w:rPr>
      </w:pPr>
      <w:permStart w:id="21" w:edGrp="everyone"/>
      <w:r>
        <w:rPr>
          <w:rFonts w:hAnsi="宋体"/>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outlineLvl w:val="2"/>
        <w:rPr>
          <w:rFonts w:hAnsi="宋体"/>
          <w:color w:val="auto"/>
          <w:sz w:val="18"/>
          <w:szCs w:val="18"/>
        </w:rPr>
      </w:pPr>
      <w:permStart w:id="22" w:edGrp="everyone"/>
      <w:r>
        <w:rPr>
          <w:rFonts w:hint="eastAsia" w:hAnsi="宋体"/>
          <w:color w:val="auto"/>
          <w:sz w:val="18"/>
          <w:szCs w:val="18"/>
        </w:rPr>
        <w:t>1.理财利益的分配日</w:t>
      </w:r>
    </w:p>
    <w:p>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4"/>
        <w:spacing w:line="360" w:lineRule="auto"/>
        <w:ind w:firstLine="360" w:firstLineChars="200"/>
        <w:outlineLvl w:val="2"/>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pPr>
        <w:widowControl/>
        <w:spacing w:line="360" w:lineRule="auto"/>
        <w:jc w:val="left"/>
        <w:rPr>
          <w:rFonts w:ascii="宋体" w:hAnsi="宋体"/>
          <w:kern w:val="0"/>
          <w:sz w:val="18"/>
          <w:szCs w:val="18"/>
        </w:rPr>
      </w:pPr>
      <w:r>
        <w:rPr>
          <w:rFonts w:hAnsi="宋体"/>
          <w:sz w:val="18"/>
          <w:szCs w:val="18"/>
        </w:rPr>
        <w:br w:type="page"/>
      </w:r>
    </w:p>
    <w:bookmarkEnd w:id="85"/>
    <w:bookmarkEnd w:id="86"/>
    <w:bookmarkEnd w:id="87"/>
    <w:bookmarkEnd w:id="88"/>
    <w:p>
      <w:pPr>
        <w:pStyle w:val="2"/>
        <w:spacing w:before="0" w:after="0" w:line="360" w:lineRule="auto"/>
        <w:jc w:val="center"/>
        <w:rPr>
          <w:rFonts w:ascii="Times New Roman"/>
          <w:sz w:val="30"/>
        </w:rPr>
      </w:pPr>
      <w:bookmarkStart w:id="89" w:name="_Hlt88825574"/>
      <w:bookmarkEnd w:id="89"/>
      <w:bookmarkStart w:id="90" w:name="_Hlt88897298"/>
      <w:bookmarkEnd w:id="90"/>
      <w:bookmarkStart w:id="91" w:name="_Toc4559"/>
      <w:bookmarkStart w:id="92" w:name="_Toc25783"/>
      <w:bookmarkStart w:id="93" w:name="_Toc18567"/>
      <w:bookmarkStart w:id="94" w:name="_Toc141703888"/>
      <w:bookmarkStart w:id="95" w:name="_Toc74065745"/>
      <w:bookmarkStart w:id="96" w:name="_Toc3321"/>
      <w:bookmarkStart w:id="97" w:name="_Toc176189761"/>
      <w:bookmarkStart w:id="98" w:name="_Toc11030"/>
      <w:bookmarkStart w:id="99" w:name="_Toc139991738"/>
      <w:bookmarkStart w:id="100" w:name="_Toc7058"/>
      <w:bookmarkStart w:id="101" w:name="_Toc9706"/>
      <w:bookmarkStart w:id="102" w:name="_Toc79392583"/>
      <w:bookmarkStart w:id="103" w:name="_Toc79154672"/>
      <w:bookmarkStart w:id="104" w:name="_Toc10650"/>
      <w:bookmarkStart w:id="105" w:name="_Toc123112236"/>
      <w:bookmarkStart w:id="106" w:name="_Toc98560354"/>
      <w:bookmarkStart w:id="107" w:name="_Toc3771"/>
      <w:bookmarkStart w:id="108" w:name="_Toc123102455"/>
      <w:bookmarkStart w:id="109" w:name="_Toc6447"/>
      <w:bookmarkStart w:id="110" w:name="_Toc123051454"/>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w:t>
      </w:r>
    </w:p>
    <w:p>
      <w:pPr>
        <w:widowControl/>
        <w:spacing w:line="360" w:lineRule="auto"/>
        <w:ind w:firstLine="360" w:firstLineChars="200"/>
        <w:jc w:val="left"/>
        <w:rPr>
          <w:rFonts w:ascii="宋体" w:hAnsi="宋体"/>
          <w:sz w:val="18"/>
          <w:szCs w:val="18"/>
        </w:rPr>
      </w:pP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numPr>
          <w:ilvl w:val="0"/>
          <w:numId w:val="2"/>
        </w:numPr>
        <w:spacing w:line="360" w:lineRule="auto"/>
        <w:ind w:firstLine="360" w:firstLineChars="200"/>
        <w:jc w:val="left"/>
        <w:rPr>
          <w:rFonts w:hint="eastAsia" w:ascii="宋体" w:hAnsi="宋体"/>
          <w:kern w:val="0"/>
          <w:sz w:val="18"/>
          <w:szCs w:val="18"/>
        </w:rPr>
      </w:pPr>
      <w:permStart w:id="23" w:edGrp="everyone"/>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hint="eastAsia" w:ascii="宋体" w:hAnsi="宋体" w:eastAsiaTheme="majorEastAsia"/>
          <w:kern w:val="0"/>
          <w:sz w:val="18"/>
          <w:szCs w:val="18"/>
          <w:lang w:eastAsia="zh-CN"/>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r>
        <w:rPr>
          <w:rFonts w:hint="eastAsia" w:asciiTheme="majorEastAsia" w:hAnsiTheme="majorEastAsia" w:eastAsiaTheme="majorEastAsia"/>
          <w:color w:val="auto"/>
          <w:kern w:val="2"/>
          <w:sz w:val="18"/>
          <w:szCs w:val="18"/>
          <w:lang w:eastAsia="zh-CN"/>
        </w:rPr>
        <w:t>。</w:t>
      </w:r>
    </w:p>
    <w:permEnd w:id="23"/>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permStart w:id="24" w:edGrp="everyone"/>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①按投资者每份产品份额分别计算年化收益率并计提超额业绩报酬；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每份产品份额超额业绩报酬计提起始日为：募集期内认购的产品份额，以产品成立日为该份产品份额超额业绩报酬计提起始日。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每份产品份额超额业绩报酬每日计提，产品终止日结算。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产品管理人对每份份额当前年化收益率（R）超过当前业绩报酬计提基准的部分，按比例（N）以及产品份额持有天数（D）提取超额业绩报酬，计算方法如下：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当R＞当前业绩报酬计提基准，超额业绩报酬=产品终止时投资者持有的产品份额×产品成立日产品份额净值×（R-当前业绩报酬计提基准）×N×D/365。</w:t>
      </w:r>
    </w:p>
    <w:permEnd w:id="24"/>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11" w:name="_Toc3963"/>
      <w:bookmarkStart w:id="112" w:name="_Toc1745"/>
      <w:r>
        <w:br w:type="page"/>
      </w:r>
      <w:bookmarkStart w:id="113" w:name="_Toc123102456"/>
      <w:bookmarkStart w:id="114" w:name="_Toc18206"/>
      <w:bookmarkStart w:id="115" w:name="_Toc98560355"/>
      <w:bookmarkStart w:id="116" w:name="_Toc141703889"/>
      <w:bookmarkStart w:id="117" w:name="_Toc16164"/>
      <w:bookmarkStart w:id="118" w:name="_Toc139991739"/>
      <w:bookmarkStart w:id="119" w:name="_Toc10398"/>
      <w:bookmarkStart w:id="120" w:name="_Toc3572"/>
      <w:bookmarkStart w:id="121" w:name="_Toc74065746"/>
      <w:bookmarkStart w:id="122" w:name="_Toc123051455"/>
      <w:bookmarkStart w:id="123" w:name="_Toc31821"/>
      <w:bookmarkStart w:id="124" w:name="_Toc725"/>
      <w:bookmarkStart w:id="125" w:name="_Toc3080"/>
      <w:bookmarkStart w:id="126" w:name="_Toc79154673"/>
      <w:bookmarkStart w:id="127" w:name="_Toc176189762"/>
      <w:bookmarkStart w:id="128" w:name="_Toc21735"/>
      <w:bookmarkStart w:id="129" w:name="_Toc123112237"/>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ind w:firstLine="361" w:firstLineChars="200"/>
        <w:rPr>
          <w:rFonts w:asciiTheme="majorEastAsia" w:hAnsiTheme="majorEastAsia" w:eastAsiaTheme="majorEastAsia"/>
          <w:b/>
          <w:bCs/>
          <w:sz w:val="18"/>
          <w:szCs w:val="18"/>
        </w:rPr>
      </w:pPr>
      <w:bookmarkStart w:id="130" w:name="_Toc79392593"/>
      <w:bookmarkStart w:id="131" w:name="_Toc15118245"/>
      <w:bookmarkStart w:id="132" w:name="_Toc57530252"/>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部分终止的利益分配：产品管理人将依照销售文件公布部分终止日并指定利益分配日（一般为部分终止日之后的【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30"/>
    <w:bookmarkEnd w:id="131"/>
    <w:bookmarkEnd w:id="132"/>
    <w:p>
      <w:pPr>
        <w:pStyle w:val="2"/>
        <w:spacing w:before="0" w:after="0" w:line="360" w:lineRule="auto"/>
        <w:jc w:val="center"/>
        <w:rPr>
          <w:rFonts w:ascii="Times New Roman"/>
          <w:sz w:val="30"/>
        </w:rPr>
      </w:pPr>
      <w:r>
        <w:rPr>
          <w:rFonts w:ascii="Times New Roman"/>
          <w:b w:val="0"/>
          <w:bCs w:val="0"/>
          <w:kern w:val="2"/>
        </w:rPr>
        <w:br w:type="page"/>
      </w:r>
      <w:bookmarkStart w:id="133" w:name="_Toc176189763"/>
      <w:bookmarkStart w:id="134" w:name="_Toc32092"/>
      <w:bookmarkStart w:id="135" w:name="_Toc79392622"/>
      <w:bookmarkStart w:id="136" w:name="_Toc17920"/>
      <w:bookmarkStart w:id="137" w:name="_Toc32584"/>
      <w:bookmarkStart w:id="138" w:name="_Toc98560356"/>
      <w:bookmarkStart w:id="139" w:name="_Toc141703890"/>
      <w:bookmarkStart w:id="140" w:name="_Toc21237"/>
      <w:bookmarkStart w:id="141" w:name="_Toc17198"/>
      <w:bookmarkStart w:id="142" w:name="_Toc48649708"/>
      <w:bookmarkStart w:id="143" w:name="_Toc5170"/>
      <w:bookmarkStart w:id="144" w:name="_Toc3329"/>
      <w:bookmarkStart w:id="145" w:name="_Toc739"/>
      <w:bookmarkStart w:id="146" w:name="_Toc139991740"/>
      <w:bookmarkStart w:id="147" w:name="_Toc74065747"/>
      <w:bookmarkStart w:id="148" w:name="_Toc8791"/>
      <w:bookmarkStart w:id="149" w:name="_Toc123112238"/>
      <w:bookmarkStart w:id="150" w:name="_Toc29408"/>
      <w:bookmarkStart w:id="151" w:name="_Toc123051456"/>
      <w:bookmarkStart w:id="152" w:name="_Toc79154674"/>
      <w:bookmarkStart w:id="153" w:name="_Toc123102457"/>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rPr>
          <w:rFonts w:ascii="宋体" w:hAnsi="宋体"/>
          <w:b/>
          <w:bCs/>
          <w:sz w:val="18"/>
          <w:szCs w:val="18"/>
        </w:rPr>
      </w:pPr>
      <w:r>
        <w:rPr>
          <w:rFonts w:hint="eastAsia" w:ascii="宋体" w:hAnsi="宋体"/>
          <w:b/>
          <w:bCs/>
          <w:sz w:val="18"/>
          <w:szCs w:val="18"/>
        </w:rPr>
        <w:t>（二）信息披露的渠道</w:t>
      </w:r>
    </w:p>
    <w:p>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rPr>
          <w:rFonts w:ascii="宋体" w:hAnsi="宋体"/>
          <w:b/>
          <w:bCs/>
          <w:sz w:val="18"/>
          <w:szCs w:val="18"/>
        </w:rPr>
      </w:pPr>
      <w:r>
        <w:rPr>
          <w:rFonts w:hint="eastAsia" w:ascii="宋体" w:hAnsi="宋体"/>
          <w:b/>
          <w:bCs/>
          <w:sz w:val="18"/>
          <w:szCs w:val="18"/>
        </w:rPr>
        <w:t>（三）信息披露的内容</w:t>
      </w:r>
    </w:p>
    <w:p>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rPr>
          <w:rFonts w:ascii="宋体" w:hAnsi="宋体"/>
          <w:b/>
          <w:bCs/>
          <w:sz w:val="18"/>
          <w:szCs w:val="18"/>
        </w:rPr>
      </w:pPr>
      <w:r>
        <w:rPr>
          <w:rFonts w:hint="eastAsia" w:ascii="宋体" w:hAnsi="宋体"/>
          <w:b/>
          <w:bCs/>
          <w:sz w:val="18"/>
          <w:szCs w:val="18"/>
        </w:rPr>
        <w:t>（四）信息披露的频率和时间</w:t>
      </w:r>
    </w:p>
    <w:p>
      <w:pPr>
        <w:spacing w:line="360" w:lineRule="auto"/>
        <w:ind w:firstLine="360"/>
        <w:rPr>
          <w:rFonts w:ascii="宋体" w:hAnsi="宋体"/>
          <w:bCs/>
          <w:sz w:val="18"/>
          <w:szCs w:val="18"/>
        </w:rPr>
      </w:pPr>
      <w:r>
        <w:rPr>
          <w:rFonts w:ascii="宋体" w:hAnsi="宋体"/>
          <w:bCs/>
          <w:sz w:val="18"/>
          <w:szCs w:val="18"/>
        </w:rPr>
        <w:t>1.产品成立公告</w:t>
      </w:r>
    </w:p>
    <w:p>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rPr>
          <w:rFonts w:ascii="宋体" w:hAnsi="宋体"/>
          <w:bCs/>
          <w:sz w:val="18"/>
          <w:szCs w:val="18"/>
        </w:rPr>
      </w:pPr>
      <w:r>
        <w:rPr>
          <w:rFonts w:ascii="宋体" w:hAnsi="宋体"/>
          <w:bCs/>
          <w:sz w:val="18"/>
          <w:szCs w:val="18"/>
        </w:rPr>
        <w:t>3.定期报告</w:t>
      </w:r>
    </w:p>
    <w:p>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rPr>
          <w:rFonts w:ascii="宋体" w:hAnsi="宋体"/>
          <w:bCs/>
          <w:sz w:val="18"/>
          <w:szCs w:val="18"/>
        </w:rPr>
      </w:pPr>
      <w:r>
        <w:rPr>
          <w:rFonts w:ascii="宋体" w:hAnsi="宋体"/>
          <w:bCs/>
          <w:sz w:val="18"/>
          <w:szCs w:val="18"/>
        </w:rPr>
        <w:t>4.到期公告</w:t>
      </w:r>
    </w:p>
    <w:p>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rPr>
          <w:rFonts w:ascii="宋体" w:hAnsi="宋体"/>
          <w:bCs/>
          <w:sz w:val="18"/>
          <w:szCs w:val="18"/>
        </w:rPr>
      </w:pPr>
      <w:r>
        <w:rPr>
          <w:rFonts w:ascii="宋体" w:hAnsi="宋体"/>
          <w:bCs/>
          <w:sz w:val="18"/>
          <w:szCs w:val="18"/>
        </w:rPr>
        <w:t>5.估值日公告</w:t>
      </w:r>
    </w:p>
    <w:p>
      <w:pPr>
        <w:spacing w:line="360" w:lineRule="auto"/>
        <w:ind w:firstLine="360"/>
        <w:rPr>
          <w:rFonts w:ascii="宋体" w:hAnsi="宋体"/>
          <w:bCs/>
          <w:sz w:val="18"/>
          <w:szCs w:val="18"/>
        </w:rPr>
      </w:pPr>
      <w:permStart w:id="25"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ermEnd w:id="25"/>
    <w:p>
      <w:pPr>
        <w:spacing w:line="360" w:lineRule="auto"/>
        <w:ind w:firstLine="360"/>
        <w:rPr>
          <w:rFonts w:ascii="宋体" w:hAnsi="宋体"/>
          <w:bCs/>
          <w:sz w:val="18"/>
          <w:szCs w:val="18"/>
        </w:rPr>
      </w:pPr>
      <w:r>
        <w:rPr>
          <w:rFonts w:ascii="宋体" w:hAnsi="宋体"/>
          <w:bCs/>
          <w:sz w:val="18"/>
          <w:szCs w:val="18"/>
        </w:rPr>
        <w:t>6.临时公告</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54" w:name="_Toc79154675"/>
      <w:bookmarkStart w:id="155" w:name="_Toc176189764"/>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154"/>
      <w:bookmarkEnd w:id="155"/>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26"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ermEnd w:id="26"/>
    </w:p>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widowControl/>
        <w:jc w:val="left"/>
        <w:rPr>
          <w:rFonts w:ascii="宋体" w:hAnsi="宋体"/>
          <w:color w:val="000000"/>
          <w:kern w:val="0"/>
          <w:sz w:val="18"/>
          <w:szCs w:val="18"/>
        </w:rPr>
      </w:pPr>
      <w:r>
        <w:rPr>
          <w:rFonts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cs="Arial"/>
                <w:sz w:val="18"/>
                <w:szCs w:val="18"/>
              </w:rPr>
              <w:t>线上确认）：</w:t>
            </w:r>
          </w:p>
          <w:p>
            <w:pPr>
              <w:tabs>
                <w:tab w:val="left" w:pos="5609"/>
              </w:tabs>
              <w:spacing w:line="360" w:lineRule="auto"/>
              <w:ind w:firstLine="360"/>
              <w:jc w:val="left"/>
              <w:rPr>
                <w:rFonts w:cs="Arial"/>
                <w:sz w:val="18"/>
                <w:szCs w:val="18"/>
              </w:rPr>
            </w:pPr>
            <w:r>
              <w:rPr>
                <w:rFonts w:cs="Arial"/>
                <w:sz w:val="18"/>
                <w:szCs w:val="18"/>
              </w:rPr>
              <w:tab/>
            </w:r>
          </w:p>
          <w:p>
            <w:pPr>
              <w:spacing w:line="360" w:lineRule="auto"/>
              <w:ind w:firstLine="360"/>
              <w:jc w:val="left"/>
              <w:rPr>
                <w:rFonts w:cs="Arial"/>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cs="Arial"/>
                <w:sz w:val="18"/>
                <w:szCs w:val="18"/>
              </w:rPr>
              <w:t>线上确认）：</w:t>
            </w:r>
          </w:p>
          <w:p>
            <w:pPr>
              <w:spacing w:line="360" w:lineRule="auto"/>
              <w:ind w:firstLine="360"/>
              <w:jc w:val="left"/>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35</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pPr>
      <w:pStyle w:val="15"/>
      <w:jc w:val="right"/>
      <w:rPr>
        <w:rFonts w:ascii="Times New Roman" w:hAnsi="Times New Roman"/>
        <w:b/>
      </w:rPr>
    </w:pPr>
    <w:r>
      <w:rPr>
        <w:rFonts w:hint="eastAsia" w:ascii="Times New Roman" w:hAnsi="Times New Roman"/>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E1494"/>
    <w:multiLevelType w:val="singleLevel"/>
    <w:tmpl w:val="9C7E1494"/>
    <w:lvl w:ilvl="0" w:tentative="0">
      <w:start w:val="2"/>
      <w:numFmt w:val="decimal"/>
      <w:suff w:val="nothing"/>
      <w:lvlText w:val="（%1）"/>
      <w:lvlJc w:val="left"/>
    </w:lvl>
  </w:abstractNum>
  <w:abstractNum w:abstractNumId="1">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1" w:cryptProviderType="rsaAES" w:cryptAlgorithmClass="hash" w:cryptAlgorithmType="typeAny" w:cryptAlgorithmSid="14" w:cryptSpinCount="100000" w:hash="WhWCehpVO5rw4q4jgzrvQnxweXw9sEyQ9Wb825+VjIMUQxkZvV+ty3/uwQD6kWttklslZmS0o9l+K9CVPSdiMw==" w:salt="4yMQnss2tsYxigbL2CH0h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1202B"/>
    <w:rsid w:val="000124BB"/>
    <w:rsid w:val="00014A51"/>
    <w:rsid w:val="00014CFA"/>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7A51"/>
    <w:rsid w:val="0004119D"/>
    <w:rsid w:val="0004124F"/>
    <w:rsid w:val="00042C76"/>
    <w:rsid w:val="00042CE7"/>
    <w:rsid w:val="00044823"/>
    <w:rsid w:val="00045941"/>
    <w:rsid w:val="00050766"/>
    <w:rsid w:val="0005088E"/>
    <w:rsid w:val="00051D28"/>
    <w:rsid w:val="00051DE2"/>
    <w:rsid w:val="00055773"/>
    <w:rsid w:val="000565A5"/>
    <w:rsid w:val="0005743B"/>
    <w:rsid w:val="00057BC6"/>
    <w:rsid w:val="0006031B"/>
    <w:rsid w:val="00061C70"/>
    <w:rsid w:val="00062695"/>
    <w:rsid w:val="000629DD"/>
    <w:rsid w:val="00063B03"/>
    <w:rsid w:val="000705EE"/>
    <w:rsid w:val="00070857"/>
    <w:rsid w:val="00073A90"/>
    <w:rsid w:val="000747D8"/>
    <w:rsid w:val="0007760F"/>
    <w:rsid w:val="00077A54"/>
    <w:rsid w:val="00077C13"/>
    <w:rsid w:val="00080277"/>
    <w:rsid w:val="0008037A"/>
    <w:rsid w:val="00081DC7"/>
    <w:rsid w:val="000826C9"/>
    <w:rsid w:val="00085DD5"/>
    <w:rsid w:val="0009006A"/>
    <w:rsid w:val="0009086F"/>
    <w:rsid w:val="00092A5F"/>
    <w:rsid w:val="00094CA6"/>
    <w:rsid w:val="00095235"/>
    <w:rsid w:val="00097047"/>
    <w:rsid w:val="000A0882"/>
    <w:rsid w:val="000A0CC9"/>
    <w:rsid w:val="000A0DC8"/>
    <w:rsid w:val="000A1E0C"/>
    <w:rsid w:val="000A3063"/>
    <w:rsid w:val="000A45C6"/>
    <w:rsid w:val="000A51DD"/>
    <w:rsid w:val="000A5A4A"/>
    <w:rsid w:val="000A5AAB"/>
    <w:rsid w:val="000B378B"/>
    <w:rsid w:val="000B41F8"/>
    <w:rsid w:val="000B6819"/>
    <w:rsid w:val="000B7F67"/>
    <w:rsid w:val="000C31AC"/>
    <w:rsid w:val="000C3B81"/>
    <w:rsid w:val="000C69CB"/>
    <w:rsid w:val="000C6BF4"/>
    <w:rsid w:val="000C7C96"/>
    <w:rsid w:val="000D01BB"/>
    <w:rsid w:val="000D0A91"/>
    <w:rsid w:val="000D0C3A"/>
    <w:rsid w:val="000D10B1"/>
    <w:rsid w:val="000D1473"/>
    <w:rsid w:val="000D19CF"/>
    <w:rsid w:val="000D2623"/>
    <w:rsid w:val="000D3E2A"/>
    <w:rsid w:val="000D4DAE"/>
    <w:rsid w:val="000D5369"/>
    <w:rsid w:val="000D548F"/>
    <w:rsid w:val="000D591B"/>
    <w:rsid w:val="000E008C"/>
    <w:rsid w:val="000E181B"/>
    <w:rsid w:val="000E18C8"/>
    <w:rsid w:val="000E4365"/>
    <w:rsid w:val="000E4E32"/>
    <w:rsid w:val="000E5A74"/>
    <w:rsid w:val="000E798C"/>
    <w:rsid w:val="000E7BB9"/>
    <w:rsid w:val="000F09FA"/>
    <w:rsid w:val="000F4322"/>
    <w:rsid w:val="000F556F"/>
    <w:rsid w:val="000F7FB5"/>
    <w:rsid w:val="00100295"/>
    <w:rsid w:val="00100789"/>
    <w:rsid w:val="00100D6E"/>
    <w:rsid w:val="00103221"/>
    <w:rsid w:val="0010351A"/>
    <w:rsid w:val="001048D9"/>
    <w:rsid w:val="00104FAF"/>
    <w:rsid w:val="0011092D"/>
    <w:rsid w:val="00111430"/>
    <w:rsid w:val="00112922"/>
    <w:rsid w:val="00112BE0"/>
    <w:rsid w:val="001139C8"/>
    <w:rsid w:val="001152F4"/>
    <w:rsid w:val="001157E6"/>
    <w:rsid w:val="00115A4C"/>
    <w:rsid w:val="00121A98"/>
    <w:rsid w:val="00122AA4"/>
    <w:rsid w:val="00122E28"/>
    <w:rsid w:val="001232D0"/>
    <w:rsid w:val="00124098"/>
    <w:rsid w:val="0012639A"/>
    <w:rsid w:val="00127FAE"/>
    <w:rsid w:val="00134EC8"/>
    <w:rsid w:val="00140E17"/>
    <w:rsid w:val="00140FD0"/>
    <w:rsid w:val="00142E86"/>
    <w:rsid w:val="00144336"/>
    <w:rsid w:val="00144A06"/>
    <w:rsid w:val="00144E84"/>
    <w:rsid w:val="00146F91"/>
    <w:rsid w:val="001507DF"/>
    <w:rsid w:val="001527E9"/>
    <w:rsid w:val="00153415"/>
    <w:rsid w:val="001547CA"/>
    <w:rsid w:val="00154F9C"/>
    <w:rsid w:val="001562FA"/>
    <w:rsid w:val="0016331D"/>
    <w:rsid w:val="00163655"/>
    <w:rsid w:val="00163854"/>
    <w:rsid w:val="00165A9A"/>
    <w:rsid w:val="00167B0D"/>
    <w:rsid w:val="00171033"/>
    <w:rsid w:val="001715BB"/>
    <w:rsid w:val="00172BBF"/>
    <w:rsid w:val="0017394A"/>
    <w:rsid w:val="00174651"/>
    <w:rsid w:val="0017488D"/>
    <w:rsid w:val="00175F68"/>
    <w:rsid w:val="00176589"/>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57A5"/>
    <w:rsid w:val="00196E62"/>
    <w:rsid w:val="001A0033"/>
    <w:rsid w:val="001A141C"/>
    <w:rsid w:val="001A352E"/>
    <w:rsid w:val="001A434D"/>
    <w:rsid w:val="001A5D11"/>
    <w:rsid w:val="001A6633"/>
    <w:rsid w:val="001B218F"/>
    <w:rsid w:val="001B21AE"/>
    <w:rsid w:val="001B3B95"/>
    <w:rsid w:val="001C31CB"/>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E14FD"/>
    <w:rsid w:val="001E291D"/>
    <w:rsid w:val="001E461E"/>
    <w:rsid w:val="001E487F"/>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5AA"/>
    <w:rsid w:val="00226925"/>
    <w:rsid w:val="00226E60"/>
    <w:rsid w:val="00227359"/>
    <w:rsid w:val="00231FC0"/>
    <w:rsid w:val="00233392"/>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5756"/>
    <w:rsid w:val="0025790B"/>
    <w:rsid w:val="00264630"/>
    <w:rsid w:val="002653AC"/>
    <w:rsid w:val="00265722"/>
    <w:rsid w:val="00266037"/>
    <w:rsid w:val="00266978"/>
    <w:rsid w:val="00266DAB"/>
    <w:rsid w:val="00272C40"/>
    <w:rsid w:val="00273F65"/>
    <w:rsid w:val="00274BFD"/>
    <w:rsid w:val="00275526"/>
    <w:rsid w:val="00275757"/>
    <w:rsid w:val="00281B9A"/>
    <w:rsid w:val="002826EB"/>
    <w:rsid w:val="00284D4C"/>
    <w:rsid w:val="00290893"/>
    <w:rsid w:val="0029197D"/>
    <w:rsid w:val="00293329"/>
    <w:rsid w:val="002A1894"/>
    <w:rsid w:val="002A2964"/>
    <w:rsid w:val="002A3DA0"/>
    <w:rsid w:val="002A6688"/>
    <w:rsid w:val="002B0A68"/>
    <w:rsid w:val="002B2349"/>
    <w:rsid w:val="002B389F"/>
    <w:rsid w:val="002B4AAF"/>
    <w:rsid w:val="002B5421"/>
    <w:rsid w:val="002B75A8"/>
    <w:rsid w:val="002C036C"/>
    <w:rsid w:val="002C063A"/>
    <w:rsid w:val="002C0CF5"/>
    <w:rsid w:val="002C3DA6"/>
    <w:rsid w:val="002C3DD6"/>
    <w:rsid w:val="002C446D"/>
    <w:rsid w:val="002C6117"/>
    <w:rsid w:val="002C6DB5"/>
    <w:rsid w:val="002D0829"/>
    <w:rsid w:val="002D3AB7"/>
    <w:rsid w:val="002D3AEF"/>
    <w:rsid w:val="002D6AFD"/>
    <w:rsid w:val="002D7737"/>
    <w:rsid w:val="002E0FFD"/>
    <w:rsid w:val="002E134B"/>
    <w:rsid w:val="002E25FC"/>
    <w:rsid w:val="002E393C"/>
    <w:rsid w:val="002E5F4C"/>
    <w:rsid w:val="002E6721"/>
    <w:rsid w:val="002E7C23"/>
    <w:rsid w:val="002F29C4"/>
    <w:rsid w:val="002F389F"/>
    <w:rsid w:val="002F45BC"/>
    <w:rsid w:val="002F4C49"/>
    <w:rsid w:val="00301106"/>
    <w:rsid w:val="003029FF"/>
    <w:rsid w:val="0030325C"/>
    <w:rsid w:val="00304D9D"/>
    <w:rsid w:val="00306DA6"/>
    <w:rsid w:val="0031156D"/>
    <w:rsid w:val="003122D5"/>
    <w:rsid w:val="00313E17"/>
    <w:rsid w:val="00314DBE"/>
    <w:rsid w:val="00315680"/>
    <w:rsid w:val="00320153"/>
    <w:rsid w:val="003224C7"/>
    <w:rsid w:val="003229E9"/>
    <w:rsid w:val="00331380"/>
    <w:rsid w:val="00331423"/>
    <w:rsid w:val="00331AA1"/>
    <w:rsid w:val="00332367"/>
    <w:rsid w:val="0033357B"/>
    <w:rsid w:val="00335A6D"/>
    <w:rsid w:val="003363E0"/>
    <w:rsid w:val="00336C03"/>
    <w:rsid w:val="0033710A"/>
    <w:rsid w:val="00337172"/>
    <w:rsid w:val="00337AF2"/>
    <w:rsid w:val="00337EC3"/>
    <w:rsid w:val="003405D3"/>
    <w:rsid w:val="00341DFC"/>
    <w:rsid w:val="003444E9"/>
    <w:rsid w:val="003509B2"/>
    <w:rsid w:val="00350B80"/>
    <w:rsid w:val="0035109F"/>
    <w:rsid w:val="00351B3C"/>
    <w:rsid w:val="0035299D"/>
    <w:rsid w:val="00356734"/>
    <w:rsid w:val="00356F2E"/>
    <w:rsid w:val="003601A7"/>
    <w:rsid w:val="00361109"/>
    <w:rsid w:val="00363191"/>
    <w:rsid w:val="00363504"/>
    <w:rsid w:val="0036433E"/>
    <w:rsid w:val="003669E3"/>
    <w:rsid w:val="00370696"/>
    <w:rsid w:val="00371546"/>
    <w:rsid w:val="003727DA"/>
    <w:rsid w:val="00373305"/>
    <w:rsid w:val="003745A5"/>
    <w:rsid w:val="00375BC6"/>
    <w:rsid w:val="00380DB4"/>
    <w:rsid w:val="00381A67"/>
    <w:rsid w:val="003823A6"/>
    <w:rsid w:val="003838B9"/>
    <w:rsid w:val="00383D2C"/>
    <w:rsid w:val="0038516F"/>
    <w:rsid w:val="00387E86"/>
    <w:rsid w:val="00391BBC"/>
    <w:rsid w:val="00392F32"/>
    <w:rsid w:val="00396C37"/>
    <w:rsid w:val="00396E72"/>
    <w:rsid w:val="003A3197"/>
    <w:rsid w:val="003A42AD"/>
    <w:rsid w:val="003A430B"/>
    <w:rsid w:val="003A5032"/>
    <w:rsid w:val="003B00EC"/>
    <w:rsid w:val="003B1841"/>
    <w:rsid w:val="003B32A0"/>
    <w:rsid w:val="003B343A"/>
    <w:rsid w:val="003B600B"/>
    <w:rsid w:val="003B72A3"/>
    <w:rsid w:val="003C2C6C"/>
    <w:rsid w:val="003C2FD0"/>
    <w:rsid w:val="003C3843"/>
    <w:rsid w:val="003C4A62"/>
    <w:rsid w:val="003C4CEB"/>
    <w:rsid w:val="003C51FE"/>
    <w:rsid w:val="003C56B8"/>
    <w:rsid w:val="003C5C1E"/>
    <w:rsid w:val="003C6DEC"/>
    <w:rsid w:val="003C7EAF"/>
    <w:rsid w:val="003D26D0"/>
    <w:rsid w:val="003D3411"/>
    <w:rsid w:val="003D5ED1"/>
    <w:rsid w:val="003D63E6"/>
    <w:rsid w:val="003E2F07"/>
    <w:rsid w:val="003E31AA"/>
    <w:rsid w:val="003E3D00"/>
    <w:rsid w:val="003F4B74"/>
    <w:rsid w:val="00400144"/>
    <w:rsid w:val="00400D54"/>
    <w:rsid w:val="0040151D"/>
    <w:rsid w:val="0040285C"/>
    <w:rsid w:val="004043E5"/>
    <w:rsid w:val="00404A76"/>
    <w:rsid w:val="00404C4F"/>
    <w:rsid w:val="00406C36"/>
    <w:rsid w:val="0040736E"/>
    <w:rsid w:val="00407912"/>
    <w:rsid w:val="00410860"/>
    <w:rsid w:val="004111DE"/>
    <w:rsid w:val="00411594"/>
    <w:rsid w:val="004134C2"/>
    <w:rsid w:val="00416AC9"/>
    <w:rsid w:val="00416CB0"/>
    <w:rsid w:val="00420268"/>
    <w:rsid w:val="0042292D"/>
    <w:rsid w:val="00422B14"/>
    <w:rsid w:val="00424562"/>
    <w:rsid w:val="0042456A"/>
    <w:rsid w:val="004259CB"/>
    <w:rsid w:val="00426CB5"/>
    <w:rsid w:val="0042700C"/>
    <w:rsid w:val="00430510"/>
    <w:rsid w:val="00430DF1"/>
    <w:rsid w:val="00434DA3"/>
    <w:rsid w:val="00436184"/>
    <w:rsid w:val="004365C7"/>
    <w:rsid w:val="004369A7"/>
    <w:rsid w:val="0043725F"/>
    <w:rsid w:val="00440E4C"/>
    <w:rsid w:val="00441309"/>
    <w:rsid w:val="00441A1F"/>
    <w:rsid w:val="00441A2F"/>
    <w:rsid w:val="00441C87"/>
    <w:rsid w:val="0044275F"/>
    <w:rsid w:val="00444B08"/>
    <w:rsid w:val="00444C05"/>
    <w:rsid w:val="00444E95"/>
    <w:rsid w:val="004451F2"/>
    <w:rsid w:val="00447A83"/>
    <w:rsid w:val="00450AE7"/>
    <w:rsid w:val="00452527"/>
    <w:rsid w:val="00453F94"/>
    <w:rsid w:val="0045405E"/>
    <w:rsid w:val="0045524D"/>
    <w:rsid w:val="00455720"/>
    <w:rsid w:val="00460E19"/>
    <w:rsid w:val="00461E0D"/>
    <w:rsid w:val="00462328"/>
    <w:rsid w:val="00462D9E"/>
    <w:rsid w:val="00466864"/>
    <w:rsid w:val="00466F57"/>
    <w:rsid w:val="004678B2"/>
    <w:rsid w:val="00467C9D"/>
    <w:rsid w:val="00470261"/>
    <w:rsid w:val="004711A9"/>
    <w:rsid w:val="00471A23"/>
    <w:rsid w:val="00471ABA"/>
    <w:rsid w:val="0047289E"/>
    <w:rsid w:val="00477510"/>
    <w:rsid w:val="00480985"/>
    <w:rsid w:val="00480CC1"/>
    <w:rsid w:val="00480FF7"/>
    <w:rsid w:val="004811BA"/>
    <w:rsid w:val="0048253E"/>
    <w:rsid w:val="00482F37"/>
    <w:rsid w:val="00483507"/>
    <w:rsid w:val="00485D45"/>
    <w:rsid w:val="00486A6C"/>
    <w:rsid w:val="00487444"/>
    <w:rsid w:val="004902E2"/>
    <w:rsid w:val="00490E3D"/>
    <w:rsid w:val="004917FC"/>
    <w:rsid w:val="00491C11"/>
    <w:rsid w:val="004922CC"/>
    <w:rsid w:val="004940D3"/>
    <w:rsid w:val="004960D3"/>
    <w:rsid w:val="00497FEC"/>
    <w:rsid w:val="004A0C4A"/>
    <w:rsid w:val="004A0D93"/>
    <w:rsid w:val="004A12AC"/>
    <w:rsid w:val="004A2354"/>
    <w:rsid w:val="004B1194"/>
    <w:rsid w:val="004B1599"/>
    <w:rsid w:val="004B3136"/>
    <w:rsid w:val="004B5526"/>
    <w:rsid w:val="004C1BF8"/>
    <w:rsid w:val="004C2000"/>
    <w:rsid w:val="004C4C0A"/>
    <w:rsid w:val="004C4C12"/>
    <w:rsid w:val="004C51D4"/>
    <w:rsid w:val="004C62FA"/>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020"/>
    <w:rsid w:val="004F3355"/>
    <w:rsid w:val="004F45E5"/>
    <w:rsid w:val="004F483B"/>
    <w:rsid w:val="004F52DE"/>
    <w:rsid w:val="004F58A4"/>
    <w:rsid w:val="00500B33"/>
    <w:rsid w:val="0050192C"/>
    <w:rsid w:val="00502068"/>
    <w:rsid w:val="005023E9"/>
    <w:rsid w:val="005030D1"/>
    <w:rsid w:val="00503239"/>
    <w:rsid w:val="005048A9"/>
    <w:rsid w:val="00504CD2"/>
    <w:rsid w:val="0050525D"/>
    <w:rsid w:val="005058C6"/>
    <w:rsid w:val="00506FB3"/>
    <w:rsid w:val="00512B61"/>
    <w:rsid w:val="00512E3B"/>
    <w:rsid w:val="00513143"/>
    <w:rsid w:val="005131E7"/>
    <w:rsid w:val="00517C1B"/>
    <w:rsid w:val="00521905"/>
    <w:rsid w:val="00521A8A"/>
    <w:rsid w:val="0052537A"/>
    <w:rsid w:val="005261C6"/>
    <w:rsid w:val="00526A8B"/>
    <w:rsid w:val="005306F5"/>
    <w:rsid w:val="0053145D"/>
    <w:rsid w:val="0053265E"/>
    <w:rsid w:val="00534837"/>
    <w:rsid w:val="00534ED6"/>
    <w:rsid w:val="005356DD"/>
    <w:rsid w:val="0054383E"/>
    <w:rsid w:val="00544067"/>
    <w:rsid w:val="0054458D"/>
    <w:rsid w:val="00544689"/>
    <w:rsid w:val="005448AE"/>
    <w:rsid w:val="00544EBF"/>
    <w:rsid w:val="0054752F"/>
    <w:rsid w:val="005477FF"/>
    <w:rsid w:val="005514EA"/>
    <w:rsid w:val="00551E13"/>
    <w:rsid w:val="0055265D"/>
    <w:rsid w:val="00557F13"/>
    <w:rsid w:val="0056057A"/>
    <w:rsid w:val="005634A0"/>
    <w:rsid w:val="00564A34"/>
    <w:rsid w:val="00564BAA"/>
    <w:rsid w:val="005669ED"/>
    <w:rsid w:val="00571676"/>
    <w:rsid w:val="0057386A"/>
    <w:rsid w:val="005745C2"/>
    <w:rsid w:val="00575575"/>
    <w:rsid w:val="005756EF"/>
    <w:rsid w:val="00577682"/>
    <w:rsid w:val="00580472"/>
    <w:rsid w:val="00583DB2"/>
    <w:rsid w:val="0058644F"/>
    <w:rsid w:val="00586B5E"/>
    <w:rsid w:val="0058793F"/>
    <w:rsid w:val="00587E86"/>
    <w:rsid w:val="005905CC"/>
    <w:rsid w:val="0059345F"/>
    <w:rsid w:val="005942B5"/>
    <w:rsid w:val="005964FC"/>
    <w:rsid w:val="00596640"/>
    <w:rsid w:val="005A1A2E"/>
    <w:rsid w:val="005A2814"/>
    <w:rsid w:val="005A3E7B"/>
    <w:rsid w:val="005A52CE"/>
    <w:rsid w:val="005A5694"/>
    <w:rsid w:val="005A60A3"/>
    <w:rsid w:val="005B1513"/>
    <w:rsid w:val="005B1F01"/>
    <w:rsid w:val="005B3D95"/>
    <w:rsid w:val="005B4391"/>
    <w:rsid w:val="005B45B8"/>
    <w:rsid w:val="005B6567"/>
    <w:rsid w:val="005C1011"/>
    <w:rsid w:val="005C1A4B"/>
    <w:rsid w:val="005C2C22"/>
    <w:rsid w:val="005C3351"/>
    <w:rsid w:val="005C46BB"/>
    <w:rsid w:val="005C6C9D"/>
    <w:rsid w:val="005D0EC6"/>
    <w:rsid w:val="005D2A2A"/>
    <w:rsid w:val="005D30EC"/>
    <w:rsid w:val="005D3EBA"/>
    <w:rsid w:val="005D3F7B"/>
    <w:rsid w:val="005D3F83"/>
    <w:rsid w:val="005D5021"/>
    <w:rsid w:val="005D6B6D"/>
    <w:rsid w:val="005E0304"/>
    <w:rsid w:val="005E1F5B"/>
    <w:rsid w:val="005E2522"/>
    <w:rsid w:val="005E34A7"/>
    <w:rsid w:val="005E3ECC"/>
    <w:rsid w:val="005E5B83"/>
    <w:rsid w:val="005E6FB7"/>
    <w:rsid w:val="005F0064"/>
    <w:rsid w:val="005F2F17"/>
    <w:rsid w:val="005F30D3"/>
    <w:rsid w:val="005F379A"/>
    <w:rsid w:val="005F4287"/>
    <w:rsid w:val="005F469C"/>
    <w:rsid w:val="005F7FD5"/>
    <w:rsid w:val="00600FE7"/>
    <w:rsid w:val="006019D1"/>
    <w:rsid w:val="00605524"/>
    <w:rsid w:val="00605B31"/>
    <w:rsid w:val="00605C5D"/>
    <w:rsid w:val="006065FB"/>
    <w:rsid w:val="00607DDC"/>
    <w:rsid w:val="00612793"/>
    <w:rsid w:val="00612869"/>
    <w:rsid w:val="006146BA"/>
    <w:rsid w:val="00620063"/>
    <w:rsid w:val="00620D75"/>
    <w:rsid w:val="00621F2C"/>
    <w:rsid w:val="00624760"/>
    <w:rsid w:val="00624F2C"/>
    <w:rsid w:val="00625B80"/>
    <w:rsid w:val="00626BC0"/>
    <w:rsid w:val="00626E1F"/>
    <w:rsid w:val="0063051C"/>
    <w:rsid w:val="006307AD"/>
    <w:rsid w:val="00631736"/>
    <w:rsid w:val="006328AE"/>
    <w:rsid w:val="006345B0"/>
    <w:rsid w:val="0064020E"/>
    <w:rsid w:val="0064087A"/>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7C1"/>
    <w:rsid w:val="00687A26"/>
    <w:rsid w:val="006904D3"/>
    <w:rsid w:val="0069132D"/>
    <w:rsid w:val="006929EA"/>
    <w:rsid w:val="00692BC9"/>
    <w:rsid w:val="0069501F"/>
    <w:rsid w:val="00695141"/>
    <w:rsid w:val="006961A8"/>
    <w:rsid w:val="00697C87"/>
    <w:rsid w:val="00697D22"/>
    <w:rsid w:val="006A1579"/>
    <w:rsid w:val="006A2FDF"/>
    <w:rsid w:val="006A4A8A"/>
    <w:rsid w:val="006A4B96"/>
    <w:rsid w:val="006A5309"/>
    <w:rsid w:val="006A5968"/>
    <w:rsid w:val="006A68DA"/>
    <w:rsid w:val="006A6C9E"/>
    <w:rsid w:val="006A7E97"/>
    <w:rsid w:val="006B3727"/>
    <w:rsid w:val="006B4BAA"/>
    <w:rsid w:val="006B5EEE"/>
    <w:rsid w:val="006B7BA8"/>
    <w:rsid w:val="006B7E76"/>
    <w:rsid w:val="006C19CF"/>
    <w:rsid w:val="006C3458"/>
    <w:rsid w:val="006C3815"/>
    <w:rsid w:val="006C4170"/>
    <w:rsid w:val="006C4848"/>
    <w:rsid w:val="006C4A05"/>
    <w:rsid w:val="006C5ACD"/>
    <w:rsid w:val="006C6369"/>
    <w:rsid w:val="006C6D81"/>
    <w:rsid w:val="006C7218"/>
    <w:rsid w:val="006C75F7"/>
    <w:rsid w:val="006C7E9B"/>
    <w:rsid w:val="006D0BDE"/>
    <w:rsid w:val="006D160E"/>
    <w:rsid w:val="006D3D10"/>
    <w:rsid w:val="006D4093"/>
    <w:rsid w:val="006D4430"/>
    <w:rsid w:val="006D586E"/>
    <w:rsid w:val="006D6C20"/>
    <w:rsid w:val="006D7C06"/>
    <w:rsid w:val="006D7D05"/>
    <w:rsid w:val="006E1A9B"/>
    <w:rsid w:val="006E2E41"/>
    <w:rsid w:val="006E5D67"/>
    <w:rsid w:val="006E6ED0"/>
    <w:rsid w:val="006E7124"/>
    <w:rsid w:val="006E7FC7"/>
    <w:rsid w:val="006F2488"/>
    <w:rsid w:val="006F356A"/>
    <w:rsid w:val="006F5923"/>
    <w:rsid w:val="006F6174"/>
    <w:rsid w:val="006F7D4D"/>
    <w:rsid w:val="0070045F"/>
    <w:rsid w:val="00701DAD"/>
    <w:rsid w:val="007048B2"/>
    <w:rsid w:val="00706406"/>
    <w:rsid w:val="00706DCA"/>
    <w:rsid w:val="00707A7B"/>
    <w:rsid w:val="007123F2"/>
    <w:rsid w:val="00712CFF"/>
    <w:rsid w:val="0071321B"/>
    <w:rsid w:val="007143E3"/>
    <w:rsid w:val="0071446F"/>
    <w:rsid w:val="00714473"/>
    <w:rsid w:val="007166B2"/>
    <w:rsid w:val="00717330"/>
    <w:rsid w:val="00720D3D"/>
    <w:rsid w:val="00720E8F"/>
    <w:rsid w:val="007210F9"/>
    <w:rsid w:val="0072322A"/>
    <w:rsid w:val="00724416"/>
    <w:rsid w:val="0072773A"/>
    <w:rsid w:val="00727C00"/>
    <w:rsid w:val="007305B6"/>
    <w:rsid w:val="007319DA"/>
    <w:rsid w:val="00741F90"/>
    <w:rsid w:val="007425D7"/>
    <w:rsid w:val="00742D00"/>
    <w:rsid w:val="007431C0"/>
    <w:rsid w:val="00743AB2"/>
    <w:rsid w:val="00746AF7"/>
    <w:rsid w:val="00746FAD"/>
    <w:rsid w:val="00752FA6"/>
    <w:rsid w:val="007530BD"/>
    <w:rsid w:val="00754168"/>
    <w:rsid w:val="00755570"/>
    <w:rsid w:val="00755F45"/>
    <w:rsid w:val="00757357"/>
    <w:rsid w:val="00760BF7"/>
    <w:rsid w:val="00762022"/>
    <w:rsid w:val="007630BD"/>
    <w:rsid w:val="00763193"/>
    <w:rsid w:val="0076459F"/>
    <w:rsid w:val="00764E0B"/>
    <w:rsid w:val="00764FD2"/>
    <w:rsid w:val="007650F1"/>
    <w:rsid w:val="00765862"/>
    <w:rsid w:val="0077274B"/>
    <w:rsid w:val="00774135"/>
    <w:rsid w:val="00775691"/>
    <w:rsid w:val="00775E75"/>
    <w:rsid w:val="00780770"/>
    <w:rsid w:val="00784BFC"/>
    <w:rsid w:val="007871C4"/>
    <w:rsid w:val="0078739B"/>
    <w:rsid w:val="00794CF9"/>
    <w:rsid w:val="0079594A"/>
    <w:rsid w:val="00797BD9"/>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C6C7F"/>
    <w:rsid w:val="007D115D"/>
    <w:rsid w:val="007D37FB"/>
    <w:rsid w:val="007D3AB0"/>
    <w:rsid w:val="007D3C57"/>
    <w:rsid w:val="007D5878"/>
    <w:rsid w:val="007D6324"/>
    <w:rsid w:val="007D68C9"/>
    <w:rsid w:val="007D6F94"/>
    <w:rsid w:val="007D7B84"/>
    <w:rsid w:val="007D7E7D"/>
    <w:rsid w:val="007E1F76"/>
    <w:rsid w:val="007E3453"/>
    <w:rsid w:val="007E3857"/>
    <w:rsid w:val="007E4180"/>
    <w:rsid w:val="007E4637"/>
    <w:rsid w:val="007E4A3F"/>
    <w:rsid w:val="007E6CAE"/>
    <w:rsid w:val="007E6E94"/>
    <w:rsid w:val="007E775F"/>
    <w:rsid w:val="007F0860"/>
    <w:rsid w:val="007F1299"/>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7169"/>
    <w:rsid w:val="00827DAF"/>
    <w:rsid w:val="00830FAF"/>
    <w:rsid w:val="00831F70"/>
    <w:rsid w:val="00833134"/>
    <w:rsid w:val="00833713"/>
    <w:rsid w:val="00833D9B"/>
    <w:rsid w:val="008340FE"/>
    <w:rsid w:val="008341F6"/>
    <w:rsid w:val="00835A40"/>
    <w:rsid w:val="00835AA0"/>
    <w:rsid w:val="00835FBF"/>
    <w:rsid w:val="00836DA8"/>
    <w:rsid w:val="00836ECE"/>
    <w:rsid w:val="0083797D"/>
    <w:rsid w:val="00840A55"/>
    <w:rsid w:val="008414B9"/>
    <w:rsid w:val="0084380A"/>
    <w:rsid w:val="00843D2E"/>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40D8"/>
    <w:rsid w:val="0087506B"/>
    <w:rsid w:val="008767F0"/>
    <w:rsid w:val="0087693A"/>
    <w:rsid w:val="00876C63"/>
    <w:rsid w:val="00876D94"/>
    <w:rsid w:val="0088624B"/>
    <w:rsid w:val="0089069E"/>
    <w:rsid w:val="008912D3"/>
    <w:rsid w:val="008914CB"/>
    <w:rsid w:val="008937B1"/>
    <w:rsid w:val="00894A43"/>
    <w:rsid w:val="00895477"/>
    <w:rsid w:val="008A15AE"/>
    <w:rsid w:val="008A1DBB"/>
    <w:rsid w:val="008A2A18"/>
    <w:rsid w:val="008A55D4"/>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2D84"/>
    <w:rsid w:val="008D4CB3"/>
    <w:rsid w:val="008D5CDB"/>
    <w:rsid w:val="008D643C"/>
    <w:rsid w:val="008D6554"/>
    <w:rsid w:val="008D756F"/>
    <w:rsid w:val="008D7E71"/>
    <w:rsid w:val="008E10E0"/>
    <w:rsid w:val="008E6072"/>
    <w:rsid w:val="008E6640"/>
    <w:rsid w:val="008F2669"/>
    <w:rsid w:val="008F2710"/>
    <w:rsid w:val="008F432E"/>
    <w:rsid w:val="008F784B"/>
    <w:rsid w:val="008F7A01"/>
    <w:rsid w:val="00900AF7"/>
    <w:rsid w:val="00901909"/>
    <w:rsid w:val="00901ACE"/>
    <w:rsid w:val="00901B37"/>
    <w:rsid w:val="009043D1"/>
    <w:rsid w:val="00904AA1"/>
    <w:rsid w:val="0090500B"/>
    <w:rsid w:val="0090746E"/>
    <w:rsid w:val="0090771A"/>
    <w:rsid w:val="00907D44"/>
    <w:rsid w:val="009106C1"/>
    <w:rsid w:val="00910BA4"/>
    <w:rsid w:val="00912C9D"/>
    <w:rsid w:val="00912DA8"/>
    <w:rsid w:val="00915499"/>
    <w:rsid w:val="00916595"/>
    <w:rsid w:val="009169DE"/>
    <w:rsid w:val="00922E94"/>
    <w:rsid w:val="00924CB1"/>
    <w:rsid w:val="00925905"/>
    <w:rsid w:val="00926039"/>
    <w:rsid w:val="009275C5"/>
    <w:rsid w:val="00927772"/>
    <w:rsid w:val="00931E88"/>
    <w:rsid w:val="009330D9"/>
    <w:rsid w:val="00933939"/>
    <w:rsid w:val="00934162"/>
    <w:rsid w:val="009342D4"/>
    <w:rsid w:val="00936818"/>
    <w:rsid w:val="009369EF"/>
    <w:rsid w:val="00936A52"/>
    <w:rsid w:val="00936C1F"/>
    <w:rsid w:val="00940B15"/>
    <w:rsid w:val="0094391C"/>
    <w:rsid w:val="00946996"/>
    <w:rsid w:val="0095322B"/>
    <w:rsid w:val="0095360A"/>
    <w:rsid w:val="009604D5"/>
    <w:rsid w:val="009626CA"/>
    <w:rsid w:val="00962D06"/>
    <w:rsid w:val="00963402"/>
    <w:rsid w:val="00964835"/>
    <w:rsid w:val="00966917"/>
    <w:rsid w:val="00967387"/>
    <w:rsid w:val="009709AB"/>
    <w:rsid w:val="00971FD5"/>
    <w:rsid w:val="0097223A"/>
    <w:rsid w:val="009729E3"/>
    <w:rsid w:val="00974167"/>
    <w:rsid w:val="00974BED"/>
    <w:rsid w:val="00976143"/>
    <w:rsid w:val="009770A0"/>
    <w:rsid w:val="00980073"/>
    <w:rsid w:val="00981B42"/>
    <w:rsid w:val="00982041"/>
    <w:rsid w:val="00983099"/>
    <w:rsid w:val="009832E7"/>
    <w:rsid w:val="009836DB"/>
    <w:rsid w:val="00984A57"/>
    <w:rsid w:val="00984EF3"/>
    <w:rsid w:val="009868B1"/>
    <w:rsid w:val="009911A1"/>
    <w:rsid w:val="00992322"/>
    <w:rsid w:val="00993261"/>
    <w:rsid w:val="00993578"/>
    <w:rsid w:val="0099630F"/>
    <w:rsid w:val="00997B82"/>
    <w:rsid w:val="00997E03"/>
    <w:rsid w:val="009A0770"/>
    <w:rsid w:val="009A0BA3"/>
    <w:rsid w:val="009A1A8B"/>
    <w:rsid w:val="009A2A56"/>
    <w:rsid w:val="009A418D"/>
    <w:rsid w:val="009A520C"/>
    <w:rsid w:val="009A6EB5"/>
    <w:rsid w:val="009A75FE"/>
    <w:rsid w:val="009B137E"/>
    <w:rsid w:val="009B2144"/>
    <w:rsid w:val="009B6315"/>
    <w:rsid w:val="009B6C73"/>
    <w:rsid w:val="009C4645"/>
    <w:rsid w:val="009C59F9"/>
    <w:rsid w:val="009C63B1"/>
    <w:rsid w:val="009C6C6F"/>
    <w:rsid w:val="009D0173"/>
    <w:rsid w:val="009D0895"/>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3FFA"/>
    <w:rsid w:val="009E6590"/>
    <w:rsid w:val="009F01CF"/>
    <w:rsid w:val="009F06C5"/>
    <w:rsid w:val="009F0C46"/>
    <w:rsid w:val="009F2607"/>
    <w:rsid w:val="009F2B8E"/>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66A4"/>
    <w:rsid w:val="00A179D3"/>
    <w:rsid w:val="00A23587"/>
    <w:rsid w:val="00A23EE3"/>
    <w:rsid w:val="00A25A3F"/>
    <w:rsid w:val="00A25C59"/>
    <w:rsid w:val="00A3012B"/>
    <w:rsid w:val="00A30F3D"/>
    <w:rsid w:val="00A31F82"/>
    <w:rsid w:val="00A350E9"/>
    <w:rsid w:val="00A3538E"/>
    <w:rsid w:val="00A3720D"/>
    <w:rsid w:val="00A37505"/>
    <w:rsid w:val="00A40594"/>
    <w:rsid w:val="00A41A0B"/>
    <w:rsid w:val="00A44C46"/>
    <w:rsid w:val="00A452BB"/>
    <w:rsid w:val="00A455E5"/>
    <w:rsid w:val="00A455F7"/>
    <w:rsid w:val="00A456F5"/>
    <w:rsid w:val="00A45853"/>
    <w:rsid w:val="00A46E22"/>
    <w:rsid w:val="00A513D2"/>
    <w:rsid w:val="00A51406"/>
    <w:rsid w:val="00A530A2"/>
    <w:rsid w:val="00A54120"/>
    <w:rsid w:val="00A54A51"/>
    <w:rsid w:val="00A56887"/>
    <w:rsid w:val="00A60B29"/>
    <w:rsid w:val="00A60B80"/>
    <w:rsid w:val="00A61197"/>
    <w:rsid w:val="00A63267"/>
    <w:rsid w:val="00A64046"/>
    <w:rsid w:val="00A64535"/>
    <w:rsid w:val="00A71411"/>
    <w:rsid w:val="00A71C30"/>
    <w:rsid w:val="00A71EF1"/>
    <w:rsid w:val="00A72235"/>
    <w:rsid w:val="00A72A25"/>
    <w:rsid w:val="00A736A6"/>
    <w:rsid w:val="00A740D7"/>
    <w:rsid w:val="00A75555"/>
    <w:rsid w:val="00A759CD"/>
    <w:rsid w:val="00A776D2"/>
    <w:rsid w:val="00A82C81"/>
    <w:rsid w:val="00A836BF"/>
    <w:rsid w:val="00A83C4D"/>
    <w:rsid w:val="00A83D4C"/>
    <w:rsid w:val="00A84317"/>
    <w:rsid w:val="00A85490"/>
    <w:rsid w:val="00A85845"/>
    <w:rsid w:val="00A86794"/>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5D0C"/>
    <w:rsid w:val="00AA6712"/>
    <w:rsid w:val="00AA6B2C"/>
    <w:rsid w:val="00AB15E6"/>
    <w:rsid w:val="00AB1EE0"/>
    <w:rsid w:val="00AB2014"/>
    <w:rsid w:val="00AB234B"/>
    <w:rsid w:val="00AB23FC"/>
    <w:rsid w:val="00AB249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68F6"/>
    <w:rsid w:val="00AF17F6"/>
    <w:rsid w:val="00AF4901"/>
    <w:rsid w:val="00AF4B88"/>
    <w:rsid w:val="00AF670F"/>
    <w:rsid w:val="00AF75AC"/>
    <w:rsid w:val="00AF766A"/>
    <w:rsid w:val="00AF7C1B"/>
    <w:rsid w:val="00B012B6"/>
    <w:rsid w:val="00B014BB"/>
    <w:rsid w:val="00B045EC"/>
    <w:rsid w:val="00B058FF"/>
    <w:rsid w:val="00B074D0"/>
    <w:rsid w:val="00B10CFD"/>
    <w:rsid w:val="00B11E34"/>
    <w:rsid w:val="00B134B0"/>
    <w:rsid w:val="00B14A84"/>
    <w:rsid w:val="00B158C3"/>
    <w:rsid w:val="00B22517"/>
    <w:rsid w:val="00B2293D"/>
    <w:rsid w:val="00B2353C"/>
    <w:rsid w:val="00B272BE"/>
    <w:rsid w:val="00B27A14"/>
    <w:rsid w:val="00B32C84"/>
    <w:rsid w:val="00B33E5E"/>
    <w:rsid w:val="00B34D85"/>
    <w:rsid w:val="00B3567F"/>
    <w:rsid w:val="00B3710C"/>
    <w:rsid w:val="00B37FE3"/>
    <w:rsid w:val="00B413CC"/>
    <w:rsid w:val="00B41521"/>
    <w:rsid w:val="00B415FE"/>
    <w:rsid w:val="00B42205"/>
    <w:rsid w:val="00B43502"/>
    <w:rsid w:val="00B445B9"/>
    <w:rsid w:val="00B46A08"/>
    <w:rsid w:val="00B46C4E"/>
    <w:rsid w:val="00B47DAA"/>
    <w:rsid w:val="00B504BE"/>
    <w:rsid w:val="00B506B0"/>
    <w:rsid w:val="00B51FD6"/>
    <w:rsid w:val="00B52A04"/>
    <w:rsid w:val="00B53238"/>
    <w:rsid w:val="00B5343C"/>
    <w:rsid w:val="00B53B5A"/>
    <w:rsid w:val="00B53EA7"/>
    <w:rsid w:val="00B561E7"/>
    <w:rsid w:val="00B568BF"/>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16FF"/>
    <w:rsid w:val="00B92345"/>
    <w:rsid w:val="00B925E5"/>
    <w:rsid w:val="00B92C4F"/>
    <w:rsid w:val="00B9530E"/>
    <w:rsid w:val="00B95B12"/>
    <w:rsid w:val="00B96026"/>
    <w:rsid w:val="00BA02A3"/>
    <w:rsid w:val="00BA14BA"/>
    <w:rsid w:val="00BA17A9"/>
    <w:rsid w:val="00BA1F6D"/>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D6F"/>
    <w:rsid w:val="00BC4C6A"/>
    <w:rsid w:val="00BC57F5"/>
    <w:rsid w:val="00BC782B"/>
    <w:rsid w:val="00BD498B"/>
    <w:rsid w:val="00BD604B"/>
    <w:rsid w:val="00BD65CD"/>
    <w:rsid w:val="00BD6A7C"/>
    <w:rsid w:val="00BD768A"/>
    <w:rsid w:val="00BD7AFF"/>
    <w:rsid w:val="00BD7CA7"/>
    <w:rsid w:val="00BE13B9"/>
    <w:rsid w:val="00BE2BF4"/>
    <w:rsid w:val="00BE4FCF"/>
    <w:rsid w:val="00BE5DA9"/>
    <w:rsid w:val="00BE69FF"/>
    <w:rsid w:val="00BF0872"/>
    <w:rsid w:val="00BF1745"/>
    <w:rsid w:val="00BF19FA"/>
    <w:rsid w:val="00BF4C3E"/>
    <w:rsid w:val="00BF54B5"/>
    <w:rsid w:val="00BF757A"/>
    <w:rsid w:val="00BF7FA7"/>
    <w:rsid w:val="00C017FF"/>
    <w:rsid w:val="00C01FBD"/>
    <w:rsid w:val="00C02090"/>
    <w:rsid w:val="00C03970"/>
    <w:rsid w:val="00C04AA0"/>
    <w:rsid w:val="00C060B9"/>
    <w:rsid w:val="00C06806"/>
    <w:rsid w:val="00C0746C"/>
    <w:rsid w:val="00C07ED9"/>
    <w:rsid w:val="00C11341"/>
    <w:rsid w:val="00C17352"/>
    <w:rsid w:val="00C17507"/>
    <w:rsid w:val="00C17BFA"/>
    <w:rsid w:val="00C22767"/>
    <w:rsid w:val="00C22C2F"/>
    <w:rsid w:val="00C25992"/>
    <w:rsid w:val="00C2610D"/>
    <w:rsid w:val="00C267E3"/>
    <w:rsid w:val="00C27B64"/>
    <w:rsid w:val="00C30167"/>
    <w:rsid w:val="00C308DC"/>
    <w:rsid w:val="00C31807"/>
    <w:rsid w:val="00C31AC5"/>
    <w:rsid w:val="00C31CE3"/>
    <w:rsid w:val="00C3206E"/>
    <w:rsid w:val="00C37F27"/>
    <w:rsid w:val="00C40CC6"/>
    <w:rsid w:val="00C41E59"/>
    <w:rsid w:val="00C449B4"/>
    <w:rsid w:val="00C4510D"/>
    <w:rsid w:val="00C471D2"/>
    <w:rsid w:val="00C47231"/>
    <w:rsid w:val="00C4754D"/>
    <w:rsid w:val="00C52276"/>
    <w:rsid w:val="00C52AC1"/>
    <w:rsid w:val="00C5311E"/>
    <w:rsid w:val="00C5343D"/>
    <w:rsid w:val="00C54A52"/>
    <w:rsid w:val="00C60A5E"/>
    <w:rsid w:val="00C61028"/>
    <w:rsid w:val="00C62B36"/>
    <w:rsid w:val="00C63219"/>
    <w:rsid w:val="00C64182"/>
    <w:rsid w:val="00C70604"/>
    <w:rsid w:val="00C7392F"/>
    <w:rsid w:val="00C74622"/>
    <w:rsid w:val="00C74920"/>
    <w:rsid w:val="00C7610F"/>
    <w:rsid w:val="00C773AA"/>
    <w:rsid w:val="00C773F9"/>
    <w:rsid w:val="00C775A1"/>
    <w:rsid w:val="00C77B0A"/>
    <w:rsid w:val="00C8091E"/>
    <w:rsid w:val="00C80EE0"/>
    <w:rsid w:val="00C8162B"/>
    <w:rsid w:val="00C816BA"/>
    <w:rsid w:val="00C81CA2"/>
    <w:rsid w:val="00C8291D"/>
    <w:rsid w:val="00C833B1"/>
    <w:rsid w:val="00C91C9D"/>
    <w:rsid w:val="00C93A2E"/>
    <w:rsid w:val="00C9595B"/>
    <w:rsid w:val="00C96BF3"/>
    <w:rsid w:val="00C97AFD"/>
    <w:rsid w:val="00CA13D6"/>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2B30"/>
    <w:rsid w:val="00CC3532"/>
    <w:rsid w:val="00CC5AC0"/>
    <w:rsid w:val="00CC6554"/>
    <w:rsid w:val="00CD00BC"/>
    <w:rsid w:val="00CD1954"/>
    <w:rsid w:val="00CD1F12"/>
    <w:rsid w:val="00CD34FF"/>
    <w:rsid w:val="00CD37B5"/>
    <w:rsid w:val="00CD3B65"/>
    <w:rsid w:val="00CD3CB1"/>
    <w:rsid w:val="00CD43FA"/>
    <w:rsid w:val="00CD608D"/>
    <w:rsid w:val="00CD7616"/>
    <w:rsid w:val="00CD795A"/>
    <w:rsid w:val="00CE11DD"/>
    <w:rsid w:val="00CE30EF"/>
    <w:rsid w:val="00CE3283"/>
    <w:rsid w:val="00CE4D95"/>
    <w:rsid w:val="00CE629D"/>
    <w:rsid w:val="00CF07E6"/>
    <w:rsid w:val="00CF1BAF"/>
    <w:rsid w:val="00CF226E"/>
    <w:rsid w:val="00CF232C"/>
    <w:rsid w:val="00CF2562"/>
    <w:rsid w:val="00CF33B6"/>
    <w:rsid w:val="00CF406F"/>
    <w:rsid w:val="00CF5521"/>
    <w:rsid w:val="00CF656C"/>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B1C"/>
    <w:rsid w:val="00D17DD1"/>
    <w:rsid w:val="00D22406"/>
    <w:rsid w:val="00D2384D"/>
    <w:rsid w:val="00D25869"/>
    <w:rsid w:val="00D25C0A"/>
    <w:rsid w:val="00D25D86"/>
    <w:rsid w:val="00D263F1"/>
    <w:rsid w:val="00D26487"/>
    <w:rsid w:val="00D265C8"/>
    <w:rsid w:val="00D323C4"/>
    <w:rsid w:val="00D33F2B"/>
    <w:rsid w:val="00D34189"/>
    <w:rsid w:val="00D34CE8"/>
    <w:rsid w:val="00D3593A"/>
    <w:rsid w:val="00D375D6"/>
    <w:rsid w:val="00D4001C"/>
    <w:rsid w:val="00D438F0"/>
    <w:rsid w:val="00D44372"/>
    <w:rsid w:val="00D443D4"/>
    <w:rsid w:val="00D45834"/>
    <w:rsid w:val="00D4603C"/>
    <w:rsid w:val="00D5206B"/>
    <w:rsid w:val="00D52ADB"/>
    <w:rsid w:val="00D53161"/>
    <w:rsid w:val="00D5508F"/>
    <w:rsid w:val="00D55786"/>
    <w:rsid w:val="00D55EC2"/>
    <w:rsid w:val="00D55F02"/>
    <w:rsid w:val="00D60812"/>
    <w:rsid w:val="00D60A30"/>
    <w:rsid w:val="00D623DD"/>
    <w:rsid w:val="00D62D39"/>
    <w:rsid w:val="00D632DB"/>
    <w:rsid w:val="00D63708"/>
    <w:rsid w:val="00D643B5"/>
    <w:rsid w:val="00D6481B"/>
    <w:rsid w:val="00D66900"/>
    <w:rsid w:val="00D66BB9"/>
    <w:rsid w:val="00D67371"/>
    <w:rsid w:val="00D70935"/>
    <w:rsid w:val="00D724FE"/>
    <w:rsid w:val="00D759E5"/>
    <w:rsid w:val="00D77706"/>
    <w:rsid w:val="00D77A2F"/>
    <w:rsid w:val="00D80219"/>
    <w:rsid w:val="00D8128F"/>
    <w:rsid w:val="00D82717"/>
    <w:rsid w:val="00D82D31"/>
    <w:rsid w:val="00D82E17"/>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7B"/>
    <w:rsid w:val="00DB0AED"/>
    <w:rsid w:val="00DB10AB"/>
    <w:rsid w:val="00DB1F0A"/>
    <w:rsid w:val="00DB3001"/>
    <w:rsid w:val="00DB3CCC"/>
    <w:rsid w:val="00DB53CB"/>
    <w:rsid w:val="00DB67F3"/>
    <w:rsid w:val="00DC11F9"/>
    <w:rsid w:val="00DC2867"/>
    <w:rsid w:val="00DC343A"/>
    <w:rsid w:val="00DD130F"/>
    <w:rsid w:val="00DD229C"/>
    <w:rsid w:val="00DD4131"/>
    <w:rsid w:val="00DD4387"/>
    <w:rsid w:val="00DD5B36"/>
    <w:rsid w:val="00DE295D"/>
    <w:rsid w:val="00DE2B95"/>
    <w:rsid w:val="00DE45E9"/>
    <w:rsid w:val="00DE51F9"/>
    <w:rsid w:val="00DE56BC"/>
    <w:rsid w:val="00DE7746"/>
    <w:rsid w:val="00DE7F8F"/>
    <w:rsid w:val="00DF03B9"/>
    <w:rsid w:val="00DF0C4B"/>
    <w:rsid w:val="00DF0F34"/>
    <w:rsid w:val="00DF1657"/>
    <w:rsid w:val="00DF36FD"/>
    <w:rsid w:val="00DF38F5"/>
    <w:rsid w:val="00DF4C52"/>
    <w:rsid w:val="00DF6462"/>
    <w:rsid w:val="00DF6D4A"/>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61D"/>
    <w:rsid w:val="00E23FD9"/>
    <w:rsid w:val="00E241D9"/>
    <w:rsid w:val="00E24E21"/>
    <w:rsid w:val="00E26111"/>
    <w:rsid w:val="00E27F54"/>
    <w:rsid w:val="00E30277"/>
    <w:rsid w:val="00E308BB"/>
    <w:rsid w:val="00E313CE"/>
    <w:rsid w:val="00E3244D"/>
    <w:rsid w:val="00E32751"/>
    <w:rsid w:val="00E33895"/>
    <w:rsid w:val="00E3398B"/>
    <w:rsid w:val="00E367DC"/>
    <w:rsid w:val="00E36D70"/>
    <w:rsid w:val="00E37693"/>
    <w:rsid w:val="00E377C9"/>
    <w:rsid w:val="00E37B82"/>
    <w:rsid w:val="00E37D59"/>
    <w:rsid w:val="00E42E68"/>
    <w:rsid w:val="00E449C3"/>
    <w:rsid w:val="00E453B2"/>
    <w:rsid w:val="00E46571"/>
    <w:rsid w:val="00E501E2"/>
    <w:rsid w:val="00E5374C"/>
    <w:rsid w:val="00E5484C"/>
    <w:rsid w:val="00E550CC"/>
    <w:rsid w:val="00E55672"/>
    <w:rsid w:val="00E56FEA"/>
    <w:rsid w:val="00E60196"/>
    <w:rsid w:val="00E61F8D"/>
    <w:rsid w:val="00E63C2D"/>
    <w:rsid w:val="00E67590"/>
    <w:rsid w:val="00E67F1D"/>
    <w:rsid w:val="00E709FC"/>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C4B"/>
    <w:rsid w:val="00E965EE"/>
    <w:rsid w:val="00E9683E"/>
    <w:rsid w:val="00E96ECC"/>
    <w:rsid w:val="00E9744A"/>
    <w:rsid w:val="00E97657"/>
    <w:rsid w:val="00EA2A51"/>
    <w:rsid w:val="00EA3F51"/>
    <w:rsid w:val="00EA536C"/>
    <w:rsid w:val="00EA5574"/>
    <w:rsid w:val="00EB0052"/>
    <w:rsid w:val="00EB0FBB"/>
    <w:rsid w:val="00EB215C"/>
    <w:rsid w:val="00EB3768"/>
    <w:rsid w:val="00EB3A44"/>
    <w:rsid w:val="00EB5817"/>
    <w:rsid w:val="00EB5D26"/>
    <w:rsid w:val="00EB7522"/>
    <w:rsid w:val="00EB7D69"/>
    <w:rsid w:val="00EC2870"/>
    <w:rsid w:val="00EC2AC1"/>
    <w:rsid w:val="00EC4184"/>
    <w:rsid w:val="00EC70FA"/>
    <w:rsid w:val="00EC7BA7"/>
    <w:rsid w:val="00ED0CB1"/>
    <w:rsid w:val="00ED230B"/>
    <w:rsid w:val="00ED3570"/>
    <w:rsid w:val="00ED368F"/>
    <w:rsid w:val="00ED3B71"/>
    <w:rsid w:val="00ED4A3F"/>
    <w:rsid w:val="00ED4FDE"/>
    <w:rsid w:val="00ED6D87"/>
    <w:rsid w:val="00EE1DB5"/>
    <w:rsid w:val="00EE3357"/>
    <w:rsid w:val="00EF0C29"/>
    <w:rsid w:val="00EF30E2"/>
    <w:rsid w:val="00EF3119"/>
    <w:rsid w:val="00EF3282"/>
    <w:rsid w:val="00EF6C64"/>
    <w:rsid w:val="00F016BB"/>
    <w:rsid w:val="00F039CF"/>
    <w:rsid w:val="00F05328"/>
    <w:rsid w:val="00F05335"/>
    <w:rsid w:val="00F0536E"/>
    <w:rsid w:val="00F05D39"/>
    <w:rsid w:val="00F06333"/>
    <w:rsid w:val="00F06593"/>
    <w:rsid w:val="00F0725A"/>
    <w:rsid w:val="00F10E47"/>
    <w:rsid w:val="00F11A4E"/>
    <w:rsid w:val="00F12F6E"/>
    <w:rsid w:val="00F13CBC"/>
    <w:rsid w:val="00F14855"/>
    <w:rsid w:val="00F21417"/>
    <w:rsid w:val="00F21E4B"/>
    <w:rsid w:val="00F22A72"/>
    <w:rsid w:val="00F231CE"/>
    <w:rsid w:val="00F247C8"/>
    <w:rsid w:val="00F25BF4"/>
    <w:rsid w:val="00F2635E"/>
    <w:rsid w:val="00F278B9"/>
    <w:rsid w:val="00F30AFD"/>
    <w:rsid w:val="00F318C5"/>
    <w:rsid w:val="00F3199A"/>
    <w:rsid w:val="00F319A5"/>
    <w:rsid w:val="00F32C8C"/>
    <w:rsid w:val="00F33B1D"/>
    <w:rsid w:val="00F343E0"/>
    <w:rsid w:val="00F360B3"/>
    <w:rsid w:val="00F40A28"/>
    <w:rsid w:val="00F41232"/>
    <w:rsid w:val="00F41319"/>
    <w:rsid w:val="00F421E6"/>
    <w:rsid w:val="00F4303A"/>
    <w:rsid w:val="00F475D0"/>
    <w:rsid w:val="00F5118A"/>
    <w:rsid w:val="00F555B0"/>
    <w:rsid w:val="00F6162A"/>
    <w:rsid w:val="00F66759"/>
    <w:rsid w:val="00F677CF"/>
    <w:rsid w:val="00F67967"/>
    <w:rsid w:val="00F67CF6"/>
    <w:rsid w:val="00F72651"/>
    <w:rsid w:val="00F8175E"/>
    <w:rsid w:val="00F81B05"/>
    <w:rsid w:val="00F81F15"/>
    <w:rsid w:val="00F82049"/>
    <w:rsid w:val="00F82C9F"/>
    <w:rsid w:val="00F8388A"/>
    <w:rsid w:val="00F84E80"/>
    <w:rsid w:val="00F87537"/>
    <w:rsid w:val="00F90435"/>
    <w:rsid w:val="00F947DC"/>
    <w:rsid w:val="00F97424"/>
    <w:rsid w:val="00F9781A"/>
    <w:rsid w:val="00FA057C"/>
    <w:rsid w:val="00FA086F"/>
    <w:rsid w:val="00FA0D16"/>
    <w:rsid w:val="00FA185B"/>
    <w:rsid w:val="00FA60BF"/>
    <w:rsid w:val="00FA6883"/>
    <w:rsid w:val="00FA7405"/>
    <w:rsid w:val="00FB0D12"/>
    <w:rsid w:val="00FB1CB4"/>
    <w:rsid w:val="00FB3D40"/>
    <w:rsid w:val="00FB44EB"/>
    <w:rsid w:val="00FB675F"/>
    <w:rsid w:val="00FB7ABD"/>
    <w:rsid w:val="00FC1300"/>
    <w:rsid w:val="00FC1C93"/>
    <w:rsid w:val="00FC42A3"/>
    <w:rsid w:val="00FC55F9"/>
    <w:rsid w:val="00FC60D4"/>
    <w:rsid w:val="00FC77AE"/>
    <w:rsid w:val="00FC7D9F"/>
    <w:rsid w:val="00FD10B0"/>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3255"/>
    <w:rsid w:val="00FF682F"/>
    <w:rsid w:val="020A6A96"/>
    <w:rsid w:val="02700047"/>
    <w:rsid w:val="0356786B"/>
    <w:rsid w:val="03621442"/>
    <w:rsid w:val="046E31C1"/>
    <w:rsid w:val="05032049"/>
    <w:rsid w:val="056C4F65"/>
    <w:rsid w:val="06F4696E"/>
    <w:rsid w:val="07245E56"/>
    <w:rsid w:val="072779FF"/>
    <w:rsid w:val="08B02EA2"/>
    <w:rsid w:val="09C9258B"/>
    <w:rsid w:val="0B34283A"/>
    <w:rsid w:val="0BAE1AE0"/>
    <w:rsid w:val="0BB762F5"/>
    <w:rsid w:val="0C023D8C"/>
    <w:rsid w:val="0E94232E"/>
    <w:rsid w:val="0F1306D5"/>
    <w:rsid w:val="10F01A1A"/>
    <w:rsid w:val="11295396"/>
    <w:rsid w:val="12302283"/>
    <w:rsid w:val="123618AD"/>
    <w:rsid w:val="12546039"/>
    <w:rsid w:val="14C70C81"/>
    <w:rsid w:val="14DF29AF"/>
    <w:rsid w:val="14F17F49"/>
    <w:rsid w:val="15144EC3"/>
    <w:rsid w:val="163E2FB7"/>
    <w:rsid w:val="190F41BD"/>
    <w:rsid w:val="19645879"/>
    <w:rsid w:val="19AC2481"/>
    <w:rsid w:val="1A48157B"/>
    <w:rsid w:val="1ABE2ED9"/>
    <w:rsid w:val="1BD70953"/>
    <w:rsid w:val="1BF87698"/>
    <w:rsid w:val="1C78144D"/>
    <w:rsid w:val="1CD60A49"/>
    <w:rsid w:val="1E585AB7"/>
    <w:rsid w:val="1EB160C2"/>
    <w:rsid w:val="1FF145B9"/>
    <w:rsid w:val="207D26DF"/>
    <w:rsid w:val="2193546F"/>
    <w:rsid w:val="23083986"/>
    <w:rsid w:val="23AF29A3"/>
    <w:rsid w:val="26123FD6"/>
    <w:rsid w:val="26F50BA9"/>
    <w:rsid w:val="29026D00"/>
    <w:rsid w:val="29E76254"/>
    <w:rsid w:val="2A642791"/>
    <w:rsid w:val="2DB01609"/>
    <w:rsid w:val="2EA644DF"/>
    <w:rsid w:val="2FB532A0"/>
    <w:rsid w:val="2FC02C2F"/>
    <w:rsid w:val="2FF37D0C"/>
    <w:rsid w:val="30257ABB"/>
    <w:rsid w:val="319C4BEA"/>
    <w:rsid w:val="337E5E72"/>
    <w:rsid w:val="33DA2E89"/>
    <w:rsid w:val="34C829B2"/>
    <w:rsid w:val="35381804"/>
    <w:rsid w:val="36E45E20"/>
    <w:rsid w:val="386A3F56"/>
    <w:rsid w:val="38FC6385"/>
    <w:rsid w:val="3A810EF7"/>
    <w:rsid w:val="3C3802E9"/>
    <w:rsid w:val="3E0C1771"/>
    <w:rsid w:val="3E586AB8"/>
    <w:rsid w:val="3E5C1B1D"/>
    <w:rsid w:val="3EAE14E9"/>
    <w:rsid w:val="3FD261A6"/>
    <w:rsid w:val="3FEE509E"/>
    <w:rsid w:val="404E41C0"/>
    <w:rsid w:val="42EB2F9C"/>
    <w:rsid w:val="43380D15"/>
    <w:rsid w:val="43670202"/>
    <w:rsid w:val="45226963"/>
    <w:rsid w:val="45843AB1"/>
    <w:rsid w:val="469F5C49"/>
    <w:rsid w:val="47DE0F9A"/>
    <w:rsid w:val="4D39606F"/>
    <w:rsid w:val="4F8E3D4D"/>
    <w:rsid w:val="4FA308F4"/>
    <w:rsid w:val="4FFA094D"/>
    <w:rsid w:val="53B3493A"/>
    <w:rsid w:val="54FA7874"/>
    <w:rsid w:val="5537323C"/>
    <w:rsid w:val="55855837"/>
    <w:rsid w:val="565011AF"/>
    <w:rsid w:val="56503211"/>
    <w:rsid w:val="56D530F1"/>
    <w:rsid w:val="57BD5DAE"/>
    <w:rsid w:val="598B567E"/>
    <w:rsid w:val="59AC322E"/>
    <w:rsid w:val="5A1819D0"/>
    <w:rsid w:val="5B2B76E0"/>
    <w:rsid w:val="5B5D4C61"/>
    <w:rsid w:val="5BA577EB"/>
    <w:rsid w:val="5C0A5A92"/>
    <w:rsid w:val="5C624734"/>
    <w:rsid w:val="5C9F76ED"/>
    <w:rsid w:val="5FE91ABC"/>
    <w:rsid w:val="60D42826"/>
    <w:rsid w:val="62597F97"/>
    <w:rsid w:val="628E734C"/>
    <w:rsid w:val="63134AEC"/>
    <w:rsid w:val="642F6CC2"/>
    <w:rsid w:val="644D235A"/>
    <w:rsid w:val="64F66D8D"/>
    <w:rsid w:val="6580603B"/>
    <w:rsid w:val="68B96EA7"/>
    <w:rsid w:val="68C7223A"/>
    <w:rsid w:val="68EF6886"/>
    <w:rsid w:val="694A7300"/>
    <w:rsid w:val="699457CF"/>
    <w:rsid w:val="6FDD1093"/>
    <w:rsid w:val="709C0126"/>
    <w:rsid w:val="727B3D9C"/>
    <w:rsid w:val="72F640B6"/>
    <w:rsid w:val="735A1493"/>
    <w:rsid w:val="73731560"/>
    <w:rsid w:val="73D318F9"/>
    <w:rsid w:val="73EB7F47"/>
    <w:rsid w:val="745F42C5"/>
    <w:rsid w:val="75CA0323"/>
    <w:rsid w:val="76022652"/>
    <w:rsid w:val="768501BE"/>
    <w:rsid w:val="76C8601E"/>
    <w:rsid w:val="7D80556D"/>
    <w:rsid w:val="7ED86E63"/>
    <w:rsid w:val="7EFC2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AEEB1B7-F47D-4AFF-902F-0A79111B6E84}">
  <ds:schemaRefs/>
</ds:datastoreItem>
</file>

<file path=customXml/itemProps11.xml><?xml version="1.0" encoding="utf-8"?>
<ds:datastoreItem xmlns:ds="http://schemas.openxmlformats.org/officeDocument/2006/customXml" ds:itemID="{9114D43D-ED98-4C7B-A3AE-26D78B80CA82}">
  <ds:schemaRefs/>
</ds:datastoreItem>
</file>

<file path=customXml/itemProps12.xml><?xml version="1.0" encoding="utf-8"?>
<ds:datastoreItem xmlns:ds="http://schemas.openxmlformats.org/officeDocument/2006/customXml" ds:itemID="{D902962D-C8CC-43BF-804A-CD60AE6D7475}">
  <ds:schemaRefs/>
</ds:datastoreItem>
</file>

<file path=customXml/itemProps13.xml><?xml version="1.0" encoding="utf-8"?>
<ds:datastoreItem xmlns:ds="http://schemas.openxmlformats.org/officeDocument/2006/customXml" ds:itemID="{A06CD169-7F5C-4082-81B2-6ECAA9AF6149}">
  <ds:schemaRefs/>
</ds:datastoreItem>
</file>

<file path=customXml/itemProps14.xml><?xml version="1.0" encoding="utf-8"?>
<ds:datastoreItem xmlns:ds="http://schemas.openxmlformats.org/officeDocument/2006/customXml" ds:itemID="{BEEE0313-55EB-45FA-BBBD-C0232D367255}">
  <ds:schemaRefs/>
</ds:datastoreItem>
</file>

<file path=customXml/itemProps15.xml><?xml version="1.0" encoding="utf-8"?>
<ds:datastoreItem xmlns:ds="http://schemas.openxmlformats.org/officeDocument/2006/customXml" ds:itemID="{AC86F3EB-DB57-4B60-8A7E-BBB67A22EE0B}">
  <ds:schemaRefs/>
</ds:datastoreItem>
</file>

<file path=customXml/itemProps16.xml><?xml version="1.0" encoding="utf-8"?>
<ds:datastoreItem xmlns:ds="http://schemas.openxmlformats.org/officeDocument/2006/customXml" ds:itemID="{E6D3D55C-3DD8-4C31-8069-E5508DD844FB}">
  <ds:schemaRefs/>
</ds:datastoreItem>
</file>

<file path=customXml/itemProps17.xml><?xml version="1.0" encoding="utf-8"?>
<ds:datastoreItem xmlns:ds="http://schemas.openxmlformats.org/officeDocument/2006/customXml" ds:itemID="{7E5C9D84-6DB6-48FB-8632-D5279FC233C8}">
  <ds:schemaRefs/>
</ds:datastoreItem>
</file>

<file path=customXml/itemProps18.xml><?xml version="1.0" encoding="utf-8"?>
<ds:datastoreItem xmlns:ds="http://schemas.openxmlformats.org/officeDocument/2006/customXml" ds:itemID="{CF487381-D648-48A1-B1E4-A4540B0D3650}">
  <ds:schemaRefs/>
</ds:datastoreItem>
</file>

<file path=customXml/itemProps2.xml><?xml version="1.0" encoding="utf-8"?>
<ds:datastoreItem xmlns:ds="http://schemas.openxmlformats.org/officeDocument/2006/customXml" ds:itemID="{EC45DDBE-A426-47CA-BC62-D025DE29F1BC}">
  <ds:schemaRefs/>
</ds:datastoreItem>
</file>

<file path=customXml/itemProps3.xml><?xml version="1.0" encoding="utf-8"?>
<ds:datastoreItem xmlns:ds="http://schemas.openxmlformats.org/officeDocument/2006/customXml" ds:itemID="{0A7AA9EF-3B8C-4BAA-9155-A6E3E5337D3C}">
  <ds:schemaRefs/>
</ds:datastoreItem>
</file>

<file path=customXml/itemProps4.xml><?xml version="1.0" encoding="utf-8"?>
<ds:datastoreItem xmlns:ds="http://schemas.openxmlformats.org/officeDocument/2006/customXml" ds:itemID="{3A3C3A8D-C5E4-45AF-8B48-C3BF528808AD}">
  <ds:schemaRefs/>
</ds:datastoreItem>
</file>

<file path=customXml/itemProps5.xml><?xml version="1.0" encoding="utf-8"?>
<ds:datastoreItem xmlns:ds="http://schemas.openxmlformats.org/officeDocument/2006/customXml" ds:itemID="{1A3BDF38-4832-4575-A8AB-7A1679738229}">
  <ds:schemaRefs/>
</ds:datastoreItem>
</file>

<file path=customXml/itemProps6.xml><?xml version="1.0" encoding="utf-8"?>
<ds:datastoreItem xmlns:ds="http://schemas.openxmlformats.org/officeDocument/2006/customXml" ds:itemID="{79B37214-9E52-4241-8DD2-9E9CD9442006}">
  <ds:schemaRefs/>
</ds:datastoreItem>
</file>

<file path=customXml/itemProps7.xml><?xml version="1.0" encoding="utf-8"?>
<ds:datastoreItem xmlns:ds="http://schemas.openxmlformats.org/officeDocument/2006/customXml" ds:itemID="{2108FF18-8EC8-4170-A536-1AA8E39CC797}">
  <ds:schemaRefs/>
</ds:datastoreItem>
</file>

<file path=customXml/itemProps8.xml><?xml version="1.0" encoding="utf-8"?>
<ds:datastoreItem xmlns:ds="http://schemas.openxmlformats.org/officeDocument/2006/customXml" ds:itemID="{1990A2D8-324F-45D5-B9CD-07245ED2860B}">
  <ds:schemaRefs/>
</ds:datastoreItem>
</file>

<file path=customXml/itemProps9.xml><?xml version="1.0" encoding="utf-8"?>
<ds:datastoreItem xmlns:ds="http://schemas.openxmlformats.org/officeDocument/2006/customXml" ds:itemID="{509BA638-9D3A-4AA3-A169-FF78BC0E4B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3787</Words>
  <Characters>21586</Characters>
  <Lines>179</Lines>
  <Paragraphs>50</Paragraphs>
  <TotalTime>49</TotalTime>
  <ScaleCrop>false</ScaleCrop>
  <LinksUpToDate>false</LinksUpToDate>
  <CharactersWithSpaces>25323</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2024-11-15T02:41:00Z</dcterms:created>
  <dc:creator>张淼雯</dc:creator>
  <cp:lastModifiedBy>cib</cp:lastModifiedBy>
  <cp:lastPrinted>2020-09-21T06:35:00Z</cp:lastPrinted>
  <dcterms:modified xsi:type="dcterms:W3CDTF">2025-07-08T03:00:09Z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0EC4E53844084BB8BF9E6D0327B3F36C</vt:lpwstr>
  </property>
</Properties>
</file>