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jc w:val="center"/>
        <w:rPr>
          <w:rFonts w:ascii="黑体" w:hAnsi="黑体" w:eastAsia="黑体"/>
          <w:b/>
          <w:sz w:val="28"/>
          <w:szCs w:val="28"/>
        </w:rPr>
      </w:pPr>
      <w:r>
        <w:rPr>
          <w:rFonts w:hint="eastAsia" w:ascii="黑体" w:hAnsi="黑体" w:eastAsia="黑体"/>
          <w:b/>
          <w:sz w:val="28"/>
          <w:szCs w:val="28"/>
        </w:rPr>
        <w:t>兴银理财</w:t>
      </w:r>
      <w:permStart w:id="0" w:edGrp="everyone"/>
      <w:r>
        <w:rPr>
          <w:rFonts w:hint="eastAsia" w:ascii="黑体" w:hAnsi="黑体" w:eastAsia="黑体"/>
          <w:b/>
          <w:sz w:val="28"/>
          <w:szCs w:val="28"/>
        </w:rPr>
        <w:t>【</w:t>
      </w:r>
      <w:bookmarkStart w:id="0" w:name="_GoBack"/>
      <w:bookmarkEnd w:id="0"/>
      <w:r>
        <w:rPr>
          <w:rFonts w:hint="eastAsia" w:ascii="黑体" w:hAnsi="黑体" w:eastAsia="黑体"/>
          <w:b/>
          <w:sz w:val="28"/>
          <w:szCs w:val="28"/>
        </w:rPr>
        <w:t>丰收封闭式固收类】</w:t>
      </w:r>
      <w:permEnd w:id="0"/>
      <w:r>
        <w:rPr>
          <w:rFonts w:hint="eastAsia" w:ascii="黑体" w:hAnsi="黑体" w:eastAsia="黑体"/>
          <w:b/>
          <w:sz w:val="28"/>
          <w:szCs w:val="28"/>
        </w:rPr>
        <w:t>理财产品</w:t>
      </w:r>
    </w:p>
    <w:p>
      <w:pPr>
        <w:widowControl/>
        <w:spacing w:before="156"/>
        <w:jc w:val="center"/>
        <w:rPr>
          <w:rFonts w:ascii="黑体" w:hAnsi="黑体" w:eastAsia="黑体"/>
          <w:b/>
          <w:sz w:val="28"/>
          <w:szCs w:val="28"/>
        </w:rPr>
      </w:pPr>
      <w:r>
        <w:rPr>
          <w:rFonts w:hint="eastAsia" w:ascii="黑体" w:hAnsi="黑体" w:eastAsia="黑体"/>
          <w:b/>
          <w:sz w:val="28"/>
          <w:szCs w:val="28"/>
        </w:rPr>
        <w:t>（代理）销售协议书</w:t>
      </w:r>
    </w:p>
    <w:p>
      <w:pPr>
        <w:autoSpaceDE w:val="0"/>
        <w:autoSpaceDN w:val="0"/>
        <w:adjustRightInd w:val="0"/>
        <w:snapToGrid w:val="0"/>
        <w:spacing w:before="156" w:beforeLines="50" w:line="320" w:lineRule="exact"/>
        <w:jc w:val="center"/>
        <w:rPr>
          <w:rFonts w:ascii="宋体" w:hAnsi="宋体"/>
          <w:b/>
          <w:sz w:val="32"/>
          <w:szCs w:val="32"/>
        </w:rPr>
      </w:pPr>
      <w:r>
        <w:rPr>
          <w:rFonts w:hint="eastAsia" w:ascii="宋体" w:hAnsi="宋体"/>
          <w:b/>
          <w:sz w:val="24"/>
        </w:rPr>
        <w:t>理财非存款、产品有风险、投资须谨慎</w:t>
      </w:r>
    </w:p>
    <w:p>
      <w:pPr>
        <w:tabs>
          <w:tab w:val="left" w:pos="8070"/>
          <w:tab w:val="right" w:pos="8306"/>
        </w:tabs>
        <w:autoSpaceDE w:val="0"/>
        <w:autoSpaceDN w:val="0"/>
        <w:adjustRightInd w:val="0"/>
        <w:snapToGrid w:val="0"/>
        <w:spacing w:before="156" w:beforeLines="50" w:line="320" w:lineRule="exact"/>
        <w:jc w:val="center"/>
        <w:rPr>
          <w:rFonts w:ascii="宋体" w:hAnsi="宋体"/>
          <w:b/>
          <w:szCs w:val="21"/>
          <w:u w:val="single"/>
        </w:rPr>
      </w:pPr>
      <w:r>
        <w:rPr>
          <w:rFonts w:hint="eastAsia" w:ascii="宋体" w:hAnsi="宋体"/>
          <w:b/>
          <w:szCs w:val="21"/>
        </w:rPr>
        <w:t>协议编号：</w:t>
      </w:r>
    </w:p>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8"/>
        <w:tblW w:w="75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20" w:lineRule="exact"/>
              <w:jc w:val="center"/>
              <w:rPr>
                <w:rFonts w:ascii="宋体" w:hAnsi="宋体"/>
                <w:b/>
                <w:bCs/>
                <w:sz w:val="28"/>
                <w:szCs w:val="28"/>
              </w:rPr>
            </w:pPr>
            <w:r>
              <w:rPr>
                <w:rFonts w:hint="eastAsia" w:ascii="宋体" w:hAnsi="宋体"/>
                <w:b/>
                <w:bCs/>
                <w:sz w:val="28"/>
                <w:szCs w:val="28"/>
              </w:rPr>
              <w:t>信息栏</w:t>
            </w:r>
          </w:p>
          <w:p>
            <w:pPr>
              <w:pStyle w:val="5"/>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pPr>
              <w:pStyle w:val="5"/>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pPr>
              <w:spacing w:line="320" w:lineRule="exact"/>
              <w:jc w:val="left"/>
              <w:rPr>
                <w:rFonts w:ascii="宋体" w:hAnsi="宋体"/>
                <w:b/>
                <w:bCs/>
                <w:sz w:val="18"/>
                <w:szCs w:val="18"/>
              </w:rPr>
            </w:pPr>
            <w:permStart w:id="1" w:edGrp="everyone" w:colFirst="3" w:colLast="3"/>
            <w:r>
              <w:rPr>
                <w:rFonts w:hint="eastAsia" w:ascii="宋体" w:hAnsi="宋体"/>
                <w:b/>
                <w:bCs/>
                <w:sz w:val="18"/>
                <w:szCs w:val="18"/>
              </w:rPr>
              <w:t>投资者信息</w:t>
            </w:r>
          </w:p>
        </w:tc>
        <w:tc>
          <w:tcPr>
            <w:tcW w:w="635" w:type="dxa"/>
            <w:vMerge w:val="restart"/>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个人投资者适用</w:t>
            </w:r>
          </w:p>
        </w:tc>
        <w:tc>
          <w:tcPr>
            <w:tcW w:w="1085"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姓名</w:t>
            </w:r>
          </w:p>
        </w:tc>
        <w:tc>
          <w:tcPr>
            <w:tcW w:w="5061" w:type="dxa"/>
            <w:gridSpan w:val="3"/>
            <w:shd w:val="solid" w:color="FFFFFF" w:fill="FFFFFF"/>
            <w:vAlign w:val="center"/>
          </w:tcPr>
          <w:p>
            <w:pPr>
              <w:spacing w:line="320" w:lineRule="exact"/>
              <w:jc w:val="left"/>
              <w:rPr>
                <w:rFonts w:ascii="宋体" w:hAnsi="宋体"/>
                <w:bCs/>
                <w:sz w:val="18"/>
                <w:szCs w:val="18"/>
              </w:rPr>
            </w:pPr>
          </w:p>
        </w:tc>
      </w:tr>
      <w:permEnd w:id="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2" w:edGrp="everyone" w:colFirst="3" w:colLast="3"/>
            <w:permStart w:id="3" w:edGrp="everyone" w:colFirst="5" w:colLast="5"/>
          </w:p>
        </w:tc>
        <w:tc>
          <w:tcPr>
            <w:tcW w:w="635" w:type="dxa"/>
            <w:vMerge w:val="continue"/>
            <w:shd w:val="solid" w:color="FFFFFF" w:fill="FFFFFF"/>
            <w:vAlign w:val="center"/>
          </w:tcPr>
          <w:p>
            <w:pPr>
              <w:spacing w:line="320" w:lineRule="exact"/>
              <w:jc w:val="left"/>
              <w:rPr>
                <w:rFonts w:ascii="宋体" w:hAnsi="宋体"/>
                <w:bCs/>
                <w:sz w:val="18"/>
                <w:szCs w:val="18"/>
              </w:rPr>
            </w:pPr>
          </w:p>
        </w:tc>
        <w:tc>
          <w:tcPr>
            <w:tcW w:w="1085"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证件类型</w:t>
            </w:r>
          </w:p>
        </w:tc>
        <w:tc>
          <w:tcPr>
            <w:tcW w:w="1384" w:type="dxa"/>
            <w:shd w:val="solid" w:color="FFFFFF" w:fill="FFFFFF"/>
            <w:vAlign w:val="center"/>
          </w:tcPr>
          <w:p>
            <w:pPr>
              <w:spacing w:line="320" w:lineRule="exact"/>
              <w:jc w:val="left"/>
              <w:rPr>
                <w:rFonts w:ascii="宋体" w:hAnsi="宋体"/>
                <w:bCs/>
                <w:sz w:val="18"/>
                <w:szCs w:val="18"/>
              </w:rPr>
            </w:pPr>
          </w:p>
        </w:tc>
        <w:tc>
          <w:tcPr>
            <w:tcW w:w="1234"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证件号码</w:t>
            </w:r>
          </w:p>
        </w:tc>
        <w:tc>
          <w:tcPr>
            <w:tcW w:w="2443" w:type="dxa"/>
            <w:shd w:val="solid" w:color="FFFFFF" w:fill="FFFFFF"/>
            <w:vAlign w:val="center"/>
          </w:tcPr>
          <w:p>
            <w:pPr>
              <w:spacing w:line="320" w:lineRule="exact"/>
              <w:jc w:val="left"/>
              <w:rPr>
                <w:rFonts w:ascii="宋体" w:hAnsi="宋体"/>
                <w:bCs/>
                <w:sz w:val="18"/>
                <w:szCs w:val="18"/>
              </w:rPr>
            </w:pPr>
          </w:p>
        </w:tc>
      </w:tr>
      <w:permEnd w:id="2"/>
      <w:permEnd w:id="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4" w:edGrp="everyone" w:colFirst="3" w:colLast="3"/>
            <w:permStart w:id="5" w:edGrp="everyone" w:colFirst="5" w:colLast="5"/>
          </w:p>
        </w:tc>
        <w:tc>
          <w:tcPr>
            <w:tcW w:w="635" w:type="dxa"/>
            <w:vMerge w:val="continue"/>
            <w:shd w:val="solid" w:color="FFFFFF" w:fill="FFFFFF"/>
            <w:vAlign w:val="center"/>
          </w:tcPr>
          <w:p>
            <w:pPr>
              <w:spacing w:line="320" w:lineRule="exact"/>
              <w:jc w:val="left"/>
              <w:rPr>
                <w:rFonts w:ascii="宋体" w:hAnsi="宋体"/>
                <w:bCs/>
                <w:sz w:val="18"/>
                <w:szCs w:val="18"/>
              </w:rPr>
            </w:pPr>
          </w:p>
        </w:tc>
        <w:tc>
          <w:tcPr>
            <w:tcW w:w="1085"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联系电话</w:t>
            </w:r>
          </w:p>
        </w:tc>
        <w:tc>
          <w:tcPr>
            <w:tcW w:w="1384" w:type="dxa"/>
            <w:shd w:val="solid" w:color="FFFFFF" w:fill="FFFFFF"/>
            <w:vAlign w:val="center"/>
          </w:tcPr>
          <w:p>
            <w:pPr>
              <w:spacing w:line="320" w:lineRule="exact"/>
              <w:jc w:val="left"/>
              <w:rPr>
                <w:rFonts w:ascii="宋体" w:hAnsi="宋体"/>
                <w:bCs/>
                <w:sz w:val="18"/>
                <w:szCs w:val="18"/>
              </w:rPr>
            </w:pPr>
          </w:p>
        </w:tc>
        <w:tc>
          <w:tcPr>
            <w:tcW w:w="1234"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电子邮箱</w:t>
            </w:r>
          </w:p>
        </w:tc>
        <w:tc>
          <w:tcPr>
            <w:tcW w:w="2443" w:type="dxa"/>
            <w:shd w:val="solid" w:color="FFFFFF" w:fill="FFFFFF"/>
            <w:vAlign w:val="center"/>
          </w:tcPr>
          <w:p>
            <w:pPr>
              <w:spacing w:line="320" w:lineRule="exact"/>
              <w:jc w:val="left"/>
              <w:rPr>
                <w:rFonts w:ascii="宋体" w:hAnsi="宋体"/>
                <w:bCs/>
                <w:sz w:val="18"/>
                <w:szCs w:val="18"/>
              </w:rPr>
            </w:pPr>
          </w:p>
        </w:tc>
      </w:tr>
      <w:permEnd w:id="4"/>
      <w:permEnd w:id="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6" w:edGrp="everyone" w:colFirst="3" w:colLast="3"/>
          </w:p>
        </w:tc>
        <w:tc>
          <w:tcPr>
            <w:tcW w:w="635" w:type="dxa"/>
            <w:vMerge w:val="continue"/>
            <w:shd w:val="solid" w:color="FFFFFF" w:fill="FFFFFF"/>
            <w:vAlign w:val="center"/>
          </w:tcPr>
          <w:p>
            <w:pPr>
              <w:spacing w:line="320" w:lineRule="exact"/>
              <w:jc w:val="left"/>
              <w:rPr>
                <w:rFonts w:ascii="宋体" w:hAnsi="宋体"/>
                <w:bCs/>
                <w:sz w:val="18"/>
                <w:szCs w:val="18"/>
              </w:rPr>
            </w:pPr>
          </w:p>
        </w:tc>
        <w:tc>
          <w:tcPr>
            <w:tcW w:w="1085"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联系地址</w:t>
            </w:r>
          </w:p>
        </w:tc>
        <w:tc>
          <w:tcPr>
            <w:tcW w:w="5061" w:type="dxa"/>
            <w:gridSpan w:val="3"/>
            <w:shd w:val="solid" w:color="FFFFFF" w:fill="FFFFFF"/>
            <w:vAlign w:val="center"/>
          </w:tcPr>
          <w:p>
            <w:pPr>
              <w:spacing w:line="320" w:lineRule="exact"/>
              <w:jc w:val="left"/>
              <w:rPr>
                <w:rFonts w:ascii="宋体" w:hAnsi="宋体"/>
                <w:bCs/>
                <w:sz w:val="18"/>
                <w:szCs w:val="18"/>
              </w:rPr>
            </w:pPr>
          </w:p>
        </w:tc>
      </w:tr>
      <w:permEnd w:id="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7" w:edGrp="everyone" w:colFirst="3" w:colLast="3"/>
          </w:p>
        </w:tc>
        <w:tc>
          <w:tcPr>
            <w:tcW w:w="635" w:type="dxa"/>
            <w:vMerge w:val="continue"/>
            <w:shd w:val="solid" w:color="FFFFFF" w:fill="FFFFFF"/>
            <w:vAlign w:val="center"/>
          </w:tcPr>
          <w:p>
            <w:pPr>
              <w:spacing w:line="320" w:lineRule="exact"/>
              <w:jc w:val="left"/>
              <w:rPr>
                <w:rFonts w:ascii="宋体" w:hAnsi="宋体"/>
                <w:bCs/>
                <w:sz w:val="18"/>
                <w:szCs w:val="18"/>
              </w:rPr>
            </w:pPr>
          </w:p>
        </w:tc>
        <w:tc>
          <w:tcPr>
            <w:tcW w:w="1085" w:type="dxa"/>
            <w:tcBorders>
              <w:bottom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邮政编码</w:t>
            </w:r>
          </w:p>
        </w:tc>
        <w:tc>
          <w:tcPr>
            <w:tcW w:w="5061" w:type="dxa"/>
            <w:gridSpan w:val="3"/>
            <w:tcBorders>
              <w:bottom w:val="single" w:color="auto" w:sz="12" w:space="0"/>
            </w:tcBorders>
            <w:shd w:val="solid" w:color="FFFFFF" w:fill="FFFFFF"/>
            <w:vAlign w:val="center"/>
          </w:tcPr>
          <w:p>
            <w:pPr>
              <w:spacing w:line="320" w:lineRule="exact"/>
              <w:jc w:val="left"/>
              <w:rPr>
                <w:rFonts w:ascii="宋体" w:hAnsi="宋体"/>
                <w:bCs/>
                <w:sz w:val="18"/>
                <w:szCs w:val="18"/>
              </w:rPr>
            </w:pPr>
          </w:p>
        </w:tc>
      </w:tr>
      <w:permEnd w:id="7"/>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8" w:edGrp="everyone" w:colFirst="3" w:colLast="3"/>
          </w:p>
        </w:tc>
        <w:tc>
          <w:tcPr>
            <w:tcW w:w="635" w:type="dxa"/>
            <w:vMerge w:val="restart"/>
            <w:tcBorders>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9" w:edGrp="everyone" w:colFirst="3" w:colLast="3"/>
            <w:permStart w:id="10" w:edGrp="everyone" w:colFirst="5" w:colLast="5"/>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9"/>
      <w:permEnd w:id="10"/>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1" w:edGrp="everyone" w:colFirst="3" w:colLast="3"/>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1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2" w:edGrp="everyone" w:colFirst="3" w:colLast="3"/>
            <w:permStart w:id="13" w:edGrp="everyone" w:colFirst="5" w:colLast="5"/>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280" w:lineRule="exact"/>
              <w:jc w:val="left"/>
              <w:rPr>
                <w:rFonts w:ascii="宋体" w:hAnsi="宋体"/>
                <w:bCs/>
                <w:sz w:val="18"/>
                <w:szCs w:val="18"/>
              </w:rPr>
            </w:pPr>
            <w:r>
              <w:rPr>
                <w:rFonts w:hint="eastAsia" w:ascii="宋体" w:hAnsi="宋体"/>
                <w:bCs/>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12"/>
      <w:permEnd w:id="1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4" w:edGrp="everyone" w:colFirst="3" w:colLast="3"/>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1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ermStart w:id="15" w:edGrp="everyone" w:colFirst="3" w:colLast="3"/>
          </w:p>
        </w:tc>
        <w:tc>
          <w:tcPr>
            <w:tcW w:w="635" w:type="dxa"/>
            <w:vMerge w:val="continue"/>
            <w:tcBorders>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1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pStyle w:val="5"/>
              <w:pBdr>
                <w:bottom w:val="none" w:color="auto" w:sz="0" w:space="0"/>
              </w:pBdr>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销售</w:t>
            </w:r>
            <w:r>
              <w:rPr>
                <w:rFonts w:ascii="宋体" w:hAnsi="宋体"/>
                <w:b/>
                <w:bCs/>
                <w:sz w:val="18"/>
                <w:szCs w:val="18"/>
              </w:rPr>
              <w:t>机构信息</w:t>
            </w:r>
          </w:p>
        </w:tc>
        <w:tc>
          <w:tcPr>
            <w:tcW w:w="1720" w:type="dxa"/>
            <w:gridSpan w:val="2"/>
            <w:shd w:val="solid" w:color="FFFFFF" w:fill="FFFFFF"/>
            <w:vAlign w:val="center"/>
          </w:tcPr>
          <w:p>
            <w:pPr>
              <w:spacing w:line="320" w:lineRule="exact"/>
              <w:jc w:val="left"/>
              <w:rPr>
                <w:rFonts w:ascii="宋体" w:hAnsi="宋体"/>
                <w:bCs/>
                <w:sz w:val="18"/>
                <w:szCs w:val="18"/>
              </w:rPr>
            </w:pPr>
            <w:r>
              <w:rPr>
                <w:rFonts w:hint="eastAsia" w:hAnsi="宋体"/>
                <w:sz w:val="18"/>
                <w:szCs w:val="18"/>
              </w:rPr>
              <w:t>★</w:t>
            </w:r>
            <w:r>
              <w:rPr>
                <w:rFonts w:hint="eastAsia" w:ascii="宋体" w:hAnsi="宋体"/>
                <w:bCs/>
                <w:sz w:val="18"/>
                <w:szCs w:val="18"/>
              </w:rPr>
              <w:t>销售性质</w:t>
            </w:r>
          </w:p>
        </w:tc>
        <w:tc>
          <w:tcPr>
            <w:tcW w:w="5061" w:type="dxa"/>
            <w:gridSpan w:val="3"/>
            <w:shd w:val="solid" w:color="FFFFFF" w:fill="FFFFFF"/>
            <w:vAlign w:val="center"/>
          </w:tcPr>
          <w:p>
            <w:pPr>
              <w:spacing w:line="320" w:lineRule="exact"/>
              <w:jc w:val="left"/>
              <w:rPr>
                <w:rFonts w:asciiTheme="majorEastAsia" w:hAnsiTheme="majorEastAsia" w:eastAsiaTheme="majorEastAsia"/>
                <w:bCs/>
                <w:sz w:val="18"/>
                <w:szCs w:val="18"/>
              </w:rPr>
            </w:pPr>
            <w:permStart w:id="16" w:edGrp="everyone"/>
            <w:r>
              <w:rPr>
                <w:rFonts w:hint="eastAsia" w:asciiTheme="majorEastAsia" w:hAnsiTheme="majorEastAsia" w:eastAsiaTheme="majorEastAsia"/>
                <w:bCs/>
                <w:sz w:val="18"/>
                <w:szCs w:val="18"/>
              </w:rPr>
              <w:t>□ 直销：产品管理人销售</w:t>
            </w:r>
          </w:p>
          <w:p>
            <w:pPr>
              <w:spacing w:line="320" w:lineRule="exact"/>
              <w:jc w:val="left"/>
              <w:rPr>
                <w:rFonts w:ascii="宋体" w:hAnsi="宋体"/>
                <w:bCs/>
                <w:sz w:val="18"/>
                <w:szCs w:val="18"/>
              </w:rPr>
            </w:pPr>
            <w:r>
              <w:rPr>
                <w:rFonts w:hint="eastAsia" w:asciiTheme="majorEastAsia" w:hAnsiTheme="majorEastAsia" w:eastAsiaTheme="majorEastAsia"/>
                <w:bCs/>
                <w:sz w:val="18"/>
                <w:szCs w:val="18"/>
              </w:rPr>
              <w:t>■ 代销：代理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销售</w:t>
            </w:r>
            <w:permEnd w:id="16"/>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1720" w:type="dxa"/>
            <w:gridSpan w:val="2"/>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机构名称</w:t>
            </w:r>
          </w:p>
        </w:tc>
        <w:tc>
          <w:tcPr>
            <w:tcW w:w="5061" w:type="dxa"/>
            <w:gridSpan w:val="3"/>
            <w:shd w:val="solid" w:color="FFFFFF" w:fill="FFFFFF"/>
            <w:vAlign w:val="center"/>
          </w:tcPr>
          <w:p>
            <w:pPr>
              <w:spacing w:line="320" w:lineRule="exact"/>
              <w:jc w:val="left"/>
              <w:rPr>
                <w:rFonts w:ascii="宋体" w:hAnsi="宋体"/>
                <w:bCs/>
                <w:sz w:val="18"/>
                <w:szCs w:val="18"/>
              </w:rPr>
            </w:pPr>
            <w:permStart w:id="17" w:edGrp="everyone"/>
            <w:r>
              <w:rPr>
                <w:rFonts w:hint="eastAsia" w:ascii="宋体" w:hAnsi="宋体"/>
                <w:bCs/>
                <w:sz w:val="18"/>
                <w:szCs w:val="18"/>
              </w:rPr>
              <w:t>【】</w:t>
            </w:r>
            <w:permEnd w:id="17"/>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
        </w:tc>
        <w:tc>
          <w:tcPr>
            <w:tcW w:w="1720" w:type="dxa"/>
            <w:gridSpan w:val="2"/>
            <w:tcBorders>
              <w:bottom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机构简介</w:t>
            </w:r>
          </w:p>
        </w:tc>
        <w:tc>
          <w:tcPr>
            <w:tcW w:w="5061" w:type="dxa"/>
            <w:gridSpan w:val="3"/>
            <w:tcBorders>
              <w:bottom w:val="single" w:color="auto" w:sz="12" w:space="0"/>
            </w:tcBorders>
            <w:shd w:val="solid" w:color="FFFFFF" w:fill="FFFFFF"/>
            <w:vAlign w:val="center"/>
          </w:tcPr>
          <w:p>
            <w:pPr>
              <w:pStyle w:val="16"/>
              <w:jc w:val="both"/>
            </w:pPr>
            <w:permStart w:id="18" w:edGrp="everyone"/>
            <w:r>
              <w:rPr>
                <w:rFonts w:hint="eastAsia" w:asciiTheme="majorEastAsia" w:hAnsiTheme="majorEastAsia" w:eastAsiaTheme="majorEastAsia"/>
                <w:bCs/>
                <w:sz w:val="18"/>
                <w:szCs w:val="18"/>
              </w:rPr>
              <w:t>【】</w:t>
            </w:r>
            <w:permEnd w:id="18"/>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shd w:val="solid" w:color="FFFFFF" w:fill="FFFFFF"/>
            <w:vAlign w:val="center"/>
          </w:tcPr>
          <w:p>
            <w:pPr>
              <w:pStyle w:val="5"/>
              <w:pBdr>
                <w:bottom w:val="none" w:color="auto" w:sz="0" w:space="0"/>
              </w:pBdr>
              <w:tabs>
                <w:tab w:val="clear" w:pos="4153"/>
                <w:tab w:val="clear" w:pos="8306"/>
              </w:tabs>
              <w:snapToGrid/>
              <w:spacing w:line="320" w:lineRule="exact"/>
              <w:rPr>
                <w:rFonts w:ascii="宋体" w:hAnsi="宋体"/>
                <w:b/>
              </w:rPr>
            </w:pPr>
            <w:r>
              <w:rPr>
                <w:rFonts w:hint="eastAsia" w:ascii="宋体" w:hAnsi="宋体"/>
                <w:b/>
              </w:rPr>
              <w:t>理财产品指定账户信息</w:t>
            </w:r>
          </w:p>
        </w:tc>
        <w:tc>
          <w:tcPr>
            <w:tcW w:w="6781" w:type="dxa"/>
            <w:gridSpan w:val="5"/>
            <w:shd w:val="solid" w:color="FFFFFF" w:fill="FFFFFF"/>
            <w:vAlign w:val="center"/>
          </w:tcPr>
          <w:p>
            <w:pPr>
              <w:pStyle w:val="5"/>
              <w:pBdr>
                <w:bottom w:val="none" w:color="auto" w:sz="0" w:space="0"/>
              </w:pBdr>
              <w:tabs>
                <w:tab w:val="clear" w:pos="4153"/>
                <w:tab w:val="clear" w:pos="8306"/>
              </w:tabs>
              <w:snapToGrid/>
              <w:spacing w:line="320" w:lineRule="exact"/>
              <w:jc w:val="left"/>
              <w:rPr>
                <w:rFonts w:ascii="宋体" w:hAnsi="宋体"/>
                <w:b/>
              </w:rPr>
            </w:pPr>
            <w:r>
              <w:rPr>
                <w:rFonts w:hint="eastAsia" w:ascii="宋体" w:hAnsi="宋体"/>
              </w:rPr>
              <w:t>投资者</w:t>
            </w:r>
            <w:r>
              <w:rPr>
                <w:rFonts w:ascii="宋体" w:hAnsi="宋体"/>
              </w:rPr>
              <w:t>在销售机构开立</w:t>
            </w:r>
            <w:r>
              <w:rPr>
                <w:rFonts w:hint="eastAsia" w:ascii="宋体" w:hAnsi="宋体"/>
              </w:rPr>
              <w:t>理财卡结算账户</w:t>
            </w:r>
            <w:r>
              <w:rPr>
                <w:rFonts w:hint="eastAsia" w:ascii="宋体" w:hAnsi="宋体"/>
                <w:spacing w:val="-6"/>
              </w:rPr>
              <w:t>或存折结算账户（</w:t>
            </w:r>
            <w:r>
              <w:rPr>
                <w:rFonts w:hint="eastAsia" w:ascii="宋体" w:hAnsi="宋体"/>
              </w:rPr>
              <w:t>以下简称“指定账户”），</w:t>
            </w:r>
            <w:r>
              <w:rPr>
                <w:rFonts w:ascii="宋体" w:hAnsi="宋体"/>
              </w:rPr>
              <w:t>用于</w:t>
            </w:r>
            <w:r>
              <w:rPr>
                <w:rFonts w:hint="eastAsia" w:ascii="宋体" w:hAnsi="宋体"/>
              </w:rPr>
              <w:t>本产品的</w:t>
            </w:r>
            <w:r>
              <w:rPr>
                <w:rFonts w:ascii="宋体" w:hAnsi="宋体"/>
              </w:rPr>
              <w:t>资金划转及</w:t>
            </w:r>
            <w:r>
              <w:rPr>
                <w:rFonts w:hint="eastAsia" w:ascii="宋体" w:hAnsi="宋体"/>
              </w:rPr>
              <w:t>产品分配，账号：</w:t>
            </w:r>
            <w:permStart w:id="19" w:edGrp="everyone"/>
            <w:r>
              <w:rPr>
                <w:rFonts w:ascii="宋体" w:hAnsi="宋体"/>
                <w:u w:val="single"/>
              </w:rPr>
              <w:t xml:space="preserve">　                     </w:t>
            </w:r>
            <w:permEnd w:id="19"/>
            <w:r>
              <w:rPr>
                <w:rFonts w:hint="eastAsia" w:ascii="宋体" w:hAnsi="宋体"/>
              </w:rPr>
              <w:t>。</w:t>
            </w:r>
          </w:p>
        </w:tc>
      </w:tr>
    </w:tbl>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甲乙双方经友好协商，本着平等自愿、诚实信用的原则，达成协议如下：</w:t>
      </w:r>
    </w:p>
    <w:p>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乙方销售性质</w:t>
      </w:r>
    </w:p>
    <w:p>
      <w:pPr>
        <w:widowControl/>
        <w:spacing w:line="360" w:lineRule="auto"/>
        <w:jc w:val="left"/>
        <w:rPr>
          <w:rFonts w:ascii="黑体" w:hAnsi="黑体" w:eastAsia="黑体" w:cs="仿宋_GB2312"/>
          <w:kern w:val="0"/>
          <w:sz w:val="18"/>
          <w:szCs w:val="18"/>
        </w:rPr>
      </w:pPr>
      <w:permStart w:id="20" w:edGrp="everyone"/>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直销适用</w:t>
      </w:r>
    </w:p>
    <w:permEnd w:id="20"/>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为乙方所发行的理财产品，乙方既作为理财产品的销售机构，又是理财产品管理人，对理财产品的业绩不承担任何保证和其他经济责任。乙方受理的销售理财产品业务申请，以产品管理人的最终确认结果为准。</w:t>
      </w:r>
    </w:p>
    <w:p>
      <w:pPr>
        <w:widowControl/>
        <w:spacing w:line="360" w:lineRule="auto"/>
        <w:jc w:val="left"/>
        <w:rPr>
          <w:rFonts w:ascii="黑体" w:hAnsi="黑体" w:eastAsia="黑体" w:cs="仿宋_GB2312"/>
          <w:kern w:val="0"/>
          <w:sz w:val="18"/>
          <w:szCs w:val="18"/>
        </w:rPr>
      </w:pPr>
      <w:permStart w:id="21" w:edGrp="everyone"/>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代销适用</w:t>
      </w:r>
    </w:p>
    <w:permEnd w:id="21"/>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非乙方所发行的理财产品，乙方仅作为理财产品的代理销售机构，非理财产品管理人，对理财产品的业绩不承担任何保证和其他经济责任，不承担理财产品的投资、分配和风险管理责任。乙方受理的销售理财产品业务申请，以产品管理人的最终确认结果为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3.根据理财产品投资范围、风险收益特点、流动性等不同因素，乙方作为</w:t>
      </w:r>
      <w:r>
        <w:rPr>
          <w:rFonts w:ascii="宋体" w:hAnsi="宋体" w:cs="仿宋_GB2312"/>
          <w:kern w:val="0"/>
          <w:sz w:val="18"/>
          <w:szCs w:val="18"/>
        </w:rPr>
        <w:t>销售机构</w:t>
      </w:r>
      <w:r>
        <w:rPr>
          <w:rFonts w:hint="eastAsia" w:ascii="宋体" w:hAnsi="宋体" w:cs="仿宋_GB2312"/>
          <w:kern w:val="0"/>
          <w:sz w:val="18"/>
          <w:szCs w:val="18"/>
        </w:rPr>
        <w:t>将理财产品分为</w:t>
      </w:r>
      <w:permStart w:id="22" w:edGrp="everyone"/>
      <w:r>
        <w:rPr>
          <w:rFonts w:hint="eastAsia" w:ascii="宋体" w:hAnsi="宋体" w:cs="仿宋_GB2312"/>
          <w:kern w:val="0"/>
          <w:sz w:val="18"/>
          <w:szCs w:val="18"/>
        </w:rPr>
        <w:t>【】</w:t>
      </w:r>
      <w:permEnd w:id="22"/>
      <w:r>
        <w:rPr>
          <w:rFonts w:hint="eastAsia" w:ascii="宋体" w:hAnsi="宋体" w:cs="仿宋_GB2312"/>
          <w:kern w:val="0"/>
          <w:sz w:val="18"/>
          <w:szCs w:val="18"/>
        </w:rPr>
        <w:t>个风险等级</w:t>
      </w:r>
      <w:r>
        <w:rPr>
          <w:rFonts w:ascii="宋体" w:hAnsi="宋体" w:cs="仿宋_GB2312"/>
          <w:kern w:val="0"/>
          <w:sz w:val="18"/>
          <w:szCs w:val="18"/>
        </w:rPr>
        <w:t>：</w:t>
      </w:r>
      <w:permStart w:id="23" w:edGrp="everyone"/>
      <w:r>
        <w:rPr>
          <w:rFonts w:hint="eastAsia" w:ascii="宋体" w:hAnsi="宋体" w:cs="仿宋_GB2312"/>
          <w:kern w:val="0"/>
          <w:sz w:val="18"/>
          <w:szCs w:val="18"/>
        </w:rPr>
        <w:t>【】</w:t>
      </w:r>
      <w:permEnd w:id="23"/>
      <w:r>
        <w:rPr>
          <w:rFonts w:hint="eastAsia" w:ascii="宋体" w:hAnsi="宋体" w:cs="仿宋_GB2312"/>
          <w:kern w:val="0"/>
          <w:sz w:val="18"/>
          <w:szCs w:val="18"/>
        </w:rPr>
        <w:t>；根据投资者在乙方评估的风险承受能力，</w:t>
      </w:r>
      <w:r>
        <w:rPr>
          <w:rFonts w:ascii="宋体" w:hAnsi="宋体" w:cs="仿宋_GB2312"/>
          <w:kern w:val="0"/>
          <w:sz w:val="18"/>
          <w:szCs w:val="18"/>
        </w:rPr>
        <w:t>乙方将投资者风险承受能力分为若干</w:t>
      </w:r>
      <w:r>
        <w:rPr>
          <w:rFonts w:hint="eastAsia" w:ascii="宋体" w:hAnsi="宋体" w:cs="仿宋_GB2312"/>
          <w:kern w:val="0"/>
          <w:sz w:val="18"/>
          <w:szCs w:val="18"/>
        </w:rPr>
        <w:t>等级。</w:t>
      </w:r>
    </w:p>
    <w:p>
      <w:pPr>
        <w:widowControl/>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应采用对应较高风险的评级结果。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pPr>
        <w:pStyle w:val="16"/>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（3）</w:t>
      </w:r>
      <w:r>
        <w:rPr>
          <w:rFonts w:hint="eastAsia" w:hAnsi="宋体" w:cs="仿宋_GB2312"/>
          <w:sz w:val="18"/>
          <w:szCs w:val="18"/>
        </w:rPr>
        <w:t>甲方应根据风险承受能力选择与其风险承受能力相匹配的风险等级的理财产品，不得购买高于甲方风险承受能力的理财产品。</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4.投资者的风险承受能力评估要求</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（1）甲方为非机构投资者时，甲方购买乙方</w:t>
      </w:r>
      <w:r>
        <w:rPr>
          <w:rFonts w:ascii="宋体" w:hAnsi="宋体" w:cs="仿宋_GB2312"/>
          <w:kern w:val="0"/>
          <w:sz w:val="18"/>
          <w:szCs w:val="18"/>
        </w:rPr>
        <w:t>销售</w:t>
      </w:r>
      <w:r>
        <w:rPr>
          <w:rFonts w:hint="eastAsia" w:ascii="宋体" w:hAnsi="宋体" w:cs="仿宋_GB2312"/>
          <w:kern w:val="0"/>
          <w:sz w:val="18"/>
          <w:szCs w:val="18"/>
        </w:rPr>
        <w:t>的理财产品前，需通过乙方的线下</w:t>
      </w:r>
      <w:r>
        <w:rPr>
          <w:rFonts w:ascii="宋体" w:hAnsi="宋体" w:cs="仿宋_GB2312"/>
          <w:kern w:val="0"/>
          <w:sz w:val="18"/>
          <w:szCs w:val="18"/>
        </w:rPr>
        <w:t>渠道或线上渠道</w:t>
      </w:r>
      <w:r>
        <w:rPr>
          <w:rFonts w:hint="eastAsia" w:ascii="宋体" w:hAnsi="宋体" w:cs="仿宋_GB2312"/>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（2）其他类型投资者的风险承受能力评估按销售机构的以下销售政策执行：</w:t>
      </w:r>
    </w:p>
    <w:p>
      <w:pPr>
        <w:widowControl/>
        <w:spacing w:line="360" w:lineRule="auto"/>
        <w:jc w:val="left"/>
        <w:rPr>
          <w:rFonts w:asciiTheme="majorEastAsia" w:hAnsiTheme="majorEastAsia" w:eastAsiaTheme="majorEastAsia"/>
          <w:sz w:val="18"/>
          <w:szCs w:val="18"/>
        </w:rPr>
      </w:pPr>
      <w:permStart w:id="24" w:edGrp="everyone"/>
      <w:r>
        <w:rPr>
          <w:rFonts w:hint="eastAsia" w:asciiTheme="majorEastAsia" w:hAnsiTheme="majorEastAsia" w:eastAsiaTheme="majorEastAsia"/>
          <w:sz w:val="18"/>
          <w:szCs w:val="18"/>
        </w:rPr>
        <w:sym w:font="Wingdings 2" w:char="00A3"/>
      </w:r>
      <w:r>
        <w:rPr>
          <w:rFonts w:hint="eastAsia" w:asciiTheme="majorEastAsia" w:hAnsiTheme="majorEastAsia" w:eastAsiaTheme="majorEastAsia"/>
          <w:sz w:val="18"/>
          <w:szCs w:val="18"/>
        </w:rPr>
        <w:t xml:space="preserve"> </w:t>
      </w:r>
      <w:permEnd w:id="24"/>
      <w:r>
        <w:rPr>
          <w:rFonts w:hint="eastAsia" w:asciiTheme="majorEastAsia" w:hAnsiTheme="majorEastAsia" w:eastAsiaTheme="majorEastAsia"/>
          <w:sz w:val="18"/>
          <w:szCs w:val="18"/>
        </w:rPr>
        <w:t>参照本条第（1）款非机构投资者要求执行；</w:t>
      </w:r>
    </w:p>
    <w:p>
      <w:pPr>
        <w:widowControl/>
        <w:spacing w:line="360" w:lineRule="auto"/>
        <w:jc w:val="left"/>
        <w:rPr>
          <w:rFonts w:asciiTheme="majorEastAsia" w:hAnsiTheme="majorEastAsia" w:eastAsiaTheme="majorEastAsia"/>
          <w:sz w:val="18"/>
          <w:szCs w:val="18"/>
        </w:rPr>
      </w:pPr>
      <w:permStart w:id="25" w:edGrp="everyone"/>
      <w:r>
        <w:rPr>
          <w:rFonts w:hint="eastAsia" w:asciiTheme="majorEastAsia" w:hAnsiTheme="majorEastAsia" w:eastAsiaTheme="majorEastAsia"/>
          <w:sz w:val="18"/>
          <w:szCs w:val="18"/>
        </w:rPr>
        <w:sym w:font="Wingdings 2" w:char="00A3"/>
      </w:r>
      <w:r>
        <w:rPr>
          <w:rFonts w:hint="eastAsia" w:asciiTheme="majorEastAsia" w:hAnsiTheme="majorEastAsia" w:eastAsiaTheme="majorEastAsia"/>
          <w:sz w:val="18"/>
          <w:szCs w:val="18"/>
        </w:rPr>
        <w:t xml:space="preserve"> </w:t>
      </w:r>
      <w:permEnd w:id="25"/>
      <w:r>
        <w:rPr>
          <w:rFonts w:hint="eastAsia" w:asciiTheme="majorEastAsia" w:hAnsiTheme="majorEastAsia" w:eastAsiaTheme="majorEastAsia"/>
          <w:sz w:val="18"/>
          <w:szCs w:val="18"/>
        </w:rPr>
        <w:t>其他：</w:t>
      </w:r>
      <w:permStart w:id="26" w:edGrp="everyone"/>
      <w:r>
        <w:rPr>
          <w:rFonts w:hint="eastAsia" w:asciiTheme="majorEastAsia" w:hAnsiTheme="majorEastAsia" w:eastAsiaTheme="majorEastAsia"/>
          <w:sz w:val="18"/>
          <w:szCs w:val="18"/>
          <w:u w:val="single"/>
        </w:rPr>
        <w:t xml:space="preserve">                               。</w:t>
      </w:r>
      <w:permEnd w:id="26"/>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w:t>
      </w:r>
      <w:r>
        <w:rPr>
          <w:rFonts w:hint="eastAsia" w:ascii="宋体" w:hAnsi="宋体"/>
          <w:sz w:val="18"/>
          <w:szCs w:val="18"/>
        </w:rPr>
        <w:t>有权处分的合法资金</w:t>
      </w:r>
      <w:r>
        <w:rPr>
          <w:rFonts w:hint="eastAsia" w:ascii="宋体" w:hAnsi="宋体" w:cs="仿宋_GB2312"/>
          <w:kern w:val="0"/>
          <w:sz w:val="18"/>
          <w:szCs w:val="18"/>
        </w:rPr>
        <w:t>，不存在使用贷款、发行债券等筹集的非自有资金投资的情况，投资行为符合法律法规及相关监管部门的规定。</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9</w:t>
      </w:r>
      <w:r>
        <w:rPr>
          <w:rFonts w:hint="eastAsia" w:ascii="黑体" w:hAnsi="黑体" w:eastAsia="黑体" w:cs="仿宋_GB2312"/>
          <w:kern w:val="0"/>
          <w:sz w:val="18"/>
          <w:szCs w:val="18"/>
        </w:rPr>
        <w:t>.</w:t>
      </w:r>
      <w:r>
        <w:rPr>
          <w:rFonts w:ascii="黑体" w:hAnsi="黑体" w:eastAsia="黑体" w:cs="仿宋_GB2312"/>
          <w:kern w:val="0"/>
          <w:sz w:val="18"/>
          <w:szCs w:val="18"/>
        </w:rPr>
        <w:t>甲方在此同意并授权乙方有权根据甲方</w:t>
      </w:r>
      <w:r>
        <w:rPr>
          <w:rFonts w:hint="eastAsia" w:ascii="黑体" w:hAnsi="黑体" w:eastAsia="黑体" w:cs="仿宋_GB2312"/>
          <w:kern w:val="0"/>
          <w:sz w:val="18"/>
          <w:szCs w:val="18"/>
        </w:rPr>
        <w:t>所勾选的业务申请类型对甲方相关资金账户进行资金划扣等相关操作。</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10</w:t>
      </w:r>
      <w:r>
        <w:rPr>
          <w:rFonts w:hint="eastAsia" w:ascii="黑体" w:hAnsi="黑体" w:eastAsia="黑体" w:cs="仿宋_GB2312"/>
          <w:kern w:val="0"/>
          <w:sz w:val="18"/>
          <w:szCs w:val="18"/>
        </w:rPr>
        <w:t>.</w:t>
      </w:r>
      <w:r>
        <w:rPr>
          <w:rFonts w:ascii="黑体" w:hAnsi="黑体" w:eastAsia="黑体" w:cs="仿宋_GB2312"/>
          <w:kern w:val="0"/>
          <w:sz w:val="18"/>
          <w:szCs w:val="18"/>
        </w:rPr>
        <w:t>对于甲方通过乙方的网上银行、手机银行、可视柜台等线</w:t>
      </w:r>
      <w:r>
        <w:rPr>
          <w:rFonts w:hint="eastAsia" w:ascii="黑体" w:hAnsi="黑体" w:eastAsia="黑体" w:cs="仿宋_GB2312"/>
          <w:kern w:val="0"/>
          <w:sz w:val="18"/>
          <w:szCs w:val="18"/>
        </w:rPr>
        <w:t>上渠道购买的理财产品（不受限于本理财产品），甲方确认通过乙方线上渠道点击确认同意本协议，即表明甲方已自主阅读并清楚知悉本协议全部内容，同意受本协议约束。</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11</w:t>
      </w:r>
      <w:r>
        <w:rPr>
          <w:rFonts w:hint="eastAsia" w:ascii="黑体" w:hAnsi="黑体" w:eastAsia="黑体" w:cs="仿宋_GB2312"/>
          <w:kern w:val="0"/>
          <w:sz w:val="18"/>
          <w:szCs w:val="18"/>
        </w:rPr>
        <w:t>.</w:t>
      </w:r>
      <w:r>
        <w:rPr>
          <w:rFonts w:ascii="黑体" w:hAnsi="黑体" w:eastAsia="黑体" w:cs="仿宋_GB2312"/>
          <w:kern w:val="0"/>
          <w:sz w:val="18"/>
          <w:szCs w:val="18"/>
        </w:rPr>
        <w:t>甲方在此确认乙方业务申请和办理</w:t>
      </w:r>
      <w:r>
        <w:rPr>
          <w:rFonts w:hint="eastAsia" w:ascii="黑体" w:hAnsi="黑体" w:eastAsia="黑体" w:cs="仿宋_GB2312"/>
          <w:kern w:val="0"/>
          <w:sz w:val="18"/>
          <w:szCs w:val="18"/>
        </w:rPr>
        <w:t>的系统记录以及录音、录像等</w:t>
      </w:r>
      <w:r>
        <w:rPr>
          <w:rFonts w:ascii="黑体" w:hAnsi="黑体" w:eastAsia="黑体" w:cs="仿宋_GB2312"/>
          <w:kern w:val="0"/>
          <w:sz w:val="18"/>
          <w:szCs w:val="18"/>
        </w:rPr>
        <w:t>信息</w:t>
      </w:r>
      <w:r>
        <w:rPr>
          <w:rFonts w:hint="eastAsia" w:ascii="黑体" w:hAnsi="黑体" w:eastAsia="黑体" w:cs="仿宋_GB2312"/>
          <w:kern w:val="0"/>
          <w:sz w:val="18"/>
          <w:szCs w:val="18"/>
        </w:rPr>
        <w:t>构成对甲方操作行为（包括但不限于认购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、赎回）的终局证据，甲方同意乙方上述记录行为，并且在甲方和乙方或产品</w:t>
      </w:r>
      <w:r>
        <w:rPr>
          <w:rFonts w:ascii="黑体" w:hAnsi="黑体" w:eastAsia="黑体" w:cs="仿宋_GB2312"/>
          <w:kern w:val="0"/>
          <w:sz w:val="18"/>
          <w:szCs w:val="18"/>
        </w:rPr>
        <w:t>管理人</w:t>
      </w:r>
      <w:r>
        <w:rPr>
          <w:rFonts w:hint="eastAsia" w:ascii="黑体" w:hAnsi="黑体" w:eastAsia="黑体" w:cs="仿宋_GB2312"/>
          <w:kern w:val="0"/>
          <w:sz w:val="18"/>
          <w:szCs w:val="18"/>
        </w:rPr>
        <w:t>发生争议时可以作为合法有效的证据使用。甲方同意并授权乙方采取有效措施和技术手段记录营销推介、产品风险和关键信息提示、投资者确认和反馈等重点销售环节。</w:t>
      </w:r>
    </w:p>
    <w:p>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工作、非居民金融账户涉税信息尽职调查、IPO或并购重组涉及的股东穿透核查或根据其他有权机关或监管要求等需要，收集调取投资者开户留存的有效身份证件或者其他身份证明文件信息、交易记录、数据信息、金融账户和其他资料，同时可向产品管理人、产品托管人、监管机构、有权机关、自律组织、理财登记备案机构、投资合作机构、投资交易相关方、中介服务机构、理财快速赎回服务提供方提供、留存前述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恐怖融资、逃税活动等违法行为。乙方发现或有合理理由怀疑甲方、甲方资金或甲方交易行为涉嫌洗钱、恐怖融资、逃税等犯罪活动相关的，乙方有权提前终止本协议，造成甲方损失的，乙方不承担责任。</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由于国家有关法律、法规、规章、政策的改变、紧急措施的出台而导致甲方蒙受损失或协议终止的，乙方不承担责任。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2</w:t>
      </w:r>
      <w:r>
        <w:rPr>
          <w:rFonts w:hint="eastAsia" w:ascii="黑体" w:hAnsi="黑体" w:eastAsia="黑体" w:cs="仿宋_GB2312"/>
          <w:kern w:val="0"/>
          <w:sz w:val="18"/>
          <w:szCs w:val="18"/>
        </w:rPr>
        <w:t>.</w:t>
      </w:r>
      <w:r>
        <w:rPr>
          <w:rFonts w:ascii="黑体" w:hAnsi="黑体" w:eastAsia="黑体" w:cs="仿宋_GB2312"/>
          <w:kern w:val="0"/>
          <w:sz w:val="18"/>
          <w:szCs w:val="18"/>
        </w:rPr>
        <w:t>由于不可抗力或乙方无过错且无法防止的外因而导致的交易中断、延误等风险及损失，乙方不承担责任。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kern w:val="0"/>
          <w:sz w:val="18"/>
          <w:szCs w:val="18"/>
        </w:rPr>
        <w:t>.</w:t>
      </w:r>
      <w:r>
        <w:rPr>
          <w:rFonts w:ascii="黑体" w:hAnsi="黑体" w:eastAsia="黑体" w:cs="仿宋_GB2312"/>
          <w:kern w:val="0"/>
          <w:sz w:val="18"/>
          <w:szCs w:val="18"/>
        </w:rPr>
        <w:t>非因乙方原因（包括但不限于甲方遗失本协议、协议被盗用、交易账户被司法机关等有权部门冻结、扣划等原因）造成的损失，乙方不承担责任。</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发生前述情形时，乙方将在条件允许的情况下采取必要合理的补救措施，尽力保护甲方利益，以减少甲方损失。</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本协议在履行过程中发生的争议，由甲乙双方协商解决，协商不成的，任何一方可向乙方住所地</w:t>
      </w:r>
      <w:r>
        <w:rPr>
          <w:rFonts w:hint="eastAsia" w:ascii="黑体" w:hAnsi="黑体" w:eastAsia="黑体" w:cs="仿宋_GB2312"/>
          <w:kern w:val="0"/>
          <w:sz w:val="18"/>
          <w:szCs w:val="18"/>
        </w:rPr>
        <w:t>人民法院起诉。</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w:t>
      </w:r>
      <w:r>
        <w:rPr>
          <w:rFonts w:hint="eastAsia" w:ascii="宋体" w:hAnsi="宋体" w:cs="仿宋_GB2312"/>
          <w:kern w:val="0"/>
          <w:sz w:val="18"/>
          <w:szCs w:val="18"/>
        </w:rPr>
        <w:t>协议生效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甲方通过乙方线下渠道购买理财产品的，本协议经甲方签名或盖章且乙方盖柜面业务章后生效（为避免歧义，乙方相关业务人员在本协议的签字仅为乙方内部风险控制要求，并不作为协议成立的条件，下同）。</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3.其他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pPr>
        <w:widowControl/>
        <w:spacing w:line="360" w:lineRule="auto"/>
        <w:jc w:val="left"/>
        <w:rPr>
          <w:rFonts w:ascii="宋体" w:hAnsi="宋体" w:cs="仿宋_GB2312"/>
          <w:b/>
          <w:kern w:val="0"/>
          <w:sz w:val="18"/>
          <w:szCs w:val="18"/>
        </w:rPr>
      </w:pP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甲方声明：</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1)甲方已经收到所购买乙方销售的理财产品的《投资协议书</w:t>
      </w:r>
      <w:r>
        <w:rPr>
          <w:rFonts w:hint="eastAsia" w:ascii="黑体" w:hAnsi="黑体" w:eastAsia="黑体" w:cs="仿宋_GB2312"/>
          <w:kern w:val="0"/>
          <w:sz w:val="18"/>
          <w:szCs w:val="18"/>
        </w:rPr>
        <w:t>》《产品说明书</w:t>
      </w:r>
      <w:r>
        <w:rPr>
          <w:rFonts w:ascii="黑体" w:hAnsi="黑体" w:eastAsia="黑体" w:cs="仿宋_GB2312"/>
          <w:kern w:val="0"/>
          <w:sz w:val="18"/>
          <w:szCs w:val="18"/>
        </w:rPr>
        <w:t>》《</w:t>
      </w:r>
      <w:r>
        <w:rPr>
          <w:rFonts w:hint="eastAsia" w:ascii="黑体" w:hAnsi="黑体" w:eastAsia="黑体" w:cs="仿宋_GB2312"/>
          <w:kern w:val="0"/>
          <w:sz w:val="18"/>
          <w:szCs w:val="18"/>
        </w:rPr>
        <w:t>（代理）销售协议书</w:t>
      </w:r>
      <w:r>
        <w:rPr>
          <w:rFonts w:ascii="黑体" w:hAnsi="黑体" w:eastAsia="黑体" w:cs="仿宋_GB2312"/>
          <w:kern w:val="0"/>
          <w:sz w:val="18"/>
          <w:szCs w:val="18"/>
        </w:rPr>
        <w:t>》《</w:t>
      </w:r>
      <w:r>
        <w:rPr>
          <w:rFonts w:hint="eastAsia" w:ascii="黑体" w:hAnsi="黑体" w:eastAsia="黑体" w:cs="仿宋_GB2312"/>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、赎回理财产品所产生的相关风险和不利后果。</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2)甲方确认乙方相关业务人员对于本协议中有关增加甲方义务、限制甲方权利以及免除、限制乙方责任和乙方单方面拥有某些权利的条款已向甲方予以解释说明，甲方自愿接受上述条款的约束，双方对本协议条款的理解已完全达成一致。</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（3）甲方确认乙方相关业务人员不存在代替甲方签署销售业务相关文件，或代替甲方进行风险承受能力评估、理财产品购买等操作，不存在代替甲方持有或安排他人代替甲方持有理财产品的情况。</w:t>
      </w:r>
    </w:p>
    <w:p>
      <w:pPr>
        <w:widowControl/>
        <w:jc w:val="left"/>
        <w:rPr>
          <w:rFonts w:ascii="宋体" w:hAnsi="宋体" w:cs="仿宋_GB2312"/>
          <w:b/>
          <w:kern w:val="0"/>
          <w:sz w:val="18"/>
          <w:szCs w:val="18"/>
        </w:rPr>
      </w:pPr>
      <w:r>
        <w:rPr>
          <w:rFonts w:ascii="宋体" w:hAnsi="宋体" w:cs="仿宋_GB2312"/>
          <w:b/>
          <w:kern w:val="0"/>
          <w:sz w:val="18"/>
          <w:szCs w:val="18"/>
        </w:rPr>
        <w:br w:type="page"/>
      </w:r>
    </w:p>
    <w:p>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9"/>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3"/>
            <w:vAlign w:val="center"/>
          </w:tcPr>
          <w:p>
            <w:pPr>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kern w:val="0"/>
                <w:sz w:val="18"/>
                <w:szCs w:val="18"/>
              </w:rPr>
            </w:pPr>
            <w:r>
              <w:rPr>
                <w:rFonts w:hint="eastAsia" w:ascii="黑体" w:hAnsi="黑体" w:eastAsia="黑体"/>
                <w:kern w:val="0"/>
                <w:sz w:val="18"/>
                <w:szCs w:val="18"/>
              </w:rPr>
              <w:t>★</w:t>
            </w:r>
          </w:p>
          <w:p>
            <w:pPr>
              <w:tabs>
                <w:tab w:val="left" w:pos="8070"/>
                <w:tab w:val="right" w:pos="8306"/>
              </w:tabs>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签署声明</w:t>
            </w:r>
          </w:p>
        </w:tc>
        <w:tc>
          <w:tcPr>
            <w:tcW w:w="7849" w:type="dxa"/>
            <w:gridSpan w:val="2"/>
          </w:tcPr>
          <w:p>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1</w:t>
            </w:r>
            <w:r>
              <w:rPr>
                <w:rFonts w:hint="eastAsia" w:ascii="黑体" w:hAnsi="黑体" w:eastAsia="黑体"/>
                <w:kern w:val="0"/>
                <w:sz w:val="18"/>
                <w:szCs w:val="18"/>
              </w:rPr>
              <w:t>.</w:t>
            </w:r>
            <w:r>
              <w:rPr>
                <w:rFonts w:ascii="黑体" w:hAnsi="黑体" w:eastAsia="黑体"/>
                <w:kern w:val="0"/>
                <w:sz w:val="18"/>
                <w:szCs w:val="18"/>
              </w:rPr>
              <w:t>在签署本《</w:t>
            </w:r>
            <w:r>
              <w:rPr>
                <w:rFonts w:hint="eastAsia" w:ascii="黑体" w:hAnsi="黑体" w:eastAsia="黑体"/>
                <w:kern w:val="0"/>
                <w:sz w:val="18"/>
                <w:szCs w:val="18"/>
              </w:rPr>
              <w:t>（代理）</w:t>
            </w:r>
            <w:r>
              <w:rPr>
                <w:rFonts w:ascii="黑体" w:hAnsi="黑体" w:eastAsia="黑体"/>
                <w:kern w:val="0"/>
                <w:sz w:val="18"/>
                <w:szCs w:val="18"/>
              </w:rPr>
              <w:t>销售协议书》以前，甲方已认真阅读理财产品销售文件（包括但不限于《</w:t>
            </w:r>
            <w:r>
              <w:rPr>
                <w:rFonts w:hint="eastAsia" w:ascii="黑体" w:hAnsi="黑体" w:eastAsia="黑体"/>
                <w:kern w:val="0"/>
                <w:sz w:val="18"/>
                <w:szCs w:val="18"/>
              </w:rPr>
              <w:t>投资</w:t>
            </w:r>
            <w:r>
              <w:rPr>
                <w:rFonts w:ascii="黑体" w:hAnsi="黑体" w:eastAsia="黑体"/>
                <w:kern w:val="0"/>
                <w:sz w:val="18"/>
                <w:szCs w:val="18"/>
              </w:rPr>
              <w:t>协议书》《产品说明书》《</w:t>
            </w:r>
            <w:r>
              <w:rPr>
                <w:rFonts w:hint="eastAsia" w:ascii="黑体" w:hAnsi="黑体" w:eastAsia="黑体"/>
                <w:kern w:val="0"/>
                <w:sz w:val="18"/>
                <w:szCs w:val="18"/>
              </w:rPr>
              <w:t>（代理）销售</w:t>
            </w:r>
            <w:r>
              <w:rPr>
                <w:rFonts w:ascii="黑体" w:hAnsi="黑体" w:eastAsia="黑体"/>
                <w:kern w:val="0"/>
                <w:sz w:val="18"/>
                <w:szCs w:val="18"/>
              </w:rPr>
              <w:t>协议书</w:t>
            </w:r>
            <w:r>
              <w:rPr>
                <w:rFonts w:hint="eastAsia" w:ascii="黑体" w:hAnsi="黑体" w:eastAsia="黑体"/>
                <w:kern w:val="0"/>
                <w:sz w:val="18"/>
                <w:szCs w:val="18"/>
              </w:rPr>
              <w:t>》《</w:t>
            </w:r>
            <w:r>
              <w:rPr>
                <w:rFonts w:ascii="黑体" w:hAnsi="黑体" w:eastAsia="黑体"/>
                <w:kern w:val="0"/>
                <w:sz w:val="18"/>
                <w:szCs w:val="18"/>
              </w:rPr>
              <w:t>风险揭示书》《投资者权益须知》等文件）的全部内容，</w:t>
            </w:r>
            <w:r>
              <w:rPr>
                <w:rFonts w:hint="eastAsia" w:ascii="黑体" w:hAnsi="黑体" w:eastAsia="黑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2</w:t>
            </w:r>
            <w:r>
              <w:rPr>
                <w:rFonts w:hint="eastAsia" w:ascii="黑体" w:hAnsi="黑体" w:eastAsia="黑体"/>
                <w:kern w:val="0"/>
                <w:sz w:val="18"/>
                <w:szCs w:val="18"/>
              </w:rPr>
              <w:t>.甲方</w:t>
            </w:r>
            <w:r>
              <w:rPr>
                <w:rFonts w:ascii="黑体" w:hAnsi="黑体" w:eastAsia="黑体"/>
                <w:kern w:val="0"/>
                <w:sz w:val="18"/>
                <w:szCs w:val="18"/>
              </w:rPr>
              <w:t>已认真阅读并充分理解包括但不限于《</w:t>
            </w:r>
            <w:r>
              <w:rPr>
                <w:rFonts w:hint="eastAsia" w:ascii="黑体" w:hAnsi="黑体" w:eastAsia="黑体"/>
                <w:kern w:val="0"/>
                <w:sz w:val="18"/>
                <w:szCs w:val="18"/>
              </w:rPr>
              <w:t>（代理）</w:t>
            </w:r>
            <w:r>
              <w:rPr>
                <w:rFonts w:ascii="黑体" w:hAnsi="黑体" w:eastAsia="黑体"/>
                <w:kern w:val="0"/>
                <w:sz w:val="18"/>
                <w:szCs w:val="18"/>
              </w:rPr>
              <w:t>销售协议书》</w:t>
            </w:r>
            <w:r>
              <w:rPr>
                <w:rFonts w:hint="eastAsia" w:ascii="黑体" w:hAnsi="黑体" w:eastAsia="黑体"/>
                <w:kern w:val="0"/>
                <w:sz w:val="18"/>
                <w:szCs w:val="18"/>
              </w:rPr>
              <w:t>等全套理财产品销售文件</w:t>
            </w:r>
            <w:r>
              <w:rPr>
                <w:rFonts w:ascii="黑体" w:hAnsi="黑体" w:eastAsia="黑体"/>
                <w:kern w:val="0"/>
                <w:sz w:val="18"/>
                <w:szCs w:val="18"/>
              </w:rPr>
              <w:t>关于投资理财产品及其全部风险的有关内容，同意本次</w:t>
            </w:r>
            <w:r>
              <w:rPr>
                <w:rFonts w:hint="eastAsia" w:ascii="黑体" w:hAnsi="黑体" w:eastAsia="黑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4" w:hRule="exact"/>
        </w:trPr>
        <w:tc>
          <w:tcPr>
            <w:tcW w:w="675" w:type="dxa"/>
            <w:vMerge w:val="restart"/>
            <w:vAlign w:val="center"/>
          </w:tcPr>
          <w:p>
            <w:pPr>
              <w:spacing w:line="360" w:lineRule="auto"/>
              <w:jc w:val="center"/>
              <w:rPr>
                <w:b/>
                <w:kern w:val="0"/>
                <w:sz w:val="18"/>
                <w:szCs w:val="18"/>
              </w:rPr>
            </w:pPr>
            <w:r>
              <w:rPr>
                <w:rFonts w:hint="eastAsia"/>
                <w:b/>
                <w:kern w:val="0"/>
                <w:sz w:val="18"/>
                <w:szCs w:val="18"/>
              </w:rPr>
              <w:t>甲方签署栏</w:t>
            </w:r>
          </w:p>
        </w:tc>
        <w:tc>
          <w:tcPr>
            <w:tcW w:w="851" w:type="dxa"/>
          </w:tcPr>
          <w:p>
            <w:pPr>
              <w:spacing w:line="360" w:lineRule="auto"/>
              <w:rPr>
                <w:kern w:val="0"/>
                <w:sz w:val="18"/>
                <w:szCs w:val="18"/>
              </w:rPr>
            </w:pPr>
            <w:r>
              <w:rPr>
                <w:rFonts w:hint="eastAsia"/>
                <w:kern w:val="0"/>
                <w:sz w:val="18"/>
                <w:szCs w:val="18"/>
              </w:rPr>
              <w:t>个人投资者适用</w:t>
            </w:r>
          </w:p>
        </w:tc>
        <w:tc>
          <w:tcPr>
            <w:tcW w:w="6998" w:type="dxa"/>
          </w:tcPr>
          <w:p>
            <w:pPr>
              <w:spacing w:line="360" w:lineRule="auto"/>
              <w:rPr>
                <w:kern w:val="0"/>
                <w:sz w:val="18"/>
                <w:szCs w:val="18"/>
              </w:rPr>
            </w:pPr>
            <w:r>
              <w:rPr>
                <w:rFonts w:hint="eastAsia"/>
                <w:kern w:val="0"/>
                <w:sz w:val="18"/>
                <w:szCs w:val="18"/>
              </w:rPr>
              <w:t>甲方（签名/线上确认）：</w:t>
            </w:r>
          </w:p>
          <w:p>
            <w:pPr>
              <w:spacing w:line="360" w:lineRule="auto"/>
              <w:rPr>
                <w:b/>
                <w:kern w:val="0"/>
                <w:sz w:val="18"/>
                <w:szCs w:val="18"/>
              </w:rPr>
            </w:pPr>
          </w:p>
          <w:p>
            <w:pPr>
              <w:spacing w:line="360" w:lineRule="auto"/>
              <w:rPr>
                <w:b/>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kern w:val="0"/>
                <w:sz w:val="18"/>
                <w:szCs w:val="18"/>
              </w:rPr>
            </w:pPr>
          </w:p>
        </w:tc>
        <w:tc>
          <w:tcPr>
            <w:tcW w:w="851" w:type="dxa"/>
          </w:tcPr>
          <w:p>
            <w:pPr>
              <w:spacing w:line="360" w:lineRule="auto"/>
              <w:rPr>
                <w:kern w:val="0"/>
                <w:sz w:val="18"/>
                <w:szCs w:val="18"/>
              </w:rPr>
            </w:pPr>
            <w:r>
              <w:rPr>
                <w:rFonts w:hint="eastAsia"/>
                <w:kern w:val="0"/>
                <w:sz w:val="18"/>
                <w:szCs w:val="18"/>
              </w:rPr>
              <w:t>机构投资者适用</w:t>
            </w:r>
          </w:p>
        </w:tc>
        <w:tc>
          <w:tcPr>
            <w:tcW w:w="6998" w:type="dxa"/>
          </w:tcPr>
          <w:p>
            <w:pPr>
              <w:spacing w:line="360" w:lineRule="auto"/>
              <w:rPr>
                <w:rFonts w:cs="Arial"/>
                <w:kern w:val="0"/>
                <w:sz w:val="18"/>
                <w:szCs w:val="18"/>
              </w:rPr>
            </w:pPr>
            <w:r>
              <w:rPr>
                <w:rFonts w:hint="eastAsia"/>
                <w:kern w:val="0"/>
                <w:sz w:val="18"/>
                <w:szCs w:val="18"/>
              </w:rPr>
              <w:t>甲方</w:t>
            </w:r>
            <w:r>
              <w:rPr>
                <w:rFonts w:hint="eastAsia" w:cs="Arial"/>
                <w:kern w:val="0"/>
                <w:sz w:val="18"/>
                <w:szCs w:val="18"/>
              </w:rPr>
              <w:t>（盖章/线上确认）：</w:t>
            </w:r>
          </w:p>
          <w:p>
            <w:pPr>
              <w:spacing w:line="360" w:lineRule="auto"/>
              <w:rPr>
                <w:rFonts w:cs="Arial"/>
                <w:kern w:val="0"/>
                <w:sz w:val="18"/>
                <w:szCs w:val="18"/>
              </w:rPr>
            </w:pPr>
          </w:p>
          <w:p>
            <w:pPr>
              <w:spacing w:line="360" w:lineRule="auto"/>
              <w:rPr>
                <w:rFonts w:cs="Arial"/>
                <w:kern w:val="0"/>
                <w:sz w:val="18"/>
                <w:szCs w:val="18"/>
              </w:rPr>
            </w:pPr>
            <w:r>
              <w:rPr>
                <w:rFonts w:hint="eastAsia" w:cs="Arial"/>
                <w:kern w:val="0"/>
                <w:sz w:val="18"/>
                <w:szCs w:val="18"/>
              </w:rPr>
              <w:t>甲方法定代表人或授权代理人（签名/盖章/线上确认）：</w:t>
            </w:r>
          </w:p>
          <w:p>
            <w:pPr>
              <w:spacing w:line="360" w:lineRule="auto"/>
              <w:rPr>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tcPr>
          <w:p>
            <w:pPr>
              <w:spacing w:line="360" w:lineRule="auto"/>
              <w:jc w:val="center"/>
              <w:rPr>
                <w:b/>
                <w:kern w:val="0"/>
                <w:sz w:val="18"/>
                <w:szCs w:val="18"/>
              </w:rPr>
            </w:pPr>
            <w:r>
              <w:rPr>
                <w:rFonts w:hint="eastAsia"/>
                <w:b/>
                <w:kern w:val="0"/>
                <w:sz w:val="18"/>
                <w:szCs w:val="18"/>
              </w:rPr>
              <w:t>乙方</w:t>
            </w:r>
            <w:r>
              <w:rPr>
                <w:b/>
                <w:kern w:val="0"/>
                <w:sz w:val="18"/>
                <w:szCs w:val="18"/>
              </w:rPr>
              <w:t>签署栏</w:t>
            </w:r>
          </w:p>
        </w:tc>
        <w:tc>
          <w:tcPr>
            <w:tcW w:w="7849" w:type="dxa"/>
            <w:gridSpan w:val="2"/>
          </w:tcPr>
          <w:p>
            <w:pPr>
              <w:spacing w:line="360" w:lineRule="auto"/>
              <w:rPr>
                <w:kern w:val="0"/>
                <w:sz w:val="18"/>
                <w:szCs w:val="18"/>
              </w:rPr>
            </w:pPr>
            <w:r>
              <w:rPr>
                <w:rFonts w:hint="eastAsia"/>
                <w:kern w:val="0"/>
                <w:sz w:val="18"/>
                <w:szCs w:val="18"/>
              </w:rPr>
              <w:t>乙方</w:t>
            </w:r>
            <w:r>
              <w:rPr>
                <w:kern w:val="0"/>
                <w:sz w:val="18"/>
                <w:szCs w:val="18"/>
              </w:rPr>
              <w:t>（</w:t>
            </w:r>
            <w:r>
              <w:rPr>
                <w:rFonts w:hint="eastAsia"/>
                <w:kern w:val="0"/>
                <w:sz w:val="18"/>
                <w:szCs w:val="18"/>
              </w:rPr>
              <w:t>盖章</w:t>
            </w:r>
            <w:r>
              <w:rPr>
                <w:rFonts w:hint="eastAsia" w:cs="Arial"/>
                <w:kern w:val="0"/>
                <w:sz w:val="18"/>
                <w:szCs w:val="18"/>
              </w:rPr>
              <w:t>/线上确认</w:t>
            </w:r>
            <w:r>
              <w:rPr>
                <w:kern w:val="0"/>
                <w:sz w:val="18"/>
                <w:szCs w:val="18"/>
              </w:rPr>
              <w:t>）</w:t>
            </w:r>
            <w:r>
              <w:rPr>
                <w:rFonts w:hint="eastAsia"/>
                <w:kern w:val="0"/>
                <w:sz w:val="18"/>
                <w:szCs w:val="18"/>
              </w:rPr>
              <w:t>：</w:t>
            </w:r>
          </w:p>
          <w:p>
            <w:pPr>
              <w:spacing w:line="360" w:lineRule="auto"/>
              <w:rPr>
                <w:b/>
                <w:kern w:val="0"/>
                <w:sz w:val="18"/>
                <w:szCs w:val="18"/>
              </w:rPr>
            </w:pPr>
          </w:p>
          <w:p>
            <w:pPr>
              <w:spacing w:line="360" w:lineRule="auto"/>
              <w:rPr>
                <w:kern w:val="0"/>
                <w:sz w:val="18"/>
                <w:szCs w:val="18"/>
              </w:rPr>
            </w:pPr>
            <w:r>
              <w:rPr>
                <w:rFonts w:hint="eastAsia"/>
                <w:kern w:val="0"/>
                <w:sz w:val="18"/>
                <w:szCs w:val="18"/>
              </w:rPr>
              <w:t>日期：</w:t>
            </w:r>
          </w:p>
        </w:tc>
      </w:tr>
    </w:tbl>
    <w:p>
      <w:pPr>
        <w:spacing w:line="360" w:lineRule="auto"/>
        <w:jc w:val="left"/>
        <w:rPr>
          <w:rFonts w:ascii="宋体" w:hAnsi="宋体"/>
          <w:b/>
          <w:sz w:val="18"/>
          <w:szCs w:val="18"/>
        </w:rPr>
      </w:pPr>
      <w:r>
        <w:rPr>
          <w:rFonts w:hint="eastAsia" w:ascii="宋体" w:hAnsi="宋体"/>
          <w:b/>
          <w:sz w:val="18"/>
          <w:szCs w:val="18"/>
        </w:rPr>
        <w:t>（本《（代理）销售协议书》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442659"/>
    </w:sdtPr>
    <w:sdtContent>
      <w:p>
        <w:pPr>
          <w:pStyle w:val="4"/>
          <w:jc w:val="center"/>
        </w:pPr>
        <w:r>
          <w:fldChar w:fldCharType="begin"/>
        </w:r>
        <w:r>
          <w:instrText xml:space="preserve">PAGE   \* MERGEFORMAT</w:instrText>
        </w:r>
        <w:r>
          <w:fldChar w:fldCharType="separate"/>
        </w:r>
        <w:r>
          <w:rPr>
            <w:lang w:val="zh-CN"/>
          </w:rPr>
          <w:t>6</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eastAsia="宋体" w:cs="Times New Roman"/>
        <w:b/>
        <w:szCs w:val="20"/>
      </w:rPr>
    </w:pPr>
    <w:r>
      <w:rPr>
        <w:rFonts w:hint="eastAsia"/>
      </w:rPr>
      <w:t xml:space="preserve">                             </w:t>
    </w:r>
    <w:r>
      <w:t xml:space="preserve">    </w:t>
    </w:r>
    <w:r>
      <w:rPr>
        <w:rFonts w:hint="eastAsia"/>
      </w:rPr>
      <w:t xml:space="preserve"> </w:t>
    </w:r>
    <w:r>
      <w:t xml:space="preserve">                    </w:t>
    </w:r>
    <w:r>
      <w:rPr>
        <w:rFonts w:hint="eastAsia" w:ascii="Times New Roman" w:hAnsi="Times New Roman" w:eastAsia="宋体" w:cs="Times New Roman"/>
        <w:b/>
        <w:szCs w:val="20"/>
      </w:rPr>
      <w:t>（代理）销售协议书</w:t>
    </w:r>
  </w:p>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AES" w:cryptAlgorithmClass="hash" w:cryptAlgorithmType="typeAny" w:cryptAlgorithmSid="14" w:cryptSpinCount="100000" w:hash="Tb6zkpMzqILBpmS5jpDzzLk4JFixl3vIpgaCk2eVITFT73mTBXLESXU1NNa7NQ9Di4l/PNA82khKVST40PbMtg==" w:salt="i+DrksV3baYRVHrGK9Vak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850C0B"/>
    <w:rsid w:val="00002873"/>
    <w:rsid w:val="00014ADA"/>
    <w:rsid w:val="0001651D"/>
    <w:rsid w:val="00054BE7"/>
    <w:rsid w:val="00092F58"/>
    <w:rsid w:val="000D097A"/>
    <w:rsid w:val="000E15A8"/>
    <w:rsid w:val="000F142C"/>
    <w:rsid w:val="00120AB9"/>
    <w:rsid w:val="00171AEC"/>
    <w:rsid w:val="00171F73"/>
    <w:rsid w:val="0017268F"/>
    <w:rsid w:val="001A3E4E"/>
    <w:rsid w:val="001D2168"/>
    <w:rsid w:val="001D5BB4"/>
    <w:rsid w:val="001E6B70"/>
    <w:rsid w:val="00217DEF"/>
    <w:rsid w:val="00263CF4"/>
    <w:rsid w:val="002818BE"/>
    <w:rsid w:val="002832E4"/>
    <w:rsid w:val="002A703E"/>
    <w:rsid w:val="002B4433"/>
    <w:rsid w:val="002C5DA4"/>
    <w:rsid w:val="002E77B9"/>
    <w:rsid w:val="00307205"/>
    <w:rsid w:val="00335DAF"/>
    <w:rsid w:val="0035300B"/>
    <w:rsid w:val="003722B7"/>
    <w:rsid w:val="00384C9E"/>
    <w:rsid w:val="003A4AD9"/>
    <w:rsid w:val="003B2D02"/>
    <w:rsid w:val="003B7AAC"/>
    <w:rsid w:val="003C713B"/>
    <w:rsid w:val="003D3782"/>
    <w:rsid w:val="003E41BC"/>
    <w:rsid w:val="003F4EEF"/>
    <w:rsid w:val="003F5736"/>
    <w:rsid w:val="00415D95"/>
    <w:rsid w:val="004229BF"/>
    <w:rsid w:val="00481E6B"/>
    <w:rsid w:val="00492856"/>
    <w:rsid w:val="00494F0E"/>
    <w:rsid w:val="004B5B82"/>
    <w:rsid w:val="004B6B60"/>
    <w:rsid w:val="004D44E7"/>
    <w:rsid w:val="004F6F56"/>
    <w:rsid w:val="005120A6"/>
    <w:rsid w:val="005145EE"/>
    <w:rsid w:val="00515D76"/>
    <w:rsid w:val="005306E2"/>
    <w:rsid w:val="00535E83"/>
    <w:rsid w:val="005650D6"/>
    <w:rsid w:val="005A04CB"/>
    <w:rsid w:val="005B4E69"/>
    <w:rsid w:val="005E6EDE"/>
    <w:rsid w:val="00637285"/>
    <w:rsid w:val="00637A14"/>
    <w:rsid w:val="006768FE"/>
    <w:rsid w:val="00692693"/>
    <w:rsid w:val="00697ECC"/>
    <w:rsid w:val="006C3C74"/>
    <w:rsid w:val="006C5C9E"/>
    <w:rsid w:val="006E521A"/>
    <w:rsid w:val="006E5FB3"/>
    <w:rsid w:val="00707491"/>
    <w:rsid w:val="0072412B"/>
    <w:rsid w:val="00746904"/>
    <w:rsid w:val="00746AAC"/>
    <w:rsid w:val="00752BF6"/>
    <w:rsid w:val="00756A1D"/>
    <w:rsid w:val="00776D40"/>
    <w:rsid w:val="007942D5"/>
    <w:rsid w:val="00796531"/>
    <w:rsid w:val="007A6974"/>
    <w:rsid w:val="007A7193"/>
    <w:rsid w:val="007C68DE"/>
    <w:rsid w:val="007D5FFF"/>
    <w:rsid w:val="007F3E92"/>
    <w:rsid w:val="008053A3"/>
    <w:rsid w:val="008336C6"/>
    <w:rsid w:val="00835E57"/>
    <w:rsid w:val="00840A54"/>
    <w:rsid w:val="00850C0B"/>
    <w:rsid w:val="00855B8B"/>
    <w:rsid w:val="00862B8A"/>
    <w:rsid w:val="00881981"/>
    <w:rsid w:val="00882285"/>
    <w:rsid w:val="00884C7E"/>
    <w:rsid w:val="00885477"/>
    <w:rsid w:val="008D2C2D"/>
    <w:rsid w:val="009025C3"/>
    <w:rsid w:val="00914E3E"/>
    <w:rsid w:val="0092643E"/>
    <w:rsid w:val="00940DBE"/>
    <w:rsid w:val="009C2479"/>
    <w:rsid w:val="009C4FB3"/>
    <w:rsid w:val="009C579B"/>
    <w:rsid w:val="009D2ED5"/>
    <w:rsid w:val="009D61B4"/>
    <w:rsid w:val="009E2C80"/>
    <w:rsid w:val="009E7CCC"/>
    <w:rsid w:val="00A30B69"/>
    <w:rsid w:val="00A3186E"/>
    <w:rsid w:val="00A452A6"/>
    <w:rsid w:val="00A47BD1"/>
    <w:rsid w:val="00A80574"/>
    <w:rsid w:val="00A90F0B"/>
    <w:rsid w:val="00AA2731"/>
    <w:rsid w:val="00AA444A"/>
    <w:rsid w:val="00AC6C55"/>
    <w:rsid w:val="00AE7071"/>
    <w:rsid w:val="00B217E8"/>
    <w:rsid w:val="00B34214"/>
    <w:rsid w:val="00B358D0"/>
    <w:rsid w:val="00B532B9"/>
    <w:rsid w:val="00B5634B"/>
    <w:rsid w:val="00B61C33"/>
    <w:rsid w:val="00BE7F00"/>
    <w:rsid w:val="00C2419A"/>
    <w:rsid w:val="00C51D9E"/>
    <w:rsid w:val="00C70B3E"/>
    <w:rsid w:val="00C83C7A"/>
    <w:rsid w:val="00CD165E"/>
    <w:rsid w:val="00D3152C"/>
    <w:rsid w:val="00D35F82"/>
    <w:rsid w:val="00D70119"/>
    <w:rsid w:val="00D82CA8"/>
    <w:rsid w:val="00DA4E9C"/>
    <w:rsid w:val="00DB6D12"/>
    <w:rsid w:val="00DD6860"/>
    <w:rsid w:val="00DE1CA6"/>
    <w:rsid w:val="00DE530A"/>
    <w:rsid w:val="00DE7050"/>
    <w:rsid w:val="00E134AE"/>
    <w:rsid w:val="00E145A0"/>
    <w:rsid w:val="00E334D3"/>
    <w:rsid w:val="00E36CAB"/>
    <w:rsid w:val="00E42B48"/>
    <w:rsid w:val="00E436F5"/>
    <w:rsid w:val="00E500BC"/>
    <w:rsid w:val="00E50B88"/>
    <w:rsid w:val="00E71AFA"/>
    <w:rsid w:val="00E76152"/>
    <w:rsid w:val="00E949CB"/>
    <w:rsid w:val="00EA5AA4"/>
    <w:rsid w:val="00EA72EF"/>
    <w:rsid w:val="00EB3736"/>
    <w:rsid w:val="00EB3ABC"/>
    <w:rsid w:val="00EC2E2B"/>
    <w:rsid w:val="00ED33FA"/>
    <w:rsid w:val="00EE7797"/>
    <w:rsid w:val="00EF3937"/>
    <w:rsid w:val="00F0046B"/>
    <w:rsid w:val="00F57B20"/>
    <w:rsid w:val="00F6614C"/>
    <w:rsid w:val="00F97CA1"/>
    <w:rsid w:val="00FA0051"/>
    <w:rsid w:val="00FA64F6"/>
    <w:rsid w:val="00FF1B1C"/>
    <w:rsid w:val="167436FD"/>
    <w:rsid w:val="18651757"/>
    <w:rsid w:val="2ED75C91"/>
    <w:rsid w:val="56704E63"/>
    <w:rsid w:val="583A29B2"/>
    <w:rsid w:val="668D0FD3"/>
    <w:rsid w:val="68A47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0"/>
    <w:pPr>
      <w:jc w:val="left"/>
    </w:pPr>
  </w:style>
  <w:style w:type="paragraph" w:styleId="3">
    <w:name w:val="Balloon Text"/>
    <w:basedOn w:val="1"/>
    <w:link w:val="19"/>
    <w:semiHidden/>
    <w:unhideWhenUsed/>
    <w:qFormat/>
    <w:uiPriority w:val="99"/>
    <w:rPr>
      <w:sz w:val="18"/>
      <w:szCs w:val="18"/>
    </w:rPr>
  </w:style>
  <w:style w:type="paragraph" w:styleId="4">
    <w:name w:val="footer"/>
    <w:basedOn w:val="1"/>
    <w:link w:val="15"/>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HTML Preformatted"/>
    <w:basedOn w:val="1"/>
    <w:link w:val="2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bCs/>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unhideWhenUsed/>
    <w:qFormat/>
    <w:uiPriority w:val="0"/>
    <w:rPr>
      <w:sz w:val="21"/>
      <w:szCs w:val="21"/>
    </w:rPr>
  </w:style>
  <w:style w:type="character" w:customStyle="1" w:styleId="14">
    <w:name w:val="页眉 Char"/>
    <w:basedOn w:val="10"/>
    <w:link w:val="5"/>
    <w:qFormat/>
    <w:uiPriority w:val="99"/>
    <w:rPr>
      <w:sz w:val="18"/>
      <w:szCs w:val="18"/>
    </w:rPr>
  </w:style>
  <w:style w:type="character" w:customStyle="1" w:styleId="15">
    <w:name w:val="页脚 Char"/>
    <w:basedOn w:val="10"/>
    <w:link w:val="4"/>
    <w:qFormat/>
    <w:uiPriority w:val="99"/>
    <w:rPr>
      <w:sz w:val="18"/>
      <w:szCs w:val="18"/>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7">
    <w:name w:val="批注文字 Char"/>
    <w:basedOn w:val="10"/>
    <w:link w:val="2"/>
    <w:qFormat/>
    <w:uiPriority w:val="99"/>
    <w:rPr>
      <w:rFonts w:ascii="Calibri" w:hAnsi="Calibri" w:eastAsia="宋体" w:cs="宋体"/>
    </w:rPr>
  </w:style>
  <w:style w:type="character" w:customStyle="1" w:styleId="18">
    <w:name w:val="批注主题 Char"/>
    <w:basedOn w:val="17"/>
    <w:link w:val="7"/>
    <w:semiHidden/>
    <w:qFormat/>
    <w:uiPriority w:val="99"/>
    <w:rPr>
      <w:rFonts w:ascii="Calibri" w:hAnsi="Calibri" w:eastAsia="宋体" w:cs="宋体"/>
      <w:b/>
      <w:bCs/>
    </w:rPr>
  </w:style>
  <w:style w:type="character" w:customStyle="1" w:styleId="19">
    <w:name w:val="批注框文本 Char"/>
    <w:basedOn w:val="10"/>
    <w:link w:val="3"/>
    <w:semiHidden/>
    <w:qFormat/>
    <w:uiPriority w:val="99"/>
    <w:rPr>
      <w:rFonts w:ascii="Calibri" w:hAnsi="Calibri" w:eastAsia="宋体" w:cs="宋体"/>
      <w:sz w:val="18"/>
      <w:szCs w:val="18"/>
    </w:rPr>
  </w:style>
  <w:style w:type="paragraph" w:styleId="20">
    <w:name w:val="List Paragraph"/>
    <w:basedOn w:val="1"/>
    <w:qFormat/>
    <w:uiPriority w:val="34"/>
    <w:pPr>
      <w:ind w:firstLine="420" w:firstLineChars="200"/>
    </w:pPr>
  </w:style>
  <w:style w:type="character" w:customStyle="1" w:styleId="21">
    <w:name w:val="HTML 预设格式 Char"/>
    <w:basedOn w:val="10"/>
    <w:link w:val="6"/>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43CD1-C761-46B9-A950-DA3D25247416}">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652</Words>
  <Characters>3721</Characters>
  <Lines>31</Lines>
  <Paragraphs>8</Paragraphs>
  <TotalTime>0</TotalTime>
  <ScaleCrop>false</ScaleCrop>
  <LinksUpToDate>false</LinksUpToDate>
  <CharactersWithSpaces>4365</CharactersWithSpaces>
  <Application>WPS Office_11.8.2.10154_F1E327BC-269C-435d-A152-05C5408002CA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2024-11-15T07:57:00Z</dcterms:created>
  <dc:creator>胡骁潇</dc:creator>
  <cp:lastModifiedBy>cib</cp:lastModifiedBy>
  <dcterms:modified xsi:type="dcterms:W3CDTF">2024-12-17T06:43:41Z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DCAA966F15694DFBAAE5A22BB81990CC</vt:lpwstr>
  </property>
</Properties>
</file>