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303DF"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0" w:edGrp="everyone"/>
      <w:r>
        <w:rPr>
          <w:rStyle w:val="11"/>
          <w:rFonts w:hint="eastAsia" w:ascii="黑体" w:hAnsi="黑体" w:eastAsia="黑体"/>
          <w:sz w:val="28"/>
          <w:szCs w:val="28"/>
        </w:rPr>
        <w:t>【丰收封闭式固收类】</w:t>
      </w:r>
      <w:permEnd w:id="0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 w14:paraId="0222F690"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 w14:paraId="2CC964BD">
      <w:pPr>
        <w:pStyle w:val="15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（适用于个人投资者）</w:t>
      </w:r>
    </w:p>
    <w:p w14:paraId="11AC3720"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 w14:paraId="7A9AE959"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" w:edGrp="everyone"/>
      <w:r>
        <w:rPr>
          <w:rFonts w:hint="eastAsia" w:ascii="宋体" w:hAnsi="宋体"/>
          <w:sz w:val="18"/>
          <w:szCs w:val="18"/>
        </w:rPr>
        <w:t>【兴业银行股份有限公司（以下简称“兴业银行”）】</w:t>
      </w:r>
      <w:permEnd w:id="1"/>
      <w:r>
        <w:rPr>
          <w:rFonts w:hint="eastAsia" w:ascii="宋体" w:hAnsi="宋体"/>
          <w:sz w:val="18"/>
          <w:szCs w:val="18"/>
        </w:rPr>
        <w:t>以(</w:t>
      </w:r>
      <w:permStart w:id="2" w:edGrp="everyone"/>
      <w:r>
        <w:rPr>
          <w:rFonts w:hint="eastAsia" w:ascii="宋体" w:hAnsi="宋体"/>
          <w:sz w:val="18"/>
          <w:szCs w:val="18"/>
        </w:rPr>
        <w:t>□ 直销：产品管理人销售/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■</w:t>
      </w:r>
      <w:r>
        <w:rPr>
          <w:rFonts w:hint="eastAsia" w:ascii="宋体" w:hAnsi="宋体"/>
          <w:sz w:val="18"/>
          <w:szCs w:val="18"/>
        </w:rPr>
        <w:t xml:space="preserve"> 代销：代理销售机构销售</w:t>
      </w:r>
      <w:permEnd w:id="2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 w14:paraId="55045451"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 w14:paraId="74509E51">
      <w:pPr>
        <w:ind w:firstLine="360" w:firstLineChars="200"/>
        <w:rPr>
          <w:rFonts w:ascii="宋体" w:hAnsi="宋体"/>
          <w:sz w:val="18"/>
          <w:szCs w:val="18"/>
        </w:rPr>
      </w:pPr>
    </w:p>
    <w:p w14:paraId="4241B59A">
      <w:pPr>
        <w:ind w:firstLine="360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 w14:paraId="246E7CC5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 w14:paraId="7C0BD566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 w14:paraId="3C243A32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协议书》《产品说明书》《</w:t>
      </w:r>
      <w:r>
        <w:rPr>
          <w:rFonts w:hint="eastAsia" w:ascii="宋体" w:hAnsi="宋体"/>
          <w:sz w:val="18"/>
          <w:szCs w:val="18"/>
        </w:rPr>
        <w:t>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》《</w:t>
      </w:r>
      <w:r>
        <w:rPr>
          <w:rFonts w:ascii="宋体" w:hAnsi="宋体"/>
          <w:sz w:val="18"/>
          <w:szCs w:val="18"/>
        </w:rPr>
        <w:t>风险揭示书》《投资者权益须知》以及其他有关文件（如有），确认已同意相关内容、充分了解相关风险并无疑问和异议后，签署相关销售文件，并办理购买手续。</w:t>
      </w:r>
    </w:p>
    <w:p w14:paraId="0D7B3806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 w14:paraId="1D2A0073">
      <w:pPr>
        <w:ind w:firstLine="360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 w14:paraId="4424454E">
      <w:pPr>
        <w:ind w:firstLine="360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 w14:paraId="06CD2794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您购买理财产品前，应确保已完成风险承受能力评估且风险评估结果在有效期内，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sz w:val="18"/>
          <w:szCs w:val="18"/>
        </w:rPr>
        <w:t>如影响您风险承受能力的因素发生变化，请您及时重新完成风险承受能力评估。</w:t>
      </w:r>
    </w:p>
    <w:p w14:paraId="6517215E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 xml:space="preserve">. 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 w14:paraId="7E6B19A4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投资者风险承受能力，个人投资者由低至高分为</w:t>
      </w:r>
      <w:permStart w:id="3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C1、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>C2、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C3、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C4、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C5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、□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</w:t>
      </w:r>
      <w:r>
        <w:rPr>
          <w:rFonts w:hint="eastAsia" w:asciiTheme="majorEastAsia" w:hAnsiTheme="majorEastAsia" w:eastAsiaTheme="majorEastAsia"/>
          <w:bCs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sz w:val="18"/>
          <w:szCs w:val="18"/>
        </w:rPr>
        <w:t>】</w:t>
      </w:r>
      <w:permEnd w:id="3"/>
      <w:r>
        <w:rPr>
          <w:rFonts w:ascii="宋体" w:hAnsi="宋体"/>
          <w:sz w:val="18"/>
          <w:szCs w:val="18"/>
        </w:rPr>
        <w:t>。其中，</w:t>
      </w:r>
      <w:permStart w:id="4" w:edGrp="everyone"/>
      <w:r>
        <w:rPr>
          <w:rFonts w:hint="eastAsia" w:ascii="宋体" w:hAnsi="宋体"/>
          <w:sz w:val="18"/>
          <w:szCs w:val="18"/>
        </w:rPr>
        <w:t>【C</w:t>
      </w: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】</w:t>
      </w:r>
      <w:permEnd w:id="4"/>
      <w:r>
        <w:rPr>
          <w:rFonts w:ascii="宋体" w:hAnsi="宋体"/>
          <w:sz w:val="18"/>
          <w:szCs w:val="18"/>
        </w:rPr>
        <w:t>为风险承受能力最低类别，</w:t>
      </w:r>
      <w:permStart w:id="5" w:edGrp="everyone"/>
      <w:r>
        <w:rPr>
          <w:rFonts w:hint="eastAsia" w:ascii="宋体" w:hAnsi="宋体"/>
          <w:sz w:val="18"/>
          <w:szCs w:val="18"/>
        </w:rPr>
        <w:t>【C</w:t>
      </w:r>
      <w:r>
        <w:rPr>
          <w:rFonts w:hint="eastAsia" w:ascii="宋体" w:hAnsi="宋体"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sz w:val="18"/>
          <w:szCs w:val="18"/>
        </w:rPr>
        <w:t>】</w:t>
      </w:r>
      <w:permEnd w:id="5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801"/>
        <w:gridCol w:w="20"/>
        <w:gridCol w:w="2845"/>
      </w:tblGrid>
      <w:tr w14:paraId="09BF2D21"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FEBEB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4FF32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 w14:paraId="3B80C056">
        <w:trPr>
          <w:trHeight w:val="289" w:hRule="atLeast"/>
          <w:jc w:val="center"/>
        </w:trPr>
        <w:tc>
          <w:tcPr>
            <w:tcW w:w="8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5035282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permStart w:id="6" w:edGrp="everyone"/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安逸型（R1）</w:t>
            </w:r>
          </w:p>
        </w:tc>
        <w:tc>
          <w:tcPr>
            <w:tcW w:w="482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68F1FC5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本金风险低，产品投资目标不能实现的概率较低；或投资范围仅限于货币市场工具等风险极低的短期金融资产。</w:t>
            </w:r>
          </w:p>
        </w:tc>
        <w:tc>
          <w:tcPr>
            <w:tcW w:w="28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55B341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安逸型（C1）及以上</w:t>
            </w:r>
          </w:p>
        </w:tc>
      </w:tr>
      <w:tr w14:paraId="70CE32D5">
        <w:trPr>
          <w:trHeight w:val="289" w:hRule="atLeast"/>
          <w:jc w:val="center"/>
        </w:trPr>
        <w:tc>
          <w:tcPr>
            <w:tcW w:w="8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5774B5D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谨慎型（R2）</w:t>
            </w:r>
          </w:p>
        </w:tc>
        <w:tc>
          <w:tcPr>
            <w:tcW w:w="482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D647A2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本金风险相对较小，收益浮动但相对较小。产品结构简单，过往业绩及净值的历史波动率低；投资标的流动性很好或为较高等级的信用主体；或者衍生品及杠杆交易对净值波动极小；估值政策清晰。</w:t>
            </w:r>
          </w:p>
        </w:tc>
        <w:tc>
          <w:tcPr>
            <w:tcW w:w="28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E5BAB91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谨慎型（C2）及以上</w:t>
            </w:r>
          </w:p>
        </w:tc>
      </w:tr>
      <w:tr w14:paraId="703CCE7B">
        <w:trPr>
          <w:trHeight w:val="289" w:hRule="atLeast"/>
          <w:jc w:val="center"/>
        </w:trPr>
        <w:tc>
          <w:tcPr>
            <w:tcW w:w="8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529162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稳健型（R3）</w:t>
            </w:r>
          </w:p>
        </w:tc>
        <w:tc>
          <w:tcPr>
            <w:tcW w:w="482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416899A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有一定的本金风险，收益浮动且有一定波动。产品结构简单，过往业绩及净值的历史波动率较低；投资标的流动性好或为中等及以上的信用主体；或者投资衍生品以套期保值为目的，衍生品及杠杆交易对净值波动较小；估值政策清晰。</w:t>
            </w:r>
          </w:p>
        </w:tc>
        <w:tc>
          <w:tcPr>
            <w:tcW w:w="28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64E7D5E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稳健型（C3）及以上</w:t>
            </w:r>
          </w:p>
        </w:tc>
      </w:tr>
      <w:tr w14:paraId="22B7AAD0">
        <w:trPr>
          <w:trHeight w:val="289" w:hRule="atLeast"/>
          <w:jc w:val="center"/>
        </w:trPr>
        <w:tc>
          <w:tcPr>
            <w:tcW w:w="8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ADA6CCB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增长型（R4）</w:t>
            </w:r>
          </w:p>
        </w:tc>
        <w:tc>
          <w:tcPr>
            <w:tcW w:w="482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E77A76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较大。产品主要投资于流动性较好的投资标的，产品结构简单，但收益浮动且波动很大，过往业绩及净值的历史波动率较高；或者投资标的流动性较差或为中等以下的信用主体，但产品结构简单，且不投资于衍生品及杠杆交易；估值政策简单；或者投资衍生品以套期保值为目的，衍生品及杠杆交易对净值波动较大，估值政策较清晰</w:t>
            </w:r>
          </w:p>
        </w:tc>
        <w:tc>
          <w:tcPr>
            <w:tcW w:w="28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C6E38F2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增长型（C4）及以上</w:t>
            </w:r>
          </w:p>
          <w:p w14:paraId="4EFA72C5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 w14:paraId="4CA452B7">
        <w:trPr>
          <w:trHeight w:val="289" w:hRule="atLeast"/>
          <w:jc w:val="center"/>
        </w:trPr>
        <w:tc>
          <w:tcPr>
            <w:tcW w:w="8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5ED79BE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进取型（R5）</w:t>
            </w:r>
          </w:p>
        </w:tc>
        <w:tc>
          <w:tcPr>
            <w:tcW w:w="482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F267E9F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很大，收益浮动且波动很大。产品结构较复杂，过往业绩及净值的历史波动率高；或者投资标的流动性较差或为低等级的信用主体，期限较长；或者投资衍生品以追求收益为目的，衍生品及杠杆交易对净值波动很大；估值政策较复杂。投资者要作出谨慎的产品选择，积极的关注相关风险。</w:t>
            </w:r>
          </w:p>
        </w:tc>
        <w:tc>
          <w:tcPr>
            <w:tcW w:w="28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F32226D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进取型（C5）及以上</w:t>
            </w:r>
          </w:p>
        </w:tc>
      </w:tr>
      <w:permEnd w:id="6"/>
    </w:tbl>
    <w:p w14:paraId="103B3EF5">
      <w:pPr>
        <w:ind w:firstLine="360" w:firstLineChars="200"/>
        <w:rPr>
          <w:rFonts w:ascii="黑体" w:hAnsi="黑体" w:eastAsia="黑体"/>
          <w:sz w:val="18"/>
          <w:szCs w:val="18"/>
        </w:rPr>
      </w:pPr>
      <w:bookmarkStart w:id="1" w:name="_GoBack"/>
      <w:bookmarkEnd w:id="1"/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（二）针对“理财产品风险评级”、“投资者风险承受能力”、“适合投资者类型”的不同划分与表述的特别提示</w:t>
      </w:r>
    </w:p>
    <w:p w14:paraId="65EFB8B4"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 w14:paraId="20B18078"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 w14:paraId="738F79FD">
      <w:pPr>
        <w:ind w:firstLine="360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 w14:paraId="3F19A429"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 w14:paraId="3C931078">
      <w:pPr>
        <w:ind w:firstLine="360" w:firstLineChars="200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 w14:paraId="162213C7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 w14:paraId="03896DAF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</w:t>
      </w:r>
      <w:r>
        <w:rPr>
          <w:rFonts w:ascii="宋体" w:hAnsi="宋体"/>
          <w:sz w:val="18"/>
          <w:szCs w:val="18"/>
        </w:rPr>
        <w:t xml:space="preserve"> </w:t>
      </w:r>
    </w:p>
    <w:p w14:paraId="1276591E">
      <w:pPr>
        <w:ind w:firstLine="360" w:firstLineChars="200"/>
        <w:rPr>
          <w:rFonts w:ascii="宋体" w:hAnsi="宋体"/>
          <w:sz w:val="18"/>
          <w:szCs w:val="18"/>
        </w:rPr>
      </w:pPr>
      <w:bookmarkStart w:id="0" w:name="_Hlk64707831"/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p w14:paraId="7587A8ED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  <w:bookmarkEnd w:id="0"/>
    </w:p>
    <w:p w14:paraId="3A1EBEE2">
      <w:pPr>
        <w:spacing w:line="280" w:lineRule="atLeast"/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7" w:edGrp="everyone"/>
      <w:r>
        <w:rPr>
          <w:rFonts w:hint="eastAsia" w:ascii="宋体" w:hAnsi="宋体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 w14:paraId="30D04E45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 w14:paraId="6C3C830E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 w14:paraId="1A5E8E13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 w14:paraId="4BD39371"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3.销售机构：【】</w:t>
      </w:r>
    </w:p>
    <w:p w14:paraId="4668956B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7"/>
    <w:p w14:paraId="5A2E89DC">
      <w:pPr>
        <w:ind w:right="84" w:rightChars="40"/>
        <w:jc w:val="right"/>
        <w:rPr>
          <w:rFonts w:ascii="宋体" w:hAnsi="宋体"/>
          <w:sz w:val="18"/>
          <w:szCs w:val="18"/>
        </w:rPr>
      </w:pPr>
    </w:p>
    <w:p w14:paraId="66AC919C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14:paraId="56C78EB4"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8" w:edGrp="everyone"/>
      <w:r>
        <w:rPr>
          <w:rStyle w:val="11"/>
          <w:rFonts w:hint="eastAsia" w:ascii="黑体" w:hAnsi="黑体" w:eastAsia="黑体"/>
          <w:sz w:val="28"/>
          <w:szCs w:val="28"/>
        </w:rPr>
        <w:t>【丰收封闭式固收类】</w:t>
      </w:r>
      <w:permEnd w:id="8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 w14:paraId="781EEEEC"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 w14:paraId="4409BC3B">
      <w:pPr>
        <w:pStyle w:val="15"/>
        <w:spacing w:line="280" w:lineRule="atLeast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（适用于机构投资者）</w:t>
      </w:r>
    </w:p>
    <w:p w14:paraId="03EDA969">
      <w:pPr>
        <w:spacing w:line="280" w:lineRule="atLeas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 w14:paraId="3159F59B"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9" w:edGrp="everyone"/>
      <w:r>
        <w:rPr>
          <w:rFonts w:hint="eastAsia" w:ascii="宋体" w:hAnsi="宋体"/>
          <w:sz w:val="18"/>
          <w:szCs w:val="18"/>
        </w:rPr>
        <w:t>【兴业银行股份有限公司（以下简称“兴业银行”）】</w:t>
      </w:r>
      <w:permEnd w:id="9"/>
      <w:r>
        <w:rPr>
          <w:rFonts w:hint="eastAsia" w:ascii="宋体" w:hAnsi="宋体"/>
          <w:sz w:val="18"/>
          <w:szCs w:val="18"/>
        </w:rPr>
        <w:t>以(</w:t>
      </w:r>
      <w:permStart w:id="10" w:edGrp="everyone"/>
      <w:r>
        <w:rPr>
          <w:rFonts w:hint="eastAsia" w:ascii="宋体" w:hAnsi="宋体"/>
          <w:sz w:val="18"/>
          <w:szCs w:val="18"/>
        </w:rPr>
        <w:t>□ 直销：产品管理人销售/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■</w:t>
      </w:r>
      <w:r>
        <w:rPr>
          <w:rFonts w:hint="eastAsia" w:ascii="宋体" w:hAnsi="宋体"/>
          <w:sz w:val="18"/>
          <w:szCs w:val="18"/>
        </w:rPr>
        <w:t xml:space="preserve"> 代销：代理销售机构销售</w:t>
      </w:r>
      <w:permEnd w:id="10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 w14:paraId="782EC430"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 w14:paraId="30BBA7CD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</w:p>
    <w:p w14:paraId="12355ABC">
      <w:pPr>
        <w:spacing w:line="280" w:lineRule="atLeast"/>
        <w:ind w:firstLine="360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 w14:paraId="43422325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 w14:paraId="4F0126C2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 w14:paraId="69013AB8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协议书》《产品说明书》《</w:t>
      </w:r>
      <w:r>
        <w:rPr>
          <w:rFonts w:hint="eastAsia" w:ascii="宋体" w:hAnsi="宋体"/>
          <w:sz w:val="18"/>
          <w:szCs w:val="18"/>
        </w:rPr>
        <w:t>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》《</w:t>
      </w:r>
      <w:r>
        <w:rPr>
          <w:rFonts w:ascii="宋体" w:hAnsi="宋体"/>
          <w:sz w:val="18"/>
          <w:szCs w:val="18"/>
        </w:rPr>
        <w:t>风险揭示书》《投资者权益须知》以及其他有关文件（如有），确认已同意相关内容、充分了解相关风险并无疑问和异议后，签署相关销售文件，并办理购买手续。</w:t>
      </w:r>
    </w:p>
    <w:p w14:paraId="30D80C7B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 w14:paraId="09A2526C">
      <w:pPr>
        <w:spacing w:line="280" w:lineRule="atLeast"/>
        <w:ind w:firstLine="360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 w14:paraId="27760754">
      <w:pPr>
        <w:spacing w:line="280" w:lineRule="atLeast"/>
        <w:ind w:firstLine="360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 w14:paraId="2E6BEF13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您购买理财产品前，应确保已完成风险承受能力评估且风险评估结果在有效期内。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sz w:val="18"/>
          <w:szCs w:val="18"/>
        </w:rPr>
        <w:t>如影响您风险承受能力的因素发生变化，请您及时重新完成风险承受能力评估。</w:t>
      </w:r>
    </w:p>
    <w:p w14:paraId="49100A02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.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 w14:paraId="3067FE1F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投资者风险承受能力，机构投资者由低至高分为</w:t>
      </w:r>
      <w:permStart w:id="11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C1、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>C2、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C3、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C4、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C5</w:t>
      </w:r>
      <w:r>
        <w:rPr>
          <w:rFonts w:hint="eastAsia" w:ascii="宋体" w:hAnsi="宋体"/>
          <w:sz w:val="18"/>
          <w:szCs w:val="18"/>
        </w:rPr>
        <w:t>】</w:t>
      </w:r>
      <w:permEnd w:id="11"/>
      <w:r>
        <w:rPr>
          <w:rFonts w:ascii="宋体" w:hAnsi="宋体"/>
          <w:sz w:val="18"/>
          <w:szCs w:val="18"/>
        </w:rPr>
        <w:t>。其中，</w:t>
      </w:r>
      <w:permStart w:id="12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asciiTheme="majorEastAsia" w:hAnsiTheme="majorEastAsia" w:eastAsiaTheme="majorEastAsia"/>
          <w:bCs/>
          <w:sz w:val="18"/>
          <w:szCs w:val="18"/>
        </w:rPr>
        <w:t>C1</w:t>
      </w:r>
      <w:r>
        <w:rPr>
          <w:rFonts w:hint="eastAsia" w:ascii="宋体" w:hAnsi="宋体"/>
          <w:sz w:val="18"/>
          <w:szCs w:val="18"/>
        </w:rPr>
        <w:t>】</w:t>
      </w:r>
      <w:permEnd w:id="12"/>
      <w:r>
        <w:rPr>
          <w:rFonts w:ascii="宋体" w:hAnsi="宋体"/>
          <w:sz w:val="18"/>
          <w:szCs w:val="18"/>
        </w:rPr>
        <w:t>为风险承受能力最低类别，</w:t>
      </w:r>
      <w:permStart w:id="13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asciiTheme="majorEastAsia" w:hAnsiTheme="majorEastAsia" w:eastAsiaTheme="majorEastAsia"/>
          <w:bCs/>
          <w:sz w:val="18"/>
          <w:szCs w:val="18"/>
        </w:rPr>
        <w:t>C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5</w:t>
      </w:r>
      <w:r>
        <w:rPr>
          <w:rFonts w:hint="eastAsia" w:ascii="宋体" w:hAnsi="宋体"/>
          <w:sz w:val="18"/>
          <w:szCs w:val="18"/>
        </w:rPr>
        <w:t>】</w:t>
      </w:r>
      <w:permEnd w:id="13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94"/>
        <w:gridCol w:w="2842"/>
      </w:tblGrid>
      <w:tr w14:paraId="002064F7"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6B7F9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C13B7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 w14:paraId="2A3CB560"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DF69AE9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permStart w:id="14" w:edGrp="everyone"/>
            <w:r>
              <w:rPr>
                <w:rFonts w:ascii="宋体" w:hAnsi="宋体"/>
                <w:sz w:val="18"/>
                <w:szCs w:val="18"/>
              </w:rPr>
              <w:t>R1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568B8C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产品结构简单，所投资资产综合风险很低，产品具有很高流动性。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09990E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C1及以上</w:t>
            </w:r>
          </w:p>
        </w:tc>
      </w:tr>
      <w:tr w14:paraId="2CE8C0A8"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D44350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R2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5E8197A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产品结构简单，所投资资产综合风险较低。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6EF221D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C2及以上</w:t>
            </w:r>
          </w:p>
        </w:tc>
      </w:tr>
      <w:tr w14:paraId="596BC95D"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FA59718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R3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5F484F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产品结构简单，所投资资产综合风险中等。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AC84E3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C3及以上</w:t>
            </w:r>
          </w:p>
        </w:tc>
      </w:tr>
      <w:tr w14:paraId="51DB7F40"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318C06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R4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F43CFF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产品结构较简单，所投资资产综合风险较高。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D8EE6F8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C4及以上</w:t>
            </w:r>
          </w:p>
        </w:tc>
      </w:tr>
      <w:tr w14:paraId="0BC002B2"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B759C5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R5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65BDE4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产品结构较复杂或所投资资产综合风险高。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2FE1B2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C5及以上</w:t>
            </w:r>
          </w:p>
        </w:tc>
      </w:tr>
      <w:permEnd w:id="14"/>
    </w:tbl>
    <w:p w14:paraId="5720FFE3"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（二）针对“理财产品风险评级”、“投资者风险承受能力”、“适合投资者类型”的不同划分与表述的特别提示</w:t>
      </w:r>
    </w:p>
    <w:p w14:paraId="310E5B35"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 w14:paraId="7FC42AFE"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 w14:paraId="63EAB32F">
      <w:pPr>
        <w:spacing w:line="280" w:lineRule="atLeast"/>
        <w:ind w:firstLine="360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 w14:paraId="0C6FA456"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 w14:paraId="7DF1AD08">
      <w:pPr>
        <w:spacing w:line="280" w:lineRule="atLeast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hint="eastAsia" w:ascii="宋体" w:hAnsi="宋体"/>
          <w:b/>
          <w:sz w:val="18"/>
          <w:szCs w:val="18"/>
        </w:rPr>
        <w:t>四、关于投诉与建议</w:t>
      </w:r>
    </w:p>
    <w:p w14:paraId="43E02AD7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 w14:paraId="431F2E81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 w14:paraId="004E370D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p w14:paraId="4196460D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 w14:paraId="796E1AF1">
      <w:pPr>
        <w:spacing w:line="280" w:lineRule="atLeast"/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15" w:edGrp="everyone"/>
      <w:r>
        <w:rPr>
          <w:rFonts w:hint="eastAsia" w:ascii="宋体" w:hAnsi="宋体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 w14:paraId="5D962110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 w14:paraId="0C2B3A1C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 w14:paraId="1A8ADE75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 w14:paraId="13C11C14"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3.销售机构：【】</w:t>
      </w:r>
    </w:p>
    <w:p w14:paraId="75B311C0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15"/>
    <w:p w14:paraId="20CE60BA">
      <w:pPr>
        <w:autoSpaceDE w:val="0"/>
        <w:autoSpaceDN w:val="0"/>
        <w:adjustRightInd w:val="0"/>
        <w:spacing w:line="280" w:lineRule="atLeast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 w14:paraId="36F311F1">
      <w:pPr>
        <w:widowControl/>
        <w:spacing w:line="280" w:lineRule="atLeast"/>
        <w:jc w:val="left"/>
        <w:rPr>
          <w:rFonts w:ascii="宋体" w:hAnsi="宋体"/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7" w:footer="96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35E9B19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9FD3C"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投资者权益须知</w:t>
    </w:r>
  </w:p>
  <w:p w14:paraId="731DE73F"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注：本文件由兴银理财有限责任公司统一编制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1" w:cryptProviderType="rsaAES" w:cryptAlgorithmClass="hash" w:cryptAlgorithmType="typeAny" w:cryptAlgorithmSid="14" w:cryptSpinCount="100000" w:hash="k+c/UFsl11gWloH/L5insUGG7wy60L6imAgBgpHfYB4+PEw5Ne70Rrp0uZnCyItaMWk+dIaivDtskeTkkCOUzg==" w:salt="Jd9hddxm/25zEopbTpanh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wNTljODZlNmMxN2IxODkyNGQ0MzYwYjkyOGU4YWIifQ=="/>
  </w:docVars>
  <w:rsids>
    <w:rsidRoot w:val="00D237B3"/>
    <w:rsid w:val="00012DF8"/>
    <w:rsid w:val="00044E9D"/>
    <w:rsid w:val="000466D9"/>
    <w:rsid w:val="0008384D"/>
    <w:rsid w:val="000921B4"/>
    <w:rsid w:val="000C4846"/>
    <w:rsid w:val="000E6147"/>
    <w:rsid w:val="000F137C"/>
    <w:rsid w:val="00141624"/>
    <w:rsid w:val="00171420"/>
    <w:rsid w:val="001826CA"/>
    <w:rsid w:val="00195672"/>
    <w:rsid w:val="001D15B4"/>
    <w:rsid w:val="001D7F61"/>
    <w:rsid w:val="001E3318"/>
    <w:rsid w:val="001E7CA6"/>
    <w:rsid w:val="00206C75"/>
    <w:rsid w:val="0023468F"/>
    <w:rsid w:val="002462D8"/>
    <w:rsid w:val="00252EC4"/>
    <w:rsid w:val="00271331"/>
    <w:rsid w:val="00276F5A"/>
    <w:rsid w:val="002861F2"/>
    <w:rsid w:val="002A6909"/>
    <w:rsid w:val="002B0017"/>
    <w:rsid w:val="002B56A0"/>
    <w:rsid w:val="002B6D4B"/>
    <w:rsid w:val="002C01C0"/>
    <w:rsid w:val="002E6656"/>
    <w:rsid w:val="00373C0A"/>
    <w:rsid w:val="003B33DD"/>
    <w:rsid w:val="003B4628"/>
    <w:rsid w:val="003B5DB0"/>
    <w:rsid w:val="003D624D"/>
    <w:rsid w:val="00481B7F"/>
    <w:rsid w:val="00484980"/>
    <w:rsid w:val="004D586E"/>
    <w:rsid w:val="004E5B8C"/>
    <w:rsid w:val="00526973"/>
    <w:rsid w:val="00532846"/>
    <w:rsid w:val="00552ACB"/>
    <w:rsid w:val="00571A72"/>
    <w:rsid w:val="00592F0D"/>
    <w:rsid w:val="005A0FFB"/>
    <w:rsid w:val="005A17EF"/>
    <w:rsid w:val="005B1F8B"/>
    <w:rsid w:val="005B6CBB"/>
    <w:rsid w:val="005D1461"/>
    <w:rsid w:val="005D158B"/>
    <w:rsid w:val="005E4F9A"/>
    <w:rsid w:val="00622E88"/>
    <w:rsid w:val="00641888"/>
    <w:rsid w:val="006639A1"/>
    <w:rsid w:val="00687239"/>
    <w:rsid w:val="006B237F"/>
    <w:rsid w:val="006D2908"/>
    <w:rsid w:val="006E4016"/>
    <w:rsid w:val="006F690F"/>
    <w:rsid w:val="00710B52"/>
    <w:rsid w:val="007B231D"/>
    <w:rsid w:val="007C6A86"/>
    <w:rsid w:val="007E0974"/>
    <w:rsid w:val="00812B92"/>
    <w:rsid w:val="00820AF6"/>
    <w:rsid w:val="00835EA0"/>
    <w:rsid w:val="008C2FE9"/>
    <w:rsid w:val="008E7821"/>
    <w:rsid w:val="008E7C7D"/>
    <w:rsid w:val="009606A0"/>
    <w:rsid w:val="00971F4B"/>
    <w:rsid w:val="009816B9"/>
    <w:rsid w:val="009A1C1D"/>
    <w:rsid w:val="009D1DC4"/>
    <w:rsid w:val="009E4DBC"/>
    <w:rsid w:val="00A4010F"/>
    <w:rsid w:val="00A646F7"/>
    <w:rsid w:val="00A75734"/>
    <w:rsid w:val="00AA4438"/>
    <w:rsid w:val="00AB386C"/>
    <w:rsid w:val="00AC38B4"/>
    <w:rsid w:val="00AC71D9"/>
    <w:rsid w:val="00AD346C"/>
    <w:rsid w:val="00AF2C8D"/>
    <w:rsid w:val="00AF4691"/>
    <w:rsid w:val="00B02055"/>
    <w:rsid w:val="00B0652B"/>
    <w:rsid w:val="00B07EA5"/>
    <w:rsid w:val="00B16C9A"/>
    <w:rsid w:val="00B507EB"/>
    <w:rsid w:val="00B57A5B"/>
    <w:rsid w:val="00BE4E6B"/>
    <w:rsid w:val="00BF7C2F"/>
    <w:rsid w:val="00C018F3"/>
    <w:rsid w:val="00C202DE"/>
    <w:rsid w:val="00C32FF7"/>
    <w:rsid w:val="00C8683D"/>
    <w:rsid w:val="00C86FD7"/>
    <w:rsid w:val="00CC4AD5"/>
    <w:rsid w:val="00CC7FEA"/>
    <w:rsid w:val="00CD7916"/>
    <w:rsid w:val="00CE1CA4"/>
    <w:rsid w:val="00D01E10"/>
    <w:rsid w:val="00D237B3"/>
    <w:rsid w:val="00D56354"/>
    <w:rsid w:val="00D917DB"/>
    <w:rsid w:val="00DB67D6"/>
    <w:rsid w:val="00DD5F6E"/>
    <w:rsid w:val="00E01CA3"/>
    <w:rsid w:val="00E077CB"/>
    <w:rsid w:val="00E4791B"/>
    <w:rsid w:val="00EA7D7F"/>
    <w:rsid w:val="00EF1A43"/>
    <w:rsid w:val="00F126D2"/>
    <w:rsid w:val="00F33265"/>
    <w:rsid w:val="00F47A61"/>
    <w:rsid w:val="00F74AE2"/>
    <w:rsid w:val="00F81CAA"/>
    <w:rsid w:val="00F85BFD"/>
    <w:rsid w:val="00FC059B"/>
    <w:rsid w:val="121A1EA9"/>
    <w:rsid w:val="387158CE"/>
    <w:rsid w:val="396B1CB8"/>
    <w:rsid w:val="4CC61943"/>
    <w:rsid w:val="52D44062"/>
    <w:rsid w:val="6839260A"/>
    <w:rsid w:val="6C8B13CC"/>
    <w:rsid w:val="EEF6B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link w:val="1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annotation reference"/>
    <w:qFormat/>
    <w:uiPriority w:val="0"/>
    <w:rPr>
      <w:sz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6">
    <w:name w:val="标题 1 Char"/>
    <w:basedOn w:val="10"/>
    <w:link w:val="2"/>
    <w:qFormat/>
    <w:uiPriority w:val="0"/>
    <w:rPr>
      <w:rFonts w:ascii="宋体" w:hAnsi="Times New Roman" w:eastAsia="宋体" w:cs="Times New Roman"/>
      <w:b/>
      <w:color w:val="000000"/>
      <w:kern w:val="0"/>
      <w:sz w:val="24"/>
      <w:szCs w:val="20"/>
    </w:rPr>
  </w:style>
  <w:style w:type="character" w:customStyle="1" w:styleId="17">
    <w:name w:val="HTML 预设格式 Char"/>
    <w:basedOn w:val="10"/>
    <w:link w:val="7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文字 Char"/>
    <w:basedOn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文字 Char1"/>
    <w:basedOn w:val="10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0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580</Words>
  <Characters>3311</Characters>
  <Lines>27</Lines>
  <Paragraphs>7</Paragraphs>
  <TotalTime>0</TotalTime>
  <ScaleCrop>false</ScaleCrop>
  <LinksUpToDate>false</LinksUpToDate>
  <CharactersWithSpaces>3884</CharactersWithSpaces>
  <Application>WPS Office_6.14.0.8924_F1E327BC-269C-435d-A152-05C5408002CA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2024-11-15T10:54:00Z</dcterms:created>
  <dc:creator>胡骁潇</dc:creator>
  <cp:lastModifiedBy>Lee</cp:lastModifiedBy>
  <dcterms:modified xsi:type="dcterms:W3CDTF">2025-07-11T16:03:37Z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9873E9C24C094D1B8CECDA42AF5A7960</vt:lpwstr>
  </property>
</Properties>
</file>