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5"/>
          <w:tab w:val="center" w:pos="5273"/>
        </w:tabs>
        <w:spacing w:before="50"/>
        <w:jc w:val="center"/>
        <w:rPr>
          <w:rFonts w:hint="eastAsia" w:ascii="黑体" w:eastAsia="黑体"/>
          <w:b/>
          <w:bCs/>
          <w:color w:val="000000"/>
          <w:sz w:val="30"/>
          <w:szCs w:val="30"/>
          <w:highlight w:val="none"/>
          <w:lang w:eastAsia="zh-CN"/>
        </w:rPr>
      </w:pPr>
      <w:bookmarkStart w:id="0" w:name="_GoBack"/>
      <w:bookmarkEnd w:id="0"/>
      <w:r>
        <w:rPr>
          <w:rFonts w:hint="eastAsia" w:ascii="黑体" w:eastAsia="黑体"/>
          <w:b/>
          <w:bCs/>
          <w:color w:val="000000"/>
          <w:sz w:val="30"/>
          <w:szCs w:val="30"/>
          <w:highlight w:val="none"/>
          <w:lang w:eastAsia="zh-CN"/>
        </w:rPr>
        <w:t>北银理财丰收系列京华远见春系列</w:t>
      </w:r>
    </w:p>
    <w:p>
      <w:pPr>
        <w:tabs>
          <w:tab w:val="left" w:pos="915"/>
          <w:tab w:val="center" w:pos="5273"/>
        </w:tabs>
        <w:spacing w:before="50"/>
        <w:jc w:val="center"/>
        <w:rPr>
          <w:rFonts w:hint="eastAsia" w:ascii="黑体" w:eastAsia="黑体"/>
          <w:b/>
          <w:bCs/>
          <w:color w:val="000000"/>
          <w:sz w:val="30"/>
          <w:szCs w:val="30"/>
          <w:highlight w:val="none"/>
          <w:lang w:eastAsia="zh-CN"/>
        </w:rPr>
      </w:pPr>
      <w:r>
        <w:rPr>
          <w:rFonts w:hint="eastAsia" w:ascii="黑体" w:eastAsia="黑体"/>
          <w:b/>
          <w:bCs/>
          <w:color w:val="000000"/>
          <w:sz w:val="30"/>
          <w:szCs w:val="30"/>
          <w:highlight w:val="none"/>
          <w:lang w:val="en-US" w:eastAsia="zh-CN"/>
        </w:rPr>
        <w:t>诚享</w:t>
      </w:r>
      <w:permStart w:id="0" w:edGrp="everyone"/>
      <w:r>
        <w:rPr>
          <w:rFonts w:hint="eastAsia" w:ascii="黑体" w:eastAsia="黑体"/>
          <w:b/>
          <w:bCs/>
          <w:color w:val="000000"/>
          <w:sz w:val="30"/>
          <w:szCs w:val="30"/>
          <w:highlight w:val="none"/>
          <w:lang w:val="en-US" w:eastAsia="zh-CN"/>
        </w:rPr>
        <w:t>7</w:t>
      </w:r>
      <w:permEnd w:id="0"/>
      <w:r>
        <w:rPr>
          <w:rFonts w:hint="eastAsia" w:ascii="黑体" w:eastAsia="黑体"/>
          <w:b/>
          <w:bCs/>
          <w:color w:val="000000"/>
          <w:sz w:val="30"/>
          <w:szCs w:val="30"/>
          <w:highlight w:val="none"/>
          <w:lang w:eastAsia="zh-CN"/>
        </w:rPr>
        <w:t>天持有期</w:t>
      </w:r>
      <w:permStart w:id="1" w:edGrp="everyone"/>
      <w:r>
        <w:rPr>
          <w:rFonts w:hint="eastAsia" w:ascii="黑体" w:eastAsia="黑体"/>
          <w:b/>
          <w:bCs/>
          <w:color w:val="000000"/>
          <w:sz w:val="30"/>
          <w:szCs w:val="30"/>
          <w:highlight w:val="none"/>
          <w:lang w:val="en-US" w:eastAsia="zh-CN"/>
        </w:rPr>
        <w:t>1</w:t>
      </w:r>
      <w:permEnd w:id="1"/>
      <w:r>
        <w:rPr>
          <w:rFonts w:hint="eastAsia" w:ascii="黑体" w:eastAsia="黑体"/>
          <w:b/>
          <w:bCs/>
          <w:color w:val="000000"/>
          <w:sz w:val="30"/>
          <w:szCs w:val="30"/>
          <w:highlight w:val="none"/>
          <w:lang w:eastAsia="zh-CN"/>
        </w:rPr>
        <w:t>号理财产品</w:t>
      </w:r>
    </w:p>
    <w:p>
      <w:pPr>
        <w:tabs>
          <w:tab w:val="left" w:pos="915"/>
          <w:tab w:val="center" w:pos="5273"/>
        </w:tabs>
        <w:spacing w:before="50"/>
        <w:jc w:val="center"/>
        <w:rPr>
          <w:rFonts w:ascii="黑体" w:eastAsia="黑体"/>
          <w:b/>
          <w:bCs/>
          <w:color w:val="000000"/>
          <w:sz w:val="30"/>
          <w:szCs w:val="30"/>
        </w:rPr>
      </w:pPr>
      <w:r>
        <w:rPr>
          <w:rFonts w:hint="eastAsia" w:ascii="黑体" w:eastAsia="黑体"/>
          <w:b/>
          <w:bCs/>
          <w:color w:val="000000"/>
          <w:sz w:val="30"/>
          <w:szCs w:val="30"/>
        </w:rPr>
        <w:t>投资者</w:t>
      </w:r>
      <w:r>
        <w:rPr>
          <w:rFonts w:ascii="黑体" w:eastAsia="黑体"/>
          <w:b/>
          <w:bCs/>
          <w:color w:val="000000"/>
          <w:sz w:val="30"/>
          <w:szCs w:val="30"/>
        </w:rPr>
        <w:t>权益须知</w:t>
      </w:r>
    </w:p>
    <w:p>
      <w:pPr>
        <w:autoSpaceDE w:val="0"/>
        <w:autoSpaceDN w:val="0"/>
        <w:adjustRightInd w:val="0"/>
        <w:spacing w:before="62" w:beforeLines="20"/>
        <w:rPr>
          <w:rFonts w:ascii="楷体_GB2312" w:eastAsia="楷体_GB2312"/>
          <w:b/>
          <w:color w:val="000000"/>
          <w:sz w:val="24"/>
        </w:rPr>
      </w:pPr>
    </w:p>
    <w:p>
      <w:pPr>
        <w:autoSpaceDE w:val="0"/>
        <w:autoSpaceDN w:val="0"/>
        <w:adjustRightInd w:val="0"/>
        <w:spacing w:before="62" w:beforeLines="20"/>
        <w:rPr>
          <w:rFonts w:ascii="楷体_GB2312" w:eastAsia="楷体_GB2312"/>
          <w:b/>
          <w:color w:val="000000"/>
          <w:sz w:val="24"/>
          <w:highlight w:val="none"/>
        </w:rPr>
      </w:pPr>
      <w:r>
        <w:rPr>
          <w:rFonts w:hint="eastAsia" w:ascii="楷体_GB2312" w:eastAsia="楷体_GB2312"/>
          <w:b/>
          <w:color w:val="000000"/>
          <w:sz w:val="24"/>
          <w:highlight w:val="none"/>
        </w:rPr>
        <w:t>尊敬的投资者：</w:t>
      </w:r>
    </w:p>
    <w:p>
      <w:pPr>
        <w:keepNext w:val="0"/>
        <w:keepLines w:val="0"/>
        <w:widowControl/>
        <w:suppressLineNumbers w:val="0"/>
        <w:autoSpaceDE w:val="0"/>
        <w:autoSpaceDN w:val="0"/>
        <w:adjustRightInd w:val="0"/>
        <w:spacing w:before="62" w:beforeLines="20"/>
        <w:ind w:firstLine="482" w:firstLineChars="200"/>
        <w:jc w:val="left"/>
        <w:rPr>
          <w:rFonts w:ascii="楷体_GB2312" w:hAnsi="Times New Roman" w:eastAsia="楷体_GB2312" w:cs="Times New Roman"/>
          <w:color w:val="000000"/>
          <w:sz w:val="24"/>
          <w:highlight w:val="none"/>
        </w:rPr>
      </w:pPr>
      <w:r>
        <w:rPr>
          <w:rFonts w:ascii="楷体_GB2312" w:eastAsia="楷体_GB2312"/>
          <w:b/>
          <w:bCs/>
          <w:color w:val="000000"/>
          <w:sz w:val="24"/>
          <w:highlight w:val="none"/>
        </w:rPr>
        <w:t>理财非存款，产品有风险，投资须谨慎。</w:t>
      </w:r>
      <w:r>
        <w:rPr>
          <w:rFonts w:hint="default" w:ascii="楷体_GB2312" w:hAnsi="Times New Roman" w:eastAsia="楷体_GB2312" w:cs="Times New Roman"/>
          <w:color w:val="000000"/>
          <w:kern w:val="2"/>
          <w:sz w:val="24"/>
          <w:szCs w:val="24"/>
          <w:highlight w:val="none"/>
          <w:lang w:val="en-US" w:eastAsia="zh-CN" w:bidi="ar"/>
        </w:rPr>
        <w:t>为方便您办理</w:t>
      </w:r>
      <w:r>
        <w:rPr>
          <w:rFonts w:hint="eastAsia" w:ascii="楷体_GB2312" w:hAnsi="Times New Roman" w:eastAsia="楷体_GB2312" w:cs="Times New Roman"/>
          <w:color w:val="000000"/>
          <w:kern w:val="2"/>
          <w:sz w:val="24"/>
          <w:szCs w:val="24"/>
          <w:highlight w:val="none"/>
          <w:lang w:val="en-US" w:eastAsia="zh-CN" w:bidi="ar"/>
        </w:rPr>
        <w:t>北银</w:t>
      </w:r>
      <w:r>
        <w:rPr>
          <w:rFonts w:hint="default" w:ascii="楷体_GB2312" w:hAnsi="Times New Roman" w:eastAsia="楷体_GB2312" w:cs="Times New Roman"/>
          <w:color w:val="000000"/>
          <w:kern w:val="2"/>
          <w:sz w:val="24"/>
          <w:szCs w:val="24"/>
          <w:highlight w:val="none"/>
          <w:lang w:val="en-US" w:eastAsia="zh-CN" w:bidi="ar"/>
        </w:rPr>
        <w:t>理财有限责任公司（以下简称“</w:t>
      </w:r>
      <w:r>
        <w:rPr>
          <w:rFonts w:hint="eastAsia" w:ascii="楷体_GB2312" w:hAnsi="Times New Roman" w:eastAsia="楷体_GB2312" w:cs="Times New Roman"/>
          <w:color w:val="000000"/>
          <w:kern w:val="2"/>
          <w:sz w:val="24"/>
          <w:szCs w:val="24"/>
          <w:highlight w:val="none"/>
          <w:lang w:val="en-US" w:eastAsia="zh-CN" w:bidi="ar"/>
        </w:rPr>
        <w:t>北银</w:t>
      </w:r>
      <w:r>
        <w:rPr>
          <w:rFonts w:hint="default" w:ascii="楷体_GB2312" w:hAnsi="Times New Roman" w:eastAsia="楷体_GB2312" w:cs="Times New Roman"/>
          <w:color w:val="000000"/>
          <w:kern w:val="2"/>
          <w:sz w:val="24"/>
          <w:szCs w:val="24"/>
          <w:highlight w:val="none"/>
          <w:lang w:val="en-US" w:eastAsia="zh-CN" w:bidi="ar"/>
        </w:rPr>
        <w:t>理财”）理财业务，请仔细阅读以下内容。</w:t>
      </w:r>
    </w:p>
    <w:p>
      <w:pPr>
        <w:autoSpaceDE w:val="0"/>
        <w:autoSpaceDN w:val="0"/>
        <w:adjustRightInd w:val="0"/>
        <w:spacing w:before="62" w:beforeLines="20"/>
        <w:ind w:firstLine="480" w:firstLineChars="200"/>
        <w:rPr>
          <w:rFonts w:ascii="楷体_GB2312" w:eastAsia="楷体_GB2312"/>
          <w:color w:val="000000"/>
          <w:sz w:val="24"/>
          <w:highlight w:val="none"/>
        </w:rPr>
      </w:pPr>
      <w:r>
        <w:rPr>
          <w:rFonts w:ascii="楷体_GB2312" w:eastAsia="楷体_GB2312"/>
          <w:color w:val="000000"/>
          <w:sz w:val="24"/>
          <w:highlight w:val="none"/>
        </w:rPr>
        <w:t>根据</w:t>
      </w:r>
      <w:r>
        <w:rPr>
          <w:rFonts w:hint="eastAsia" w:ascii="楷体_GB2312" w:eastAsia="楷体_GB2312"/>
          <w:color w:val="000000"/>
          <w:sz w:val="24"/>
          <w:highlight w:val="none"/>
        </w:rPr>
        <w:t>国家金融监督管理总局</w:t>
      </w:r>
      <w:r>
        <w:rPr>
          <w:rFonts w:ascii="楷体_GB2312" w:eastAsia="楷体_GB2312"/>
          <w:color w:val="000000"/>
          <w:sz w:val="24"/>
          <w:highlight w:val="none"/>
        </w:rPr>
        <w:t>相关监管规定的要求，</w:t>
      </w:r>
      <w:r>
        <w:rPr>
          <w:rFonts w:ascii="楷体_GB2312" w:eastAsia="楷体_GB2312"/>
          <w:b/>
          <w:bCs/>
          <w:color w:val="000000"/>
          <w:sz w:val="24"/>
          <w:highlight w:val="none"/>
        </w:rPr>
        <w:t>在选择购买</w:t>
      </w:r>
      <w:r>
        <w:rPr>
          <w:rFonts w:hint="eastAsia" w:ascii="楷体_GB2312" w:eastAsia="楷体_GB2312"/>
          <w:b/>
          <w:bCs/>
          <w:color w:val="000000"/>
          <w:sz w:val="24"/>
          <w:highlight w:val="none"/>
          <w:lang w:val="en-US" w:eastAsia="zh-CN"/>
        </w:rPr>
        <w:t>本</w:t>
      </w:r>
      <w:r>
        <w:rPr>
          <w:rFonts w:ascii="楷体_GB2312" w:eastAsia="楷体_GB2312"/>
          <w:b/>
          <w:bCs/>
          <w:color w:val="000000"/>
          <w:sz w:val="24"/>
          <w:highlight w:val="none"/>
        </w:rPr>
        <w:t>理财产品前，请认真完成</w:t>
      </w:r>
      <w:r>
        <w:rPr>
          <w:rFonts w:hint="eastAsia" w:ascii="楷体_GB2312" w:eastAsia="楷体_GB2312"/>
          <w:b/>
          <w:bCs/>
          <w:color w:val="000000"/>
          <w:sz w:val="24"/>
          <w:highlight w:val="none"/>
          <w:lang w:val="en-US" w:eastAsia="zh-CN"/>
        </w:rPr>
        <w:t>投资者</w:t>
      </w:r>
      <w:r>
        <w:rPr>
          <w:rFonts w:ascii="楷体_GB2312" w:eastAsia="楷体_GB2312"/>
          <w:b/>
          <w:bCs/>
          <w:color w:val="000000"/>
          <w:sz w:val="24"/>
          <w:highlight w:val="none"/>
        </w:rPr>
        <w:t>风险承受能力评估，了解本人/本公司（</w:t>
      </w:r>
      <w:r>
        <w:rPr>
          <w:rFonts w:hint="eastAsia" w:ascii="楷体_GB2312" w:eastAsia="楷体_GB2312"/>
          <w:b/>
          <w:bCs/>
          <w:color w:val="000000"/>
          <w:sz w:val="24"/>
          <w:highlight w:val="none"/>
        </w:rPr>
        <w:t>单位</w:t>
      </w:r>
      <w:r>
        <w:rPr>
          <w:rFonts w:ascii="楷体_GB2312" w:eastAsia="楷体_GB2312"/>
          <w:b/>
          <w:bCs/>
          <w:color w:val="000000"/>
          <w:sz w:val="24"/>
          <w:highlight w:val="none"/>
        </w:rPr>
        <w:t>）的投资目标、风险偏好和产品需求，</w:t>
      </w:r>
      <w:r>
        <w:rPr>
          <w:rFonts w:ascii="楷体_GB2312" w:hAnsi="楷体" w:eastAsia="楷体_GB2312" w:cs="Times New Roman"/>
          <w:b/>
          <w:bCs/>
          <w:color w:val="auto"/>
          <w:sz w:val="24"/>
          <w:highlight w:val="none"/>
        </w:rPr>
        <w:t>仔细阅读本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包括《</w:t>
      </w:r>
      <w:r>
        <w:rPr>
          <w:rFonts w:hint="eastAsia" w:ascii="楷体_GB2312" w:hAnsi="楷体" w:eastAsia="楷体_GB2312" w:cs="Times New Roman"/>
          <w:b/>
          <w:bCs/>
          <w:color w:val="auto"/>
          <w:sz w:val="24"/>
          <w:highlight w:val="none"/>
        </w:rPr>
        <w:t>理财产品投资协议书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理财产品说明书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风险揭示书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w:t>
      </w:r>
      <w:r>
        <w:rPr>
          <w:rFonts w:hint="eastAsia" w:ascii="楷体_GB2312" w:hAnsi="楷体" w:eastAsia="楷体_GB2312" w:cs="Times New Roman"/>
          <w:b/>
          <w:bCs/>
          <w:color w:val="auto"/>
          <w:sz w:val="24"/>
          <w:highlight w:val="none"/>
        </w:rPr>
        <w:t>投资者权益须知</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和《代理销售</w:t>
      </w:r>
      <w:r>
        <w:rPr>
          <w:rFonts w:hint="eastAsia" w:ascii="楷体_GB2312" w:hAnsi="楷体" w:eastAsia="楷体_GB2312" w:cs="Times New Roman"/>
          <w:b/>
          <w:bCs/>
          <w:color w:val="auto"/>
          <w:sz w:val="24"/>
          <w:highlight w:val="none"/>
        </w:rPr>
        <w:t>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具体名称以代销机构为准</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rPr>
        <w:t>特别是加黑及加“★”标识、以及有关责任或权利限制的条款</w:t>
      </w:r>
      <w:r>
        <w:rPr>
          <w:rFonts w:hint="eastAsia" w:ascii="楷体_GB2312" w:hAnsi="楷体" w:eastAsia="楷体_GB2312" w:cs="Times New Roman"/>
          <w:b/>
          <w:bCs/>
          <w:color w:val="auto"/>
          <w:sz w:val="24"/>
          <w:highlight w:val="none"/>
          <w:lang w:eastAsia="zh-CN"/>
        </w:rPr>
        <w:t>，</w:t>
      </w:r>
      <w:r>
        <w:rPr>
          <w:rFonts w:ascii="楷体_GB2312" w:eastAsia="楷体_GB2312"/>
          <w:b/>
          <w:bCs/>
          <w:color w:val="000000"/>
          <w:sz w:val="24"/>
          <w:highlight w:val="none"/>
        </w:rPr>
        <w:t>选择购买与本人/本公司（</w:t>
      </w:r>
      <w:r>
        <w:rPr>
          <w:rFonts w:hint="eastAsia" w:ascii="楷体_GB2312" w:eastAsia="楷体_GB2312"/>
          <w:b/>
          <w:bCs/>
          <w:color w:val="000000"/>
          <w:sz w:val="24"/>
          <w:highlight w:val="none"/>
        </w:rPr>
        <w:t>单位</w:t>
      </w:r>
      <w:r>
        <w:rPr>
          <w:rFonts w:ascii="楷体_GB2312" w:eastAsia="楷体_GB2312"/>
          <w:b/>
          <w:bCs/>
          <w:color w:val="000000"/>
          <w:sz w:val="24"/>
          <w:highlight w:val="none"/>
        </w:rPr>
        <w:t>）自身风险承受能力匹配的产品。</w:t>
      </w:r>
      <w:r>
        <w:rPr>
          <w:rFonts w:ascii="楷体_GB2312" w:eastAsia="楷体_GB2312"/>
          <w:color w:val="000000"/>
          <w:sz w:val="24"/>
          <w:highlight w:val="none"/>
        </w:rPr>
        <w:t>在阅读时如对</w:t>
      </w:r>
      <w:r>
        <w:rPr>
          <w:rFonts w:hint="eastAsia" w:ascii="楷体_GB2312" w:eastAsia="楷体_GB2312"/>
          <w:color w:val="000000"/>
          <w:sz w:val="24"/>
          <w:highlight w:val="none"/>
          <w:lang w:val="en-US" w:eastAsia="zh-CN"/>
        </w:rPr>
        <w:t>本理财</w:t>
      </w:r>
      <w:r>
        <w:rPr>
          <w:rFonts w:ascii="楷体_GB2312" w:eastAsia="楷体_GB2312"/>
          <w:color w:val="000000"/>
          <w:sz w:val="24"/>
          <w:highlight w:val="none"/>
        </w:rPr>
        <w:t>产品</w:t>
      </w:r>
      <w:r>
        <w:rPr>
          <w:rFonts w:hint="eastAsia" w:ascii="楷体_GB2312" w:eastAsia="楷体_GB2312"/>
          <w:color w:val="000000"/>
          <w:sz w:val="24"/>
          <w:highlight w:val="none"/>
          <w:lang w:val="en-US" w:eastAsia="zh-CN"/>
        </w:rPr>
        <w:t>销售文件</w:t>
      </w:r>
      <w:r>
        <w:rPr>
          <w:rFonts w:ascii="楷体_GB2312" w:eastAsia="楷体_GB2312"/>
          <w:color w:val="000000"/>
          <w:sz w:val="24"/>
          <w:highlight w:val="none"/>
        </w:rPr>
        <w:t>或购买流程等有不明之处，请及时与代销机构相关人员进行咨询。在购买</w:t>
      </w:r>
      <w:r>
        <w:rPr>
          <w:rFonts w:hint="eastAsia" w:ascii="楷体_GB2312" w:eastAsia="楷体_GB2312"/>
          <w:color w:val="000000"/>
          <w:sz w:val="24"/>
          <w:highlight w:val="none"/>
          <w:lang w:val="en-US" w:eastAsia="zh-CN"/>
        </w:rPr>
        <w:t>本</w:t>
      </w:r>
      <w:r>
        <w:rPr>
          <w:rFonts w:ascii="楷体_GB2312" w:eastAsia="楷体_GB2312"/>
          <w:color w:val="000000"/>
          <w:sz w:val="24"/>
          <w:highlight w:val="none"/>
        </w:rPr>
        <w:t>理财产品后，请关注</w:t>
      </w:r>
      <w:r>
        <w:rPr>
          <w:rFonts w:hint="eastAsia" w:ascii="楷体_GB2312" w:eastAsia="楷体_GB2312"/>
          <w:color w:val="000000"/>
          <w:sz w:val="24"/>
          <w:highlight w:val="none"/>
          <w:lang w:val="en-US" w:eastAsia="zh-CN"/>
        </w:rPr>
        <w:t>本</w:t>
      </w:r>
      <w:r>
        <w:rPr>
          <w:rFonts w:ascii="楷体_GB2312" w:eastAsia="楷体_GB2312"/>
          <w:color w:val="000000"/>
          <w:sz w:val="24"/>
          <w:highlight w:val="none"/>
        </w:rPr>
        <w:t>理财产品的信息披露情况，及时获取相关信息；如对</w:t>
      </w:r>
      <w:r>
        <w:rPr>
          <w:rFonts w:hint="eastAsia" w:ascii="楷体_GB2312" w:eastAsia="楷体_GB2312"/>
          <w:color w:val="000000"/>
          <w:sz w:val="24"/>
          <w:highlight w:val="none"/>
          <w:lang w:val="en-US" w:eastAsia="zh-CN"/>
        </w:rPr>
        <w:t>本</w:t>
      </w:r>
      <w:r>
        <w:rPr>
          <w:rFonts w:ascii="楷体_GB2312" w:eastAsia="楷体_GB2312"/>
          <w:color w:val="000000"/>
          <w:sz w:val="24"/>
          <w:highlight w:val="none"/>
        </w:rPr>
        <w:t>理财产品有任何意见或建议，请关注产品管理人及代销机构相关联络方式并予以反馈</w:t>
      </w:r>
      <w:r>
        <w:rPr>
          <w:rFonts w:hint="eastAsia" w:ascii="楷体_GB2312" w:eastAsia="楷体_GB2312"/>
          <w:color w:val="000000"/>
          <w:sz w:val="24"/>
          <w:highlight w:val="none"/>
        </w:rPr>
        <w:t>。</w:t>
      </w:r>
    </w:p>
    <w:p>
      <w:pPr>
        <w:autoSpaceDE w:val="0"/>
        <w:autoSpaceDN w:val="0"/>
        <w:adjustRightInd w:val="0"/>
        <w:spacing w:before="62" w:beforeLines="20"/>
        <w:ind w:firstLine="480" w:firstLineChars="200"/>
        <w:rPr>
          <w:rFonts w:ascii="楷体_GB2312" w:eastAsia="楷体_GB2312"/>
          <w:color w:val="000000"/>
          <w:sz w:val="24"/>
          <w:highlight w:val="none"/>
        </w:rPr>
      </w:pPr>
      <w:r>
        <w:rPr>
          <w:rFonts w:hint="eastAsia" w:ascii="楷体_GB2312" w:eastAsia="楷体_GB2312"/>
          <w:color w:val="000000"/>
          <w:sz w:val="24"/>
          <w:highlight w:val="none"/>
          <w:lang w:eastAsia="zh-CN"/>
        </w:rPr>
        <w:t>本理财产品</w:t>
      </w:r>
      <w:r>
        <w:rPr>
          <w:rFonts w:hint="eastAsia" w:ascii="楷体_GB2312" w:eastAsia="楷体_GB2312"/>
          <w:color w:val="000000"/>
          <w:sz w:val="24"/>
          <w:highlight w:val="none"/>
        </w:rPr>
        <w:t>由</w:t>
      </w:r>
      <w:r>
        <w:rPr>
          <w:rFonts w:hint="eastAsia" w:ascii="楷体_GB2312" w:eastAsia="楷体_GB2312"/>
          <w:color w:val="000000"/>
          <w:sz w:val="24"/>
          <w:highlight w:val="none"/>
          <w:lang w:eastAsia="zh-Hans"/>
        </w:rPr>
        <w:t>北银</w:t>
      </w:r>
      <w:r>
        <w:rPr>
          <w:rFonts w:hint="eastAsia" w:ascii="楷体_GB2312" w:eastAsia="楷体_GB2312"/>
          <w:color w:val="000000"/>
          <w:sz w:val="24"/>
          <w:highlight w:val="none"/>
        </w:rPr>
        <w:t>理财发行与管理，投资者通过</w:t>
      </w:r>
      <w:r>
        <w:rPr>
          <w:rFonts w:hint="eastAsia" w:ascii="楷体_GB2312" w:eastAsia="楷体_GB2312"/>
          <w:color w:val="000000"/>
          <w:sz w:val="24"/>
          <w:highlight w:val="none"/>
          <w:lang w:eastAsia="zh-Hans"/>
        </w:rPr>
        <w:t>代销机构购买</w:t>
      </w:r>
      <w:r>
        <w:rPr>
          <w:rFonts w:hint="eastAsia" w:ascii="楷体_GB2312" w:eastAsia="楷体_GB2312"/>
          <w:color w:val="000000"/>
          <w:sz w:val="24"/>
          <w:highlight w:val="none"/>
          <w:lang w:eastAsia="zh-CN"/>
        </w:rPr>
        <w:t>本理财产品</w:t>
      </w:r>
      <w:r>
        <w:rPr>
          <w:rFonts w:hint="eastAsia" w:ascii="楷体_GB2312" w:eastAsia="楷体_GB2312"/>
          <w:color w:val="000000"/>
          <w:sz w:val="24"/>
          <w:highlight w:val="none"/>
        </w:rPr>
        <w:t>，须遵从代销</w:t>
      </w:r>
      <w:r>
        <w:rPr>
          <w:rFonts w:hint="eastAsia" w:ascii="楷体_GB2312" w:eastAsia="楷体_GB2312"/>
          <w:color w:val="000000"/>
          <w:sz w:val="24"/>
          <w:highlight w:val="none"/>
          <w:lang w:eastAsia="zh-Hans"/>
        </w:rPr>
        <w:t>机构</w:t>
      </w:r>
      <w:r>
        <w:rPr>
          <w:rFonts w:hint="eastAsia" w:ascii="楷体_GB2312" w:eastAsia="楷体_GB2312"/>
          <w:color w:val="000000"/>
          <w:sz w:val="24"/>
          <w:highlight w:val="none"/>
        </w:rPr>
        <w:t>和</w:t>
      </w:r>
      <w:r>
        <w:rPr>
          <w:rFonts w:hint="eastAsia" w:ascii="楷体_GB2312" w:eastAsia="楷体_GB2312"/>
          <w:color w:val="000000"/>
          <w:sz w:val="24"/>
          <w:highlight w:val="none"/>
          <w:lang w:eastAsia="zh-Hans"/>
        </w:rPr>
        <w:t>北</w:t>
      </w:r>
      <w:r>
        <w:rPr>
          <w:rFonts w:hint="eastAsia" w:ascii="楷体_GB2312" w:eastAsia="楷体_GB2312"/>
          <w:color w:val="000000"/>
          <w:sz w:val="24"/>
          <w:highlight w:val="none"/>
        </w:rPr>
        <w:t>银理财相关规定。投资者不得使用贷款、发行债券等筹集的非自有资金投资</w:t>
      </w:r>
      <w:r>
        <w:rPr>
          <w:rFonts w:hint="eastAsia" w:ascii="楷体_GB2312" w:eastAsia="楷体_GB2312"/>
          <w:color w:val="000000"/>
          <w:sz w:val="24"/>
          <w:highlight w:val="none"/>
          <w:lang w:val="en-US" w:eastAsia="zh-CN"/>
        </w:rPr>
        <w:t>本</w:t>
      </w:r>
      <w:r>
        <w:rPr>
          <w:rFonts w:hint="eastAsia" w:ascii="楷体_GB2312" w:eastAsia="楷体_GB2312"/>
          <w:color w:val="000000"/>
          <w:sz w:val="24"/>
          <w:highlight w:val="none"/>
        </w:rPr>
        <w:t>理财产品。</w:t>
      </w:r>
    </w:p>
    <w:p>
      <w:pPr>
        <w:autoSpaceDE w:val="0"/>
        <w:autoSpaceDN w:val="0"/>
        <w:adjustRightInd w:val="0"/>
        <w:spacing w:before="62" w:beforeLines="20"/>
        <w:ind w:firstLine="482" w:firstLineChars="200"/>
        <w:rPr>
          <w:rFonts w:ascii="楷体_GB2312" w:eastAsia="楷体_GB2312"/>
          <w:b/>
          <w:bCs/>
          <w:color w:val="000000"/>
          <w:sz w:val="24"/>
          <w:highlight w:val="none"/>
        </w:rPr>
      </w:pPr>
      <w:r>
        <w:rPr>
          <w:rFonts w:ascii="楷体_GB2312" w:eastAsia="楷体_GB2312"/>
          <w:b/>
          <w:bCs/>
          <w:color w:val="000000"/>
          <w:sz w:val="24"/>
          <w:highlight w:val="none"/>
        </w:rPr>
        <w:t>一、投资者风险承受能力评估</w:t>
      </w:r>
    </w:p>
    <w:p>
      <w:pPr>
        <w:autoSpaceDE/>
        <w:autoSpaceDN/>
        <w:adjustRightInd w:val="0"/>
        <w:spacing w:before="62" w:beforeLines="20"/>
        <w:ind w:firstLine="480" w:firstLineChars="200"/>
        <w:rPr>
          <w:rFonts w:ascii="楷体_GB2312" w:hAnsi="Times New Roman" w:eastAsia="楷体_GB2312" w:cs="Times New Roman"/>
          <w:color w:val="000000"/>
          <w:sz w:val="24"/>
          <w:highlight w:val="none"/>
        </w:rPr>
      </w:pPr>
      <w:r>
        <w:rPr>
          <w:rFonts w:hint="default" w:ascii="楷体_GB2312" w:hAnsi="Times New Roman" w:eastAsia="楷体_GB2312" w:cs="Times New Roman"/>
          <w:color w:val="000000"/>
          <w:sz w:val="24"/>
          <w:highlight w:val="none"/>
        </w:rPr>
        <w:t>★</w:t>
      </w:r>
      <w:r>
        <w:rPr>
          <w:rFonts w:ascii="楷体_GB2312" w:hAnsi="Times New Roman" w:eastAsia="楷体_GB2312" w:cs="Times New Roman"/>
          <w:color w:val="000000"/>
          <w:sz w:val="24"/>
          <w:highlight w:val="none"/>
        </w:rPr>
        <w:t>（一）本</w:t>
      </w:r>
      <w:r>
        <w:rPr>
          <w:rFonts w:hint="default" w:ascii="楷体_GB2312" w:hAnsi="Times New Roman" w:eastAsia="楷体_GB2312" w:cs="Times New Roman"/>
          <w:color w:val="000000"/>
          <w:sz w:val="24"/>
          <w:highlight w:val="none"/>
          <w:lang w:val="en-US" w:eastAsia="zh-CN"/>
        </w:rPr>
        <w:t>理财</w:t>
      </w:r>
      <w:r>
        <w:rPr>
          <w:rFonts w:ascii="楷体_GB2312" w:hAnsi="Times New Roman" w:eastAsia="楷体_GB2312" w:cs="Times New Roman"/>
          <w:color w:val="000000"/>
          <w:sz w:val="24"/>
          <w:highlight w:val="none"/>
        </w:rPr>
        <w:t>产品全部销售工作及投资者适当性评估由</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机构负责。个人投资者首次通过</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机构购买</w:t>
      </w:r>
      <w:r>
        <w:rPr>
          <w:rFonts w:hint="default" w:ascii="楷体_GB2312" w:hAnsi="Times New Roman" w:eastAsia="楷体_GB2312" w:cs="Times New Roman"/>
          <w:color w:val="000000"/>
          <w:sz w:val="24"/>
          <w:highlight w:val="none"/>
          <w:lang w:val="en-US" w:eastAsia="zh-CN"/>
        </w:rPr>
        <w:t>北银理财理财</w:t>
      </w:r>
      <w:r>
        <w:rPr>
          <w:rFonts w:ascii="楷体_GB2312" w:hAnsi="Times New Roman" w:eastAsia="楷体_GB2312" w:cs="Times New Roman"/>
          <w:color w:val="000000"/>
          <w:sz w:val="24"/>
          <w:highlight w:val="none"/>
        </w:rPr>
        <w:t>产品</w:t>
      </w:r>
      <w:r>
        <w:rPr>
          <w:rFonts w:hint="default" w:ascii="楷体_GB2312" w:hAnsi="Times New Roman" w:eastAsia="楷体_GB2312" w:cs="Times New Roman"/>
          <w:color w:val="000000"/>
          <w:sz w:val="24"/>
          <w:highlight w:val="none"/>
          <w:lang w:eastAsia="zh-CN"/>
        </w:rPr>
        <w:t>的</w:t>
      </w:r>
      <w:r>
        <w:rPr>
          <w:rFonts w:ascii="楷体_GB2312" w:hAnsi="Times New Roman" w:eastAsia="楷体_GB2312" w:cs="Times New Roman"/>
          <w:color w:val="000000"/>
          <w:sz w:val="24"/>
          <w:highlight w:val="none"/>
        </w:rPr>
        <w:t>，需要与</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机构签署</w:t>
      </w:r>
      <w:r>
        <w:rPr>
          <w:rFonts w:hint="default" w:ascii="楷体_GB2312" w:hAnsi="Times New Roman" w:eastAsia="楷体_GB2312" w:cs="Times New Roman"/>
          <w:color w:val="000000"/>
          <w:sz w:val="24"/>
          <w:highlight w:val="none"/>
          <w:lang w:val="en-US" w:eastAsia="zh-CN"/>
        </w:rPr>
        <w:t>相关理财产品销售文件</w:t>
      </w:r>
      <w:r>
        <w:rPr>
          <w:rFonts w:ascii="楷体_GB2312" w:hAnsi="Times New Roman" w:eastAsia="楷体_GB2312" w:cs="Times New Roman"/>
          <w:color w:val="000000"/>
          <w:sz w:val="24"/>
          <w:highlight w:val="none"/>
        </w:rPr>
        <w:t>，并</w:t>
      </w:r>
      <w:r>
        <w:rPr>
          <w:rFonts w:hint="default" w:ascii="楷体_GB2312" w:hAnsi="Times New Roman" w:eastAsia="楷体_GB2312" w:cs="Times New Roman"/>
          <w:color w:val="000000"/>
          <w:sz w:val="24"/>
          <w:highlight w:val="none"/>
          <w:lang w:val="en-US" w:eastAsia="zh-CN"/>
        </w:rPr>
        <w:t>须</w:t>
      </w:r>
      <w:r>
        <w:rPr>
          <w:rFonts w:ascii="楷体_GB2312" w:hAnsi="Times New Roman" w:eastAsia="楷体_GB2312" w:cs="Times New Roman"/>
          <w:color w:val="000000"/>
          <w:sz w:val="24"/>
          <w:highlight w:val="none"/>
        </w:rPr>
        <w:t>按照该</w:t>
      </w:r>
      <w:r>
        <w:rPr>
          <w:rFonts w:hint="default" w:ascii="楷体_GB2312" w:hAnsi="Times New Roman" w:eastAsia="楷体_GB2312" w:cs="Times New Roman"/>
          <w:color w:val="000000"/>
          <w:sz w:val="24"/>
          <w:highlight w:val="none"/>
          <w:lang w:val="en-US" w:eastAsia="zh-CN"/>
        </w:rPr>
        <w:t>理财产品销售文件</w:t>
      </w:r>
      <w:r>
        <w:rPr>
          <w:rFonts w:ascii="楷体_GB2312" w:hAnsi="Times New Roman" w:eastAsia="楷体_GB2312" w:cs="Times New Roman"/>
          <w:color w:val="000000"/>
          <w:sz w:val="24"/>
          <w:highlight w:val="none"/>
        </w:rPr>
        <w:t>约定在</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机构销售渠道进行风险承受能力评估</w:t>
      </w:r>
      <w:r>
        <w:rPr>
          <w:rFonts w:hint="default" w:ascii="楷体_GB2312" w:hAnsi="Times New Roman" w:eastAsia="楷体_GB2312" w:cs="Times New Roman"/>
          <w:color w:val="000000"/>
          <w:sz w:val="24"/>
          <w:highlight w:val="none"/>
        </w:rPr>
        <w:t>，</w:t>
      </w:r>
      <w:r>
        <w:rPr>
          <w:rFonts w:ascii="楷体_GB2312" w:hAnsi="Times New Roman" w:eastAsia="楷体_GB2312" w:cs="Times New Roman"/>
          <w:color w:val="000000"/>
          <w:sz w:val="24"/>
          <w:highlight w:val="none"/>
        </w:rPr>
        <w:t>并对评估结果签字确认。</w:t>
      </w:r>
    </w:p>
    <w:p>
      <w:pPr>
        <w:autoSpaceDE w:val="0"/>
        <w:autoSpaceDN w:val="0"/>
        <w:adjustRightInd w:val="0"/>
        <w:spacing w:before="62" w:beforeLines="20"/>
        <w:ind w:firstLine="480" w:firstLineChars="200"/>
        <w:rPr>
          <w:rFonts w:ascii="楷体_GB2312" w:hAnsi="Times New Roman" w:eastAsia="楷体_GB2312" w:cs="Times New Roman"/>
          <w:color w:val="000000"/>
          <w:sz w:val="24"/>
          <w:highlight w:val="none"/>
        </w:rPr>
      </w:pPr>
      <w:r>
        <w:rPr>
          <w:rFonts w:hint="default" w:ascii="楷体_GB2312" w:hAnsi="Times New Roman" w:eastAsia="楷体_GB2312" w:cs="Times New Roman"/>
          <w:color w:val="000000"/>
          <w:sz w:val="24"/>
          <w:highlight w:val="none"/>
        </w:rPr>
        <w:t>★</w:t>
      </w:r>
      <w:r>
        <w:rPr>
          <w:rFonts w:hint="eastAsia" w:ascii="楷体_GB2312" w:hAnsi="Times New Roman" w:eastAsia="楷体_GB2312" w:cs="Times New Roman"/>
          <w:color w:val="000000"/>
          <w:sz w:val="24"/>
          <w:highlight w:val="none"/>
          <w:lang w:eastAsia="zh-CN"/>
        </w:rPr>
        <w:t>（</w:t>
      </w:r>
      <w:r>
        <w:rPr>
          <w:rFonts w:hint="eastAsia" w:ascii="楷体_GB2312" w:hAnsi="Times New Roman" w:eastAsia="楷体_GB2312" w:cs="Times New Roman"/>
          <w:color w:val="000000"/>
          <w:sz w:val="24"/>
          <w:highlight w:val="none"/>
          <w:lang w:val="en-US" w:eastAsia="zh-CN"/>
        </w:rPr>
        <w:t>二</w:t>
      </w:r>
      <w:r>
        <w:rPr>
          <w:rFonts w:hint="eastAsia" w:ascii="楷体_GB2312" w:hAnsi="Times New Roman" w:eastAsia="楷体_GB2312" w:cs="Times New Roman"/>
          <w:color w:val="000000"/>
          <w:sz w:val="24"/>
          <w:highlight w:val="none"/>
          <w:lang w:eastAsia="zh-CN"/>
        </w:rPr>
        <w:t>）</w:t>
      </w:r>
      <w:r>
        <w:rPr>
          <w:rFonts w:ascii="楷体_GB2312" w:hAnsi="Times New Roman" w:eastAsia="楷体_GB2312" w:cs="Times New Roman"/>
          <w:color w:val="000000"/>
          <w:sz w:val="24"/>
          <w:highlight w:val="none"/>
        </w:rPr>
        <w:t>个人投资者风险承受能力评估结果有效期为一年，</w:t>
      </w:r>
      <w:r>
        <w:rPr>
          <w:rFonts w:hint="default" w:ascii="楷体_GB2312" w:hAnsi="Times New Roman" w:eastAsia="楷体_GB2312" w:cs="Times New Roman"/>
          <w:color w:val="000000"/>
          <w:sz w:val="24"/>
          <w:highlight w:val="none"/>
          <w:lang w:val="en-US" w:eastAsia="zh-CN"/>
        </w:rPr>
        <w:t>如</w:t>
      </w:r>
      <w:r>
        <w:rPr>
          <w:rFonts w:ascii="楷体_GB2312" w:hAnsi="Times New Roman" w:eastAsia="楷体_GB2312" w:cs="Times New Roman"/>
          <w:color w:val="000000"/>
          <w:sz w:val="24"/>
          <w:highlight w:val="none"/>
        </w:rPr>
        <w:t>个人投资者超过一年未进行风险承受能力评估或发生可能影响自身风险承受能力情况的，再次购买理财产品</w:t>
      </w:r>
      <w:r>
        <w:rPr>
          <w:rFonts w:hint="default" w:ascii="楷体_GB2312" w:hAnsi="Times New Roman" w:eastAsia="楷体_GB2312" w:cs="Times New Roman"/>
          <w:color w:val="000000"/>
          <w:sz w:val="24"/>
          <w:highlight w:val="none"/>
          <w:lang w:val="en-US" w:eastAsia="zh-CN"/>
        </w:rPr>
        <w:t>时</w:t>
      </w:r>
      <w:r>
        <w:rPr>
          <w:rFonts w:ascii="楷体_GB2312" w:hAnsi="Times New Roman" w:eastAsia="楷体_GB2312" w:cs="Times New Roman"/>
          <w:color w:val="000000"/>
          <w:sz w:val="24"/>
          <w:highlight w:val="none"/>
        </w:rPr>
        <w:t>须在</w:t>
      </w:r>
      <w:r>
        <w:rPr>
          <w:rFonts w:hint="default" w:ascii="楷体_GB2312" w:hAnsi="Times New Roman" w:eastAsia="楷体_GB2312" w:cs="Times New Roman"/>
          <w:color w:val="000000"/>
          <w:sz w:val="24"/>
          <w:highlight w:val="none"/>
        </w:rPr>
        <w:t>理财产品</w:t>
      </w:r>
      <w:r>
        <w:rPr>
          <w:rFonts w:hint="default" w:ascii="楷体_GB2312" w:hAnsi="Times New Roman" w:eastAsia="楷体_GB2312" w:cs="Times New Roman"/>
          <w:color w:val="000000"/>
          <w:sz w:val="24"/>
          <w:highlight w:val="none"/>
          <w:lang w:val="en-US" w:eastAsia="zh-CN"/>
        </w:rPr>
        <w:t>代销</w:t>
      </w:r>
      <w:r>
        <w:rPr>
          <w:rFonts w:hint="default" w:ascii="楷体_GB2312" w:hAnsi="Times New Roman" w:eastAsia="楷体_GB2312" w:cs="Times New Roman"/>
          <w:color w:val="000000"/>
          <w:sz w:val="24"/>
          <w:highlight w:val="none"/>
        </w:rPr>
        <w:t>机构营业场所（含电子渠道）完成风险承受能力</w:t>
      </w:r>
      <w:r>
        <w:rPr>
          <w:rFonts w:hint="default" w:ascii="楷体_GB2312" w:hAnsi="Times New Roman" w:eastAsia="楷体_GB2312" w:cs="Times New Roman"/>
          <w:color w:val="000000"/>
          <w:sz w:val="24"/>
          <w:highlight w:val="none"/>
          <w:lang w:val="en-US" w:eastAsia="zh-CN"/>
        </w:rPr>
        <w:t>的重新</w:t>
      </w:r>
      <w:r>
        <w:rPr>
          <w:rFonts w:hint="default" w:ascii="楷体_GB2312" w:hAnsi="Times New Roman" w:eastAsia="楷体_GB2312" w:cs="Times New Roman"/>
          <w:color w:val="000000"/>
          <w:sz w:val="24"/>
          <w:highlight w:val="none"/>
        </w:rPr>
        <w:t>评估</w:t>
      </w:r>
      <w:r>
        <w:rPr>
          <w:rFonts w:ascii="楷体_GB2312" w:hAnsi="Times New Roman" w:eastAsia="楷体_GB2312" w:cs="Times New Roman"/>
          <w:color w:val="000000"/>
          <w:sz w:val="24"/>
          <w:highlight w:val="none"/>
        </w:rPr>
        <w:t>。</w:t>
      </w:r>
    </w:p>
    <w:p>
      <w:pPr>
        <w:numPr>
          <w:ilvl w:val="0"/>
          <w:numId w:val="0"/>
        </w:numPr>
        <w:autoSpaceDE w:val="0"/>
        <w:autoSpaceDN w:val="0"/>
        <w:adjustRightInd w:val="0"/>
        <w:spacing w:before="62" w:beforeLines="20"/>
        <w:ind w:firstLine="480" w:firstLineChars="200"/>
        <w:rPr>
          <w:rFonts w:ascii="楷体_GB2312" w:hAnsi="Times New Roman" w:eastAsia="楷体_GB2312" w:cs="Times New Roman"/>
          <w:color w:val="000000"/>
          <w:sz w:val="24"/>
          <w:highlight w:val="none"/>
        </w:rPr>
      </w:pPr>
      <w:r>
        <w:rPr>
          <w:rFonts w:hint="eastAsia" w:ascii="楷体_GB2312" w:hAnsi="Times New Roman" w:eastAsia="楷体_GB2312" w:cs="Times New Roman"/>
          <w:color w:val="000000"/>
          <w:sz w:val="24"/>
          <w:highlight w:val="none"/>
          <w:lang w:eastAsia="zh-CN"/>
        </w:rPr>
        <w:t>（</w:t>
      </w:r>
      <w:r>
        <w:rPr>
          <w:rFonts w:hint="eastAsia" w:ascii="楷体_GB2312" w:hAnsi="Times New Roman" w:eastAsia="楷体_GB2312" w:cs="Times New Roman"/>
          <w:color w:val="000000"/>
          <w:sz w:val="24"/>
          <w:highlight w:val="none"/>
          <w:lang w:val="en-US" w:eastAsia="zh-CN"/>
        </w:rPr>
        <w:t>三</w:t>
      </w:r>
      <w:r>
        <w:rPr>
          <w:rFonts w:hint="eastAsia" w:ascii="楷体_GB2312" w:hAnsi="Times New Roman" w:eastAsia="楷体_GB2312" w:cs="Times New Roman"/>
          <w:color w:val="000000"/>
          <w:sz w:val="24"/>
          <w:highlight w:val="none"/>
          <w:lang w:eastAsia="zh-CN"/>
        </w:rPr>
        <w:t>）</w:t>
      </w:r>
      <w:r>
        <w:rPr>
          <w:rFonts w:ascii="楷体_GB2312" w:hAnsi="Times New Roman" w:eastAsia="楷体_GB2312" w:cs="Times New Roman"/>
          <w:color w:val="000000"/>
          <w:sz w:val="24"/>
          <w:highlight w:val="none"/>
        </w:rPr>
        <w:t>个人投资者风险承受能力评估流程</w:t>
      </w:r>
    </w:p>
    <w:p>
      <w:pPr>
        <w:numPr>
          <w:ilvl w:val="0"/>
          <w:numId w:val="0"/>
        </w:numPr>
        <w:autoSpaceDE w:val="0"/>
        <w:autoSpaceDN w:val="0"/>
        <w:adjustRightInd w:val="0"/>
        <w:spacing w:before="62" w:beforeLines="20"/>
        <w:ind w:firstLine="480" w:firstLineChars="200"/>
        <w:rPr>
          <w:rFonts w:hint="eastAsia" w:ascii="楷体_GB2312" w:hAnsi="Times New Roman" w:eastAsia="楷体_GB2312" w:cs="Times New Roman"/>
          <w:color w:val="000000"/>
          <w:sz w:val="24"/>
          <w:highlight w:val="none"/>
          <w:lang w:eastAsia="zh-CN"/>
        </w:rPr>
      </w:pPr>
      <w:r>
        <w:rPr>
          <w:rFonts w:hint="eastAsia" w:ascii="楷体_GB2312" w:hAnsi="Times New Roman" w:eastAsia="楷体_GB2312" w:cs="Times New Roman"/>
          <w:color w:val="000000"/>
          <w:sz w:val="24"/>
          <w:highlight w:val="none"/>
          <w:lang w:val="en-US" w:eastAsia="zh-CN"/>
        </w:rPr>
        <w:t>1.</w:t>
      </w:r>
      <w:r>
        <w:rPr>
          <w:rFonts w:hint="default" w:ascii="楷体_GB2312" w:hAnsi="Times New Roman" w:eastAsia="楷体_GB2312" w:cs="Times New Roman"/>
          <w:color w:val="000000"/>
          <w:sz w:val="24"/>
          <w:highlight w:val="none"/>
          <w:lang w:val="en-US" w:eastAsia="zh-CN"/>
        </w:rPr>
        <w:t>个人</w:t>
      </w:r>
      <w:r>
        <w:rPr>
          <w:rFonts w:ascii="楷体_GB2312" w:hAnsi="Times New Roman" w:eastAsia="楷体_GB2312" w:cs="Times New Roman"/>
          <w:color w:val="000000"/>
          <w:sz w:val="24"/>
          <w:highlight w:val="none"/>
        </w:rPr>
        <w:t>投资者在</w:t>
      </w:r>
      <w:r>
        <w:rPr>
          <w:rFonts w:hint="default" w:ascii="楷体_GB2312" w:hAnsi="Times New Roman" w:eastAsia="楷体_GB2312" w:cs="Times New Roman"/>
          <w:color w:val="000000"/>
          <w:sz w:val="24"/>
          <w:highlight w:val="none"/>
        </w:rPr>
        <w:t>理财产品</w:t>
      </w:r>
      <w:r>
        <w:rPr>
          <w:rFonts w:hint="default" w:ascii="楷体_GB2312" w:hAnsi="Times New Roman" w:eastAsia="楷体_GB2312" w:cs="Times New Roman"/>
          <w:color w:val="000000"/>
          <w:sz w:val="24"/>
          <w:highlight w:val="none"/>
          <w:lang w:val="en-US" w:eastAsia="zh-CN"/>
        </w:rPr>
        <w:t>代销</w:t>
      </w:r>
      <w:r>
        <w:rPr>
          <w:rFonts w:hint="default" w:ascii="楷体_GB2312" w:hAnsi="Times New Roman" w:eastAsia="楷体_GB2312" w:cs="Times New Roman"/>
          <w:color w:val="000000"/>
          <w:sz w:val="24"/>
          <w:highlight w:val="none"/>
        </w:rPr>
        <w:t>机构营业场所（含电子渠道）</w:t>
      </w:r>
      <w:r>
        <w:rPr>
          <w:rFonts w:ascii="楷体_GB2312" w:hAnsi="Times New Roman" w:eastAsia="楷体_GB2312" w:cs="Times New Roman"/>
          <w:color w:val="000000"/>
          <w:sz w:val="24"/>
          <w:highlight w:val="none"/>
        </w:rPr>
        <w:t>进行风险承受能力评估</w:t>
      </w:r>
      <w:r>
        <w:rPr>
          <w:rFonts w:hint="eastAsia" w:ascii="楷体_GB2312" w:hAnsi="Times New Roman" w:eastAsia="楷体_GB2312" w:cs="Times New Roman"/>
          <w:color w:val="000000"/>
          <w:sz w:val="24"/>
          <w:highlight w:val="none"/>
          <w:lang w:eastAsia="zh-CN"/>
        </w:rPr>
        <w:t>；</w:t>
      </w:r>
    </w:p>
    <w:p>
      <w:pPr>
        <w:numPr>
          <w:ilvl w:val="0"/>
          <w:numId w:val="0"/>
        </w:numPr>
        <w:autoSpaceDE w:val="0"/>
        <w:autoSpaceDN w:val="0"/>
        <w:adjustRightInd w:val="0"/>
        <w:spacing w:before="62" w:beforeLines="20"/>
        <w:ind w:firstLine="480" w:firstLineChars="200"/>
        <w:rPr>
          <w:rFonts w:hint="eastAsia" w:ascii="楷体_GB2312" w:hAnsi="Times New Roman" w:eastAsia="楷体_GB2312" w:cs="Times New Roman"/>
          <w:color w:val="000000"/>
          <w:sz w:val="24"/>
          <w:highlight w:val="none"/>
          <w:lang w:eastAsia="zh-CN"/>
        </w:rPr>
      </w:pPr>
      <w:r>
        <w:rPr>
          <w:rFonts w:hint="eastAsia" w:ascii="楷体_GB2312" w:hAnsi="Times New Roman" w:eastAsia="楷体_GB2312" w:cs="Times New Roman"/>
          <w:color w:val="000000"/>
          <w:sz w:val="24"/>
          <w:highlight w:val="none"/>
          <w:lang w:val="en-US" w:eastAsia="zh-CN"/>
        </w:rPr>
        <w:t>2.</w:t>
      </w:r>
      <w:r>
        <w:rPr>
          <w:rFonts w:ascii="楷体_GB2312" w:hAnsi="Times New Roman" w:eastAsia="楷体_GB2312" w:cs="Times New Roman"/>
          <w:color w:val="000000"/>
          <w:sz w:val="24"/>
          <w:highlight w:val="none"/>
        </w:rPr>
        <w:t>填写</w:t>
      </w:r>
      <w:r>
        <w:rPr>
          <w:rFonts w:hint="default" w:ascii="楷体_GB2312" w:hAnsi="Times New Roman" w:eastAsia="楷体_GB2312" w:cs="Times New Roman"/>
          <w:color w:val="000000"/>
          <w:sz w:val="24"/>
          <w:highlight w:val="none"/>
          <w:lang w:val="en-US" w:eastAsia="zh-CN"/>
        </w:rPr>
        <w:t>代销机构</w:t>
      </w:r>
      <w:r>
        <w:rPr>
          <w:rFonts w:hint="default" w:ascii="楷体_GB2312" w:hAnsi="Times New Roman" w:eastAsia="楷体_GB2312" w:cs="Times New Roman"/>
          <w:color w:val="000000"/>
          <w:sz w:val="24"/>
          <w:highlight w:val="none"/>
        </w:rPr>
        <w:t>个人投资者风险承受能力测试问卷</w:t>
      </w:r>
      <w:r>
        <w:rPr>
          <w:rFonts w:hint="eastAsia" w:ascii="楷体_GB2312" w:hAnsi="Times New Roman" w:eastAsia="楷体_GB2312" w:cs="Times New Roman"/>
          <w:color w:val="000000"/>
          <w:sz w:val="24"/>
          <w:highlight w:val="none"/>
          <w:lang w:eastAsia="zh-CN"/>
        </w:rPr>
        <w:t>；</w:t>
      </w:r>
    </w:p>
    <w:p>
      <w:pPr>
        <w:numPr>
          <w:ilvl w:val="0"/>
          <w:numId w:val="0"/>
        </w:numPr>
        <w:autoSpaceDE w:val="0"/>
        <w:autoSpaceDN w:val="0"/>
        <w:adjustRightInd w:val="0"/>
        <w:spacing w:before="62" w:beforeLines="20"/>
        <w:ind w:firstLine="480" w:firstLineChars="200"/>
        <w:rPr>
          <w:rFonts w:hint="eastAsia" w:ascii="楷体_GB2312" w:hAnsi="Times New Roman" w:eastAsia="楷体_GB2312" w:cs="Times New Roman"/>
          <w:color w:val="000000"/>
          <w:sz w:val="24"/>
          <w:highlight w:val="none"/>
          <w:lang w:eastAsia="zh-CN"/>
        </w:rPr>
      </w:pPr>
      <w:r>
        <w:rPr>
          <w:rFonts w:hint="eastAsia" w:ascii="楷体_GB2312" w:hAnsi="Times New Roman" w:eastAsia="楷体_GB2312" w:cs="Times New Roman"/>
          <w:color w:val="000000"/>
          <w:sz w:val="24"/>
          <w:highlight w:val="none"/>
          <w:lang w:val="en-US" w:eastAsia="zh-CN"/>
        </w:rPr>
        <w:t>3.</w:t>
      </w:r>
      <w:r>
        <w:rPr>
          <w:rFonts w:ascii="楷体_GB2312" w:hAnsi="Times New Roman" w:eastAsia="楷体_GB2312" w:cs="Times New Roman"/>
          <w:color w:val="000000"/>
          <w:sz w:val="24"/>
          <w:highlight w:val="none"/>
        </w:rPr>
        <w:t>生成相应的</w:t>
      </w:r>
      <w:r>
        <w:rPr>
          <w:rFonts w:hint="default" w:ascii="楷体_GB2312" w:hAnsi="Times New Roman" w:eastAsia="楷体_GB2312" w:cs="Times New Roman"/>
          <w:color w:val="000000"/>
          <w:sz w:val="24"/>
          <w:highlight w:val="none"/>
          <w:lang w:val="en-US" w:eastAsia="zh-CN"/>
        </w:rPr>
        <w:t>个人</w:t>
      </w:r>
      <w:r>
        <w:rPr>
          <w:rFonts w:ascii="楷体_GB2312" w:hAnsi="Times New Roman" w:eastAsia="楷体_GB2312" w:cs="Times New Roman"/>
          <w:color w:val="000000"/>
          <w:sz w:val="24"/>
          <w:highlight w:val="none"/>
        </w:rPr>
        <w:t>投资者风险承受能力评估结果</w:t>
      </w:r>
      <w:r>
        <w:rPr>
          <w:rFonts w:hint="eastAsia" w:ascii="楷体_GB2312" w:hAnsi="Times New Roman" w:eastAsia="楷体_GB2312" w:cs="Times New Roman"/>
          <w:color w:val="000000"/>
          <w:sz w:val="24"/>
          <w:highlight w:val="none"/>
          <w:lang w:eastAsia="zh-CN"/>
        </w:rPr>
        <w:t>；</w:t>
      </w:r>
    </w:p>
    <w:p>
      <w:pPr>
        <w:numPr>
          <w:ilvl w:val="0"/>
          <w:numId w:val="0"/>
        </w:numPr>
        <w:autoSpaceDE w:val="0"/>
        <w:autoSpaceDN w:val="0"/>
        <w:adjustRightInd w:val="0"/>
        <w:spacing w:before="62" w:beforeLines="20"/>
        <w:ind w:firstLine="480" w:firstLineChars="200"/>
        <w:rPr>
          <w:rFonts w:ascii="楷体_GB2312" w:hAnsi="Times New Roman" w:eastAsia="楷体_GB2312" w:cs="Times New Roman"/>
          <w:color w:val="000000"/>
          <w:sz w:val="24"/>
          <w:highlight w:val="none"/>
        </w:rPr>
      </w:pPr>
      <w:r>
        <w:rPr>
          <w:rFonts w:hint="eastAsia" w:ascii="楷体_GB2312" w:hAnsi="Times New Roman" w:eastAsia="楷体_GB2312" w:cs="Times New Roman"/>
          <w:color w:val="000000"/>
          <w:sz w:val="24"/>
          <w:highlight w:val="none"/>
          <w:lang w:val="en-US" w:eastAsia="zh-CN"/>
        </w:rPr>
        <w:t>4.</w:t>
      </w:r>
      <w:r>
        <w:rPr>
          <w:rFonts w:hint="default" w:ascii="楷体_GB2312" w:hAnsi="Times New Roman" w:eastAsia="楷体_GB2312" w:cs="Times New Roman"/>
          <w:color w:val="000000"/>
          <w:sz w:val="24"/>
          <w:highlight w:val="none"/>
          <w:lang w:val="en-US" w:eastAsia="zh-CN"/>
        </w:rPr>
        <w:t>个人</w:t>
      </w:r>
      <w:r>
        <w:rPr>
          <w:rFonts w:ascii="楷体_GB2312" w:hAnsi="Times New Roman" w:eastAsia="楷体_GB2312" w:cs="Times New Roman"/>
          <w:color w:val="000000"/>
          <w:sz w:val="24"/>
          <w:highlight w:val="none"/>
        </w:rPr>
        <w:t>投资者</w:t>
      </w:r>
      <w:r>
        <w:rPr>
          <w:rFonts w:ascii="楷体_GB2312" w:eastAsia="楷体_GB2312"/>
          <w:color w:val="000000"/>
          <w:sz w:val="24"/>
          <w:highlight w:val="none"/>
        </w:rPr>
        <w:t>对评估结果进行确认</w:t>
      </w:r>
      <w:r>
        <w:rPr>
          <w:rFonts w:hint="default" w:ascii="楷体_GB2312" w:hAnsi="Times New Roman" w:eastAsia="楷体_GB2312" w:cs="Times New Roman"/>
          <w:color w:val="000000"/>
          <w:sz w:val="24"/>
          <w:highlight w:val="none"/>
        </w:rPr>
        <w:t>。</w:t>
      </w:r>
    </w:p>
    <w:p>
      <w:pPr>
        <w:numPr>
          <w:ilvl w:val="0"/>
          <w:numId w:val="1"/>
        </w:numPr>
        <w:autoSpaceDE w:val="0"/>
        <w:autoSpaceDN w:val="0"/>
        <w:adjustRightInd w:val="0"/>
        <w:spacing w:before="62" w:beforeLines="20"/>
        <w:ind w:firstLine="420"/>
        <w:rPr>
          <w:rFonts w:ascii="楷体_GB2312" w:eastAsia="楷体_GB2312"/>
          <w:color w:val="000000"/>
          <w:sz w:val="24"/>
          <w:highlight w:val="none"/>
        </w:rPr>
      </w:pPr>
      <w:r>
        <w:rPr>
          <w:rFonts w:ascii="楷体_GB2312" w:hAnsi="Times New Roman" w:eastAsia="楷体_GB2312" w:cs="Times New Roman"/>
          <w:color w:val="000000"/>
          <w:sz w:val="24"/>
          <w:highlight w:val="none"/>
        </w:rPr>
        <w:t>风险承受能力评估结果将作为评价个人投资者是否适合购买理财产品的重要因素，风险承受能力评级越高适合购买的理财产品风险评级越高，适合购买的理财产品类型越丰富。</w:t>
      </w:r>
      <w:r>
        <w:rPr>
          <w:rFonts w:ascii="楷体_GB2312" w:eastAsia="楷体_GB2312"/>
          <w:color w:val="000000"/>
          <w:sz w:val="24"/>
          <w:highlight w:val="none"/>
        </w:rPr>
        <w:t xml:space="preserve"> </w:t>
      </w:r>
    </w:p>
    <w:p>
      <w:pPr>
        <w:autoSpaceDE w:val="0"/>
        <w:autoSpaceDN w:val="0"/>
        <w:adjustRightInd w:val="0"/>
        <w:spacing w:before="62" w:beforeLines="20"/>
        <w:ind w:firstLine="480" w:firstLineChars="200"/>
        <w:rPr>
          <w:rFonts w:ascii="楷体_GB2312" w:eastAsia="楷体_GB2312"/>
          <w:color w:val="000000"/>
          <w:sz w:val="24"/>
          <w:highlight w:val="none"/>
        </w:rPr>
      </w:pPr>
      <w:r>
        <w:rPr>
          <w:rFonts w:ascii="楷体_GB2312" w:eastAsia="楷体_GB2312"/>
          <w:color w:val="000000"/>
          <w:sz w:val="24"/>
          <w:highlight w:val="none"/>
        </w:rPr>
        <w:t>（五）</w:t>
      </w:r>
      <w:r>
        <w:rPr>
          <w:rFonts w:hint="eastAsia" w:ascii="楷体_GB2312" w:eastAsia="楷体_GB2312"/>
          <w:color w:val="000000"/>
          <w:sz w:val="24"/>
          <w:highlight w:val="none"/>
          <w:lang w:val="en-US" w:eastAsia="zh-CN"/>
        </w:rPr>
        <w:t>代</w:t>
      </w:r>
      <w:r>
        <w:rPr>
          <w:rFonts w:ascii="楷体_GB2312" w:eastAsia="楷体_GB2312"/>
          <w:color w:val="000000"/>
          <w:sz w:val="24"/>
          <w:highlight w:val="none"/>
        </w:rPr>
        <w:t>销机构在代销过程中，可参考</w:t>
      </w:r>
      <w:r>
        <w:rPr>
          <w:rFonts w:hint="eastAsia" w:ascii="楷体_GB2312" w:eastAsia="楷体_GB2312"/>
          <w:color w:val="000000"/>
          <w:sz w:val="24"/>
          <w:highlight w:val="none"/>
        </w:rPr>
        <w:t>北银</w:t>
      </w:r>
      <w:r>
        <w:rPr>
          <w:rFonts w:ascii="楷体_GB2312" w:eastAsia="楷体_GB2312"/>
          <w:color w:val="000000"/>
          <w:sz w:val="24"/>
          <w:highlight w:val="none"/>
        </w:rPr>
        <w:t>理财的产品风险评级结果，自行判断确定</w:t>
      </w:r>
      <w:r>
        <w:rPr>
          <w:rFonts w:hint="eastAsia" w:ascii="楷体_GB2312" w:eastAsia="楷体_GB2312"/>
          <w:color w:val="000000"/>
          <w:sz w:val="24"/>
          <w:highlight w:val="none"/>
          <w:lang w:eastAsia="zh-CN"/>
        </w:rPr>
        <w:t>本理财产品</w:t>
      </w:r>
      <w:r>
        <w:rPr>
          <w:rFonts w:ascii="楷体_GB2312" w:eastAsia="楷体_GB2312"/>
          <w:color w:val="000000"/>
          <w:sz w:val="24"/>
          <w:highlight w:val="none"/>
        </w:rPr>
        <w:t>的风险评级，但应确保个人投资者的风险承受能力等级</w:t>
      </w:r>
      <w:r>
        <w:rPr>
          <w:rFonts w:hint="eastAsia" w:ascii="楷体_GB2312" w:eastAsia="楷体_GB2312"/>
          <w:color w:val="000000"/>
          <w:sz w:val="24"/>
          <w:highlight w:val="none"/>
        </w:rPr>
        <w:t>评估结果</w:t>
      </w:r>
      <w:r>
        <w:rPr>
          <w:rFonts w:ascii="楷体_GB2312" w:eastAsia="楷体_GB2312"/>
          <w:color w:val="000000"/>
          <w:sz w:val="24"/>
          <w:highlight w:val="none"/>
        </w:rPr>
        <w:t>不低于本理财产品风险评级。</w:t>
      </w:r>
      <w:r>
        <w:rPr>
          <w:rFonts w:hint="eastAsia" w:ascii="楷体_GB2312" w:eastAsia="楷体_GB2312"/>
          <w:color w:val="000000"/>
          <w:sz w:val="24"/>
          <w:highlight w:val="none"/>
          <w:lang w:val="en-US" w:eastAsia="zh-CN"/>
        </w:rPr>
        <w:t>当代销机构对本理财产品的风险</w:t>
      </w:r>
      <w:r>
        <w:rPr>
          <w:rFonts w:ascii="楷体_GB2312" w:eastAsia="楷体_GB2312"/>
          <w:color w:val="000000"/>
          <w:sz w:val="24"/>
          <w:highlight w:val="none"/>
        </w:rPr>
        <w:t>评级</w:t>
      </w:r>
      <w:r>
        <w:rPr>
          <w:rFonts w:hint="eastAsia" w:ascii="楷体_GB2312" w:eastAsia="楷体_GB2312"/>
          <w:color w:val="000000"/>
          <w:sz w:val="24"/>
          <w:highlight w:val="none"/>
          <w:lang w:val="en-US" w:eastAsia="zh-CN"/>
        </w:rPr>
        <w:t>结果</w:t>
      </w:r>
      <w:r>
        <w:rPr>
          <w:rFonts w:ascii="楷体_GB2312" w:eastAsia="楷体_GB2312"/>
          <w:color w:val="000000"/>
          <w:sz w:val="24"/>
          <w:highlight w:val="none"/>
        </w:rPr>
        <w:t>与</w:t>
      </w:r>
      <w:r>
        <w:rPr>
          <w:rFonts w:hint="eastAsia" w:ascii="楷体_GB2312" w:eastAsia="楷体_GB2312"/>
          <w:color w:val="000000"/>
          <w:sz w:val="24"/>
          <w:highlight w:val="none"/>
        </w:rPr>
        <w:t>北银</w:t>
      </w:r>
      <w:r>
        <w:rPr>
          <w:rFonts w:ascii="楷体_GB2312" w:eastAsia="楷体_GB2312"/>
          <w:color w:val="000000"/>
          <w:sz w:val="24"/>
          <w:highlight w:val="none"/>
        </w:rPr>
        <w:t>理财产品评级结果不一致的，</w:t>
      </w:r>
      <w:r>
        <w:rPr>
          <w:rFonts w:hint="eastAsia" w:ascii="楷体_GB2312" w:eastAsia="楷体_GB2312"/>
          <w:color w:val="000000"/>
          <w:sz w:val="24"/>
          <w:highlight w:val="none"/>
          <w:lang w:val="en-US" w:eastAsia="zh-CN"/>
        </w:rPr>
        <w:t>代销机构</w:t>
      </w:r>
      <w:r>
        <w:rPr>
          <w:rFonts w:ascii="楷体_GB2312" w:eastAsia="楷体_GB2312"/>
          <w:color w:val="000000"/>
          <w:sz w:val="24"/>
          <w:highlight w:val="none"/>
        </w:rPr>
        <w:t>应当采用较高风险等级的</w:t>
      </w:r>
      <w:r>
        <w:rPr>
          <w:rFonts w:hint="eastAsia" w:ascii="楷体_GB2312" w:eastAsia="楷体_GB2312"/>
          <w:color w:val="000000"/>
          <w:sz w:val="24"/>
          <w:highlight w:val="none"/>
          <w:lang w:val="en-US" w:eastAsia="zh-CN"/>
        </w:rPr>
        <w:t>产品</w:t>
      </w:r>
      <w:r>
        <w:rPr>
          <w:rFonts w:ascii="楷体_GB2312" w:eastAsia="楷体_GB2312"/>
          <w:color w:val="000000"/>
          <w:sz w:val="24"/>
          <w:highlight w:val="none"/>
        </w:rPr>
        <w:t>评级结果并予以披露。个人投资者风险承受能力</w:t>
      </w:r>
      <w:r>
        <w:rPr>
          <w:rFonts w:hint="eastAsia" w:ascii="楷体_GB2312" w:eastAsia="楷体_GB2312"/>
          <w:color w:val="000000"/>
          <w:sz w:val="24"/>
          <w:highlight w:val="none"/>
          <w:lang w:val="en-US" w:eastAsia="zh-CN"/>
        </w:rPr>
        <w:t>等</w:t>
      </w:r>
      <w:r>
        <w:rPr>
          <w:rFonts w:ascii="楷体_GB2312" w:eastAsia="楷体_GB2312"/>
          <w:color w:val="000000"/>
          <w:sz w:val="24"/>
          <w:highlight w:val="none"/>
        </w:rPr>
        <w:t>级不低于该较高风险等级的</w:t>
      </w:r>
      <w:r>
        <w:rPr>
          <w:rFonts w:hint="eastAsia" w:ascii="楷体_GB2312" w:eastAsia="楷体_GB2312"/>
          <w:color w:val="000000"/>
          <w:sz w:val="24"/>
          <w:highlight w:val="none"/>
          <w:lang w:val="en-US" w:eastAsia="zh-CN"/>
        </w:rPr>
        <w:t>产品</w:t>
      </w:r>
      <w:r>
        <w:rPr>
          <w:rFonts w:ascii="楷体_GB2312" w:eastAsia="楷体_GB2312"/>
          <w:color w:val="000000"/>
          <w:sz w:val="24"/>
          <w:highlight w:val="none"/>
        </w:rPr>
        <w:t>评级结果时，方可购买该理财产品。</w:t>
      </w:r>
    </w:p>
    <w:p>
      <w:pPr>
        <w:autoSpaceDE w:val="0"/>
        <w:autoSpaceDN w:val="0"/>
        <w:adjustRightInd w:val="0"/>
        <w:spacing w:before="62" w:beforeLines="20"/>
        <w:ind w:firstLine="420"/>
        <w:rPr>
          <w:rFonts w:ascii="楷体_GB2312" w:eastAsia="楷体_GB2312"/>
          <w:color w:val="000000"/>
          <w:sz w:val="24"/>
          <w:highlight w:val="none"/>
        </w:rPr>
      </w:pP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六</w:t>
      </w:r>
      <w:r>
        <w:rPr>
          <w:rFonts w:hint="eastAsia" w:ascii="楷体_GB2312" w:eastAsia="楷体_GB2312"/>
          <w:color w:val="000000"/>
          <w:sz w:val="24"/>
          <w:highlight w:val="none"/>
          <w:lang w:eastAsia="zh-CN"/>
        </w:rPr>
        <w:t>）</w:t>
      </w:r>
      <w:r>
        <w:rPr>
          <w:rFonts w:ascii="楷体_GB2312" w:eastAsia="楷体_GB2312"/>
          <w:color w:val="000000"/>
          <w:sz w:val="24"/>
          <w:highlight w:val="none"/>
        </w:rPr>
        <w:t>机构投资者购买理财产品前无需进行风险承受能力评估测试。</w:t>
      </w:r>
    </w:p>
    <w:p>
      <w:pPr>
        <w:autoSpaceDE w:val="0"/>
        <w:autoSpaceDN w:val="0"/>
        <w:adjustRightInd w:val="0"/>
        <w:spacing w:before="62" w:beforeLines="20"/>
        <w:ind w:firstLine="420"/>
        <w:rPr>
          <w:rFonts w:ascii="楷体_GB2312" w:eastAsia="楷体_GB2312"/>
          <w:b/>
          <w:bCs/>
          <w:color w:val="000000"/>
          <w:sz w:val="24"/>
          <w:highlight w:val="none"/>
        </w:rPr>
      </w:pPr>
      <w:r>
        <w:rPr>
          <w:rFonts w:hint="eastAsia" w:ascii="楷体_GB2312" w:eastAsia="楷体_GB2312"/>
          <w:b/>
          <w:bCs/>
          <w:color w:val="000000"/>
          <w:sz w:val="24"/>
          <w:highlight w:val="none"/>
          <w:lang w:val="en-US" w:eastAsia="zh-CN"/>
        </w:rPr>
        <w:t>二</w:t>
      </w:r>
      <w:r>
        <w:rPr>
          <w:rFonts w:hint="eastAsia" w:ascii="楷体_GB2312" w:eastAsia="楷体_GB2312"/>
          <w:b/>
          <w:bCs/>
          <w:color w:val="000000"/>
          <w:sz w:val="24"/>
          <w:highlight w:val="none"/>
        </w:rPr>
        <w:t>、北银理财产品风险评级说明</w:t>
      </w:r>
    </w:p>
    <w:p>
      <w:pPr>
        <w:pStyle w:val="2"/>
        <w:ind w:left="0" w:leftChars="0" w:firstLine="480" w:firstLineChars="200"/>
        <w:rPr>
          <w:highlight w:val="none"/>
        </w:rPr>
      </w:pPr>
      <w:r>
        <w:rPr>
          <w:rFonts w:hint="default" w:ascii="楷体_GB2312" w:hAnsi="Times New Roman" w:eastAsia="楷体_GB2312" w:cs="Times New Roman"/>
          <w:color w:val="000000"/>
          <w:kern w:val="2"/>
          <w:sz w:val="24"/>
          <w:szCs w:val="24"/>
          <w:highlight w:val="none"/>
        </w:rPr>
        <w:t>北银理财所对应的产品风险评级说明详见下表</w:t>
      </w:r>
      <w:r>
        <w:rPr>
          <w:rFonts w:hint="default" w:ascii="楷体_GB2312" w:hAnsi="Times New Roman" w:eastAsia="楷体_GB2312" w:cs="Times New Roman"/>
          <w:color w:val="000000"/>
          <w:kern w:val="2"/>
          <w:sz w:val="24"/>
          <w:szCs w:val="24"/>
          <w:highlight w:val="none"/>
          <w:lang w:eastAsia="zh-CN"/>
        </w:rPr>
        <w:t>，按照监管要求，代销机构将对</w:t>
      </w:r>
      <w:r>
        <w:rPr>
          <w:rFonts w:hint="eastAsia" w:ascii="楷体_GB2312" w:hAnsi="Times New Roman" w:eastAsia="楷体_GB2312" w:cs="Times New Roman"/>
          <w:color w:val="000000"/>
          <w:kern w:val="2"/>
          <w:sz w:val="24"/>
          <w:szCs w:val="24"/>
          <w:highlight w:val="none"/>
          <w:lang w:val="en-US" w:eastAsia="zh-CN"/>
        </w:rPr>
        <w:t>代销</w:t>
      </w:r>
      <w:r>
        <w:rPr>
          <w:rFonts w:hint="default" w:ascii="楷体_GB2312" w:hAnsi="Times New Roman" w:eastAsia="楷体_GB2312" w:cs="Times New Roman"/>
          <w:color w:val="000000"/>
          <w:kern w:val="2"/>
          <w:sz w:val="24"/>
          <w:szCs w:val="24"/>
          <w:highlight w:val="none"/>
          <w:lang w:val="en-US" w:eastAsia="zh-CN"/>
        </w:rPr>
        <w:t>理财</w:t>
      </w:r>
      <w:r>
        <w:rPr>
          <w:rFonts w:hint="default" w:ascii="楷体_GB2312" w:hAnsi="Times New Roman" w:eastAsia="楷体_GB2312" w:cs="Times New Roman"/>
          <w:color w:val="000000"/>
          <w:kern w:val="2"/>
          <w:sz w:val="24"/>
          <w:szCs w:val="24"/>
          <w:highlight w:val="none"/>
          <w:lang w:eastAsia="zh-CN"/>
        </w:rPr>
        <w:t>产品进行风险评级</w:t>
      </w:r>
      <w:r>
        <w:rPr>
          <w:rFonts w:hint="default" w:ascii="楷体_GB2312" w:hAnsi="Times New Roman" w:eastAsia="楷体_GB2312" w:cs="Times New Roman"/>
          <w:color w:val="000000"/>
          <w:kern w:val="2"/>
          <w:sz w:val="24"/>
          <w:szCs w:val="24"/>
          <w:highlight w:val="none"/>
        </w:rPr>
        <w:t>。当代销机构对</w:t>
      </w:r>
      <w:r>
        <w:rPr>
          <w:rFonts w:hint="default" w:ascii="楷体_GB2312" w:hAnsi="Times New Roman" w:eastAsia="楷体_GB2312" w:cs="Times New Roman"/>
          <w:color w:val="000000"/>
          <w:kern w:val="2"/>
          <w:sz w:val="24"/>
          <w:szCs w:val="24"/>
          <w:highlight w:val="none"/>
          <w:lang w:val="en-US"/>
        </w:rPr>
        <w:t>代销</w:t>
      </w:r>
      <w:r>
        <w:rPr>
          <w:rFonts w:hint="default" w:ascii="楷体_GB2312" w:hAnsi="Times New Roman" w:eastAsia="楷体_GB2312" w:cs="Times New Roman"/>
          <w:color w:val="000000"/>
          <w:kern w:val="2"/>
          <w:sz w:val="24"/>
          <w:szCs w:val="24"/>
          <w:highlight w:val="none"/>
        </w:rPr>
        <w:t>理财产品的风险评级结果与产品管理人不一致时，</w:t>
      </w:r>
      <w:r>
        <w:rPr>
          <w:rFonts w:ascii="楷体_GB2312" w:hAnsi="Times New Roman" w:eastAsia="楷体_GB2312" w:cs="Times New Roman"/>
          <w:color w:val="000000"/>
          <w:kern w:val="2"/>
          <w:sz w:val="24"/>
          <w:szCs w:val="24"/>
          <w:highlight w:val="none"/>
        </w:rPr>
        <w:t>代销机构应当采用较高风险等级的评级结果，个人投资者风险承受能力</w:t>
      </w:r>
      <w:r>
        <w:rPr>
          <w:rFonts w:hint="default" w:ascii="楷体_GB2312" w:hAnsi="Times New Roman" w:eastAsia="楷体_GB2312" w:cs="Times New Roman"/>
          <w:color w:val="000000"/>
          <w:kern w:val="2"/>
          <w:sz w:val="24"/>
          <w:szCs w:val="24"/>
          <w:highlight w:val="none"/>
          <w:lang w:val="en-US" w:eastAsia="zh-CN"/>
        </w:rPr>
        <w:t>等级</w:t>
      </w:r>
      <w:r>
        <w:rPr>
          <w:rFonts w:ascii="楷体_GB2312" w:hAnsi="Times New Roman" w:eastAsia="楷体_GB2312" w:cs="Times New Roman"/>
          <w:color w:val="000000"/>
          <w:kern w:val="2"/>
          <w:sz w:val="24"/>
          <w:szCs w:val="24"/>
          <w:highlight w:val="none"/>
        </w:rPr>
        <w:t>不低于该较高风险等级的</w:t>
      </w:r>
      <w:r>
        <w:rPr>
          <w:rFonts w:hint="eastAsia" w:ascii="楷体_GB2312" w:hAnsi="Times New Roman" w:eastAsia="楷体_GB2312" w:cs="Times New Roman"/>
          <w:color w:val="000000"/>
          <w:kern w:val="2"/>
          <w:sz w:val="24"/>
          <w:szCs w:val="24"/>
          <w:highlight w:val="none"/>
          <w:lang w:val="en-US" w:eastAsia="zh-CN"/>
        </w:rPr>
        <w:t>产品</w:t>
      </w:r>
      <w:r>
        <w:rPr>
          <w:rFonts w:ascii="楷体_GB2312" w:hAnsi="Times New Roman" w:eastAsia="楷体_GB2312" w:cs="Times New Roman"/>
          <w:color w:val="000000"/>
          <w:kern w:val="2"/>
          <w:sz w:val="24"/>
          <w:szCs w:val="24"/>
          <w:highlight w:val="none"/>
        </w:rPr>
        <w:t>评级结果时，方可购买该理财产品。</w:t>
      </w:r>
    </w:p>
    <w:tbl>
      <w:tblPr>
        <w:tblStyle w:val="16"/>
        <w:tblW w:w="9409"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439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产品风险评级</w:t>
            </w:r>
          </w:p>
        </w:tc>
        <w:tc>
          <w:tcPr>
            <w:tcW w:w="4395"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ascii="楷体_GB2312" w:eastAsia="楷体_GB2312"/>
                <w:color w:val="000000"/>
                <w:szCs w:val="21"/>
                <w:highlight w:val="none"/>
              </w:rPr>
              <w:t>产品风险评级说明</w:t>
            </w:r>
          </w:p>
        </w:tc>
        <w:tc>
          <w:tcPr>
            <w:tcW w:w="340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目标客户类型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ascii="楷体_GB2312" w:eastAsia="楷体_GB2312"/>
                <w:color w:val="000000"/>
                <w:szCs w:val="21"/>
                <w:highlight w:val="none"/>
              </w:rPr>
              <w:t>低风险</w:t>
            </w:r>
            <w:r>
              <w:rPr>
                <w:rFonts w:hint="eastAsia" w:ascii="楷体_GB2312" w:eastAsia="楷体_GB2312"/>
                <w:color w:val="000000"/>
                <w:szCs w:val="21"/>
                <w:highlight w:val="none"/>
              </w:rPr>
              <w:t>产品（PR1）</w:t>
            </w:r>
          </w:p>
        </w:tc>
        <w:tc>
          <w:tcPr>
            <w:tcW w:w="4395" w:type="dxa"/>
            <w:vAlign w:val="top"/>
          </w:tcPr>
          <w:p>
            <w:pPr>
              <w:pStyle w:val="31"/>
              <w:jc w:val="both"/>
              <w:rPr>
                <w:rFonts w:ascii="楷体_GB2312" w:hAnsi="Times New Roman" w:eastAsia="楷体_GB2312" w:cs="Times New Roman"/>
                <w:kern w:val="2"/>
                <w:sz w:val="21"/>
                <w:szCs w:val="21"/>
                <w:highlight w:val="none"/>
              </w:rPr>
            </w:pPr>
            <w:r>
              <w:rPr>
                <w:rFonts w:hint="eastAsia" w:ascii="楷体_GB2312" w:hAnsi="Times New Roman" w:eastAsia="楷体_GB2312" w:cs="Times New Roman"/>
                <w:kern w:val="2"/>
                <w:sz w:val="21"/>
                <w:szCs w:val="21"/>
                <w:highlight w:val="none"/>
              </w:rPr>
              <w:t>理财产品的总体风险程度很低，净值波动较小。</w:t>
            </w:r>
            <w:r>
              <w:rPr>
                <w:rFonts w:hint="eastAsia" w:ascii="楷体_GB2312" w:hAnsi="Times New Roman" w:eastAsia="楷体_GB2312" w:cs="Times New Roman"/>
                <w:kern w:val="2"/>
                <w:sz w:val="21"/>
                <w:szCs w:val="21"/>
                <w:highlight w:val="none"/>
                <w:lang w:eastAsia="zh-CN"/>
              </w:rPr>
              <w:t>产品管理人</w:t>
            </w:r>
            <w:r>
              <w:rPr>
                <w:rFonts w:hint="eastAsia" w:ascii="楷体_GB2312" w:hAnsi="Times New Roman" w:eastAsia="楷体_GB2312" w:cs="Times New Roman"/>
                <w:kern w:val="2"/>
                <w:sz w:val="21"/>
                <w:szCs w:val="21"/>
                <w:highlight w:val="none"/>
              </w:rPr>
              <w:t>不承</w:t>
            </w:r>
            <w:r>
              <w:rPr>
                <w:rFonts w:hint="eastAsia" w:ascii="楷体_GB2312" w:hAnsi="Times New Roman" w:eastAsia="楷体_GB2312" w:cs="Times New Roman"/>
                <w:color w:val="auto"/>
                <w:kern w:val="2"/>
                <w:sz w:val="21"/>
                <w:szCs w:val="21"/>
                <w:highlight w:val="none"/>
              </w:rPr>
              <w:t>诺本金保障，</w:t>
            </w:r>
            <w:r>
              <w:rPr>
                <w:rFonts w:hint="eastAsia" w:ascii="楷体_GB2312" w:hAnsi="Times New Roman" w:eastAsia="楷体_GB2312" w:cs="Times New Roman"/>
                <w:color w:val="auto"/>
                <w:kern w:val="2"/>
                <w:sz w:val="21"/>
                <w:szCs w:val="21"/>
                <w:highlight w:val="none"/>
                <w:lang w:eastAsia="zh-CN"/>
              </w:rPr>
              <w:t>但</w:t>
            </w:r>
            <w:r>
              <w:rPr>
                <w:rFonts w:hint="eastAsia" w:ascii="楷体_GB2312" w:hAnsi="Times New Roman" w:eastAsia="楷体_GB2312" w:cs="Times New Roman"/>
                <w:color w:val="auto"/>
                <w:kern w:val="2"/>
                <w:sz w:val="21"/>
                <w:szCs w:val="21"/>
                <w:highlight w:val="none"/>
              </w:rPr>
              <w:t>本金出现损失的可能性</w:t>
            </w:r>
            <w:r>
              <w:rPr>
                <w:rFonts w:hint="eastAsia" w:ascii="楷体_GB2312" w:hAnsi="Times New Roman" w:eastAsia="楷体_GB2312" w:cs="Times New Roman"/>
                <w:color w:val="auto"/>
                <w:kern w:val="2"/>
                <w:sz w:val="21"/>
                <w:szCs w:val="21"/>
                <w:highlight w:val="none"/>
                <w:shd w:val="clear" w:color="auto" w:fill="auto"/>
                <w:lang w:val="en-US" w:eastAsia="zh-CN"/>
              </w:rPr>
              <w:t>极低</w:t>
            </w:r>
            <w:r>
              <w:rPr>
                <w:rFonts w:hint="eastAsia" w:ascii="楷体_GB2312" w:hAnsi="Times New Roman" w:eastAsia="楷体_GB2312" w:cs="Times New Roman"/>
                <w:color w:val="auto"/>
                <w:kern w:val="2"/>
                <w:sz w:val="21"/>
                <w:szCs w:val="21"/>
                <w:highlight w:val="none"/>
              </w:rPr>
              <w:t>。</w:t>
            </w:r>
          </w:p>
        </w:tc>
        <w:tc>
          <w:tcPr>
            <w:tcW w:w="3402" w:type="dxa"/>
            <w:vAlign w:val="top"/>
          </w:tcPr>
          <w:p>
            <w:pPr>
              <w:pStyle w:val="31"/>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谨慎型、稳健型、平衡型、进取型、激进型的投资者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较低风险产品（PR2</w:t>
            </w:r>
            <w:r>
              <w:rPr>
                <w:rFonts w:ascii="楷体_GB2312" w:eastAsia="楷体_GB2312"/>
                <w:color w:val="000000"/>
                <w:szCs w:val="21"/>
                <w:highlight w:val="none"/>
              </w:rPr>
              <w:t>）</w:t>
            </w:r>
          </w:p>
        </w:tc>
        <w:tc>
          <w:tcPr>
            <w:tcW w:w="4395" w:type="dxa"/>
            <w:vAlign w:val="top"/>
          </w:tcPr>
          <w:p>
            <w:pPr>
              <w:autoSpaceDE w:val="0"/>
              <w:autoSpaceDN w:val="0"/>
              <w:adjustRightInd w:val="0"/>
              <w:spacing w:before="62" w:beforeLines="20"/>
              <w:rPr>
                <w:rFonts w:ascii="楷体_GB2312" w:eastAsia="楷体_GB2312"/>
                <w:color w:val="000000"/>
                <w:szCs w:val="21"/>
                <w:highlight w:val="none"/>
              </w:rPr>
            </w:pPr>
            <w:r>
              <w:rPr>
                <w:rFonts w:hint="eastAsia" w:ascii="楷体_GB2312" w:eastAsia="楷体_GB2312"/>
                <w:szCs w:val="21"/>
                <w:highlight w:val="none"/>
              </w:rPr>
              <w:t>理财产品的总体风险程度较低，净值波动较小。</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w:t>
            </w:r>
            <w:r>
              <w:rPr>
                <w:rFonts w:ascii="楷体_GB2312" w:eastAsia="楷体_GB2312"/>
                <w:color w:val="000000"/>
                <w:szCs w:val="21"/>
                <w:highlight w:val="none"/>
              </w:rPr>
              <w:t>虽然存在可能对本金安全产生不利影响的因素，但本金出现损失的可能性较</w:t>
            </w:r>
            <w:r>
              <w:rPr>
                <w:rFonts w:hint="eastAsia" w:ascii="楷体_GB2312" w:eastAsia="楷体_GB2312"/>
                <w:color w:val="000000"/>
                <w:szCs w:val="21"/>
                <w:highlight w:val="none"/>
                <w:lang w:val="en-US" w:eastAsia="zh-CN"/>
              </w:rPr>
              <w:t>低</w:t>
            </w:r>
            <w:r>
              <w:rPr>
                <w:rFonts w:ascii="楷体_GB2312" w:eastAsia="楷体_GB2312"/>
                <w:color w:val="000000"/>
                <w:szCs w:val="21"/>
                <w:highlight w:val="none"/>
              </w:rPr>
              <w:t>。</w:t>
            </w:r>
          </w:p>
        </w:tc>
        <w:tc>
          <w:tcPr>
            <w:tcW w:w="3402" w:type="dxa"/>
            <w:vAlign w:val="top"/>
          </w:tcPr>
          <w:p>
            <w:pPr>
              <w:pStyle w:val="31"/>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稳健型、平衡型、进取型、激进型的投资者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中等风险产品（PR3）</w:t>
            </w:r>
          </w:p>
        </w:tc>
        <w:tc>
          <w:tcPr>
            <w:tcW w:w="4395" w:type="dxa"/>
            <w:vAlign w:val="top"/>
          </w:tcPr>
          <w:p>
            <w:pPr>
              <w:autoSpaceDE w:val="0"/>
              <w:autoSpaceDN w:val="0"/>
              <w:adjustRightInd w:val="0"/>
              <w:spacing w:before="62" w:beforeLines="20"/>
              <w:rPr>
                <w:rFonts w:ascii="仿宋_GB2312" w:eastAsia="等线"/>
                <w:color w:val="000000"/>
                <w:szCs w:val="21"/>
                <w:highlight w:val="none"/>
              </w:rPr>
            </w:pPr>
            <w:r>
              <w:rPr>
                <w:rFonts w:hint="eastAsia" w:ascii="楷体_GB2312" w:eastAsia="楷体_GB2312"/>
                <w:szCs w:val="21"/>
                <w:highlight w:val="none"/>
              </w:rPr>
              <w:t>理财产品的总体风险程度适中，净值随投资资产的市场表现波动较明显。</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不承诺本金保障，本金有一定程度出现损失的可能性。</w:t>
            </w:r>
          </w:p>
        </w:tc>
        <w:tc>
          <w:tcPr>
            <w:tcW w:w="3402" w:type="dxa"/>
            <w:vAlign w:val="top"/>
          </w:tcPr>
          <w:p>
            <w:pPr>
              <w:pStyle w:val="31"/>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平衡型、进取型、激进型的投资者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较高风险产品（PR4）</w:t>
            </w:r>
          </w:p>
        </w:tc>
        <w:tc>
          <w:tcPr>
            <w:tcW w:w="4395" w:type="dxa"/>
            <w:vAlign w:val="top"/>
          </w:tcPr>
          <w:p>
            <w:pPr>
              <w:autoSpaceDE w:val="0"/>
              <w:autoSpaceDN w:val="0"/>
              <w:adjustRightInd w:val="0"/>
              <w:spacing w:before="62" w:beforeLines="20"/>
              <w:rPr>
                <w:rFonts w:ascii="仿宋_GB2312" w:eastAsia="等线"/>
                <w:color w:val="000000"/>
                <w:szCs w:val="21"/>
                <w:highlight w:val="none"/>
              </w:rPr>
            </w:pPr>
            <w:r>
              <w:rPr>
                <w:rFonts w:hint="eastAsia" w:ascii="楷体_GB2312" w:eastAsia="楷体_GB2312"/>
                <w:szCs w:val="21"/>
                <w:highlight w:val="none"/>
              </w:rPr>
              <w:t>理财产品的总体风险程度较高，净值随投资资产的市场表现波动明显。</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不承诺本金保障，本金出现损失的可能性较高。</w:t>
            </w:r>
          </w:p>
        </w:tc>
        <w:tc>
          <w:tcPr>
            <w:tcW w:w="3402" w:type="dxa"/>
            <w:vAlign w:val="top"/>
          </w:tcPr>
          <w:p>
            <w:pPr>
              <w:pStyle w:val="31"/>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高风险产品（PR5）</w:t>
            </w:r>
          </w:p>
        </w:tc>
        <w:tc>
          <w:tcPr>
            <w:tcW w:w="4395" w:type="dxa"/>
            <w:vAlign w:val="top"/>
          </w:tcPr>
          <w:p>
            <w:pPr>
              <w:autoSpaceDE w:val="0"/>
              <w:autoSpaceDN w:val="0"/>
              <w:adjustRightInd w:val="0"/>
              <w:spacing w:before="62" w:beforeLines="20"/>
              <w:rPr>
                <w:rFonts w:ascii="仿宋_GB2312" w:eastAsia="等线"/>
                <w:color w:val="000000"/>
                <w:szCs w:val="21"/>
                <w:highlight w:val="none"/>
              </w:rPr>
            </w:pPr>
            <w:r>
              <w:rPr>
                <w:rFonts w:hint="eastAsia" w:ascii="楷体_GB2312" w:eastAsia="楷体_GB2312"/>
                <w:szCs w:val="21"/>
                <w:highlight w:val="none"/>
              </w:rPr>
              <w:t>理财产品的总体风险程度高，净值随投资资产的市场表现波动非常明显。</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不承诺本金保障，本金出现损失的可能性</w:t>
            </w:r>
            <w:r>
              <w:rPr>
                <w:rFonts w:hint="eastAsia" w:ascii="楷体_GB2312" w:eastAsia="楷体_GB2312"/>
                <w:szCs w:val="21"/>
                <w:highlight w:val="none"/>
                <w:lang w:val="en-US" w:eastAsia="zh-CN"/>
              </w:rPr>
              <w:t>极</w:t>
            </w:r>
            <w:r>
              <w:rPr>
                <w:rFonts w:hint="eastAsia" w:ascii="楷体_GB2312" w:eastAsia="楷体_GB2312"/>
                <w:szCs w:val="21"/>
                <w:highlight w:val="none"/>
              </w:rPr>
              <w:t>高。</w:t>
            </w:r>
          </w:p>
        </w:tc>
        <w:tc>
          <w:tcPr>
            <w:tcW w:w="3402" w:type="dxa"/>
            <w:vAlign w:val="top"/>
          </w:tcPr>
          <w:p>
            <w:pPr>
              <w:pStyle w:val="31"/>
              <w:jc w:val="both"/>
              <w:rPr>
                <w:rFonts w:ascii="楷体_GB2312" w:hAnsi="Times New Roman" w:eastAsia="楷体_GB2312" w:cs="Times New Roman"/>
                <w:kern w:val="2"/>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激进型的投资者</w:t>
            </w:r>
          </w:p>
        </w:tc>
      </w:tr>
    </w:tbl>
    <w:p>
      <w:pPr>
        <w:autoSpaceDE w:val="0"/>
        <w:autoSpaceDN w:val="0"/>
        <w:adjustRightInd w:val="0"/>
        <w:spacing w:before="62" w:beforeLines="20"/>
        <w:ind w:firstLine="420"/>
        <w:rPr>
          <w:rFonts w:ascii="楷体_GB2312" w:eastAsia="楷体_GB2312"/>
          <w:color w:val="000000"/>
          <w:sz w:val="24"/>
          <w:highlight w:val="none"/>
        </w:rPr>
      </w:pPr>
      <w:r>
        <w:rPr>
          <w:rFonts w:hint="eastAsia" w:ascii="楷体_GB2312" w:eastAsia="楷体_GB2312"/>
          <w:color w:val="000000"/>
          <w:sz w:val="24"/>
          <w:highlight w:val="none"/>
        </w:rPr>
        <w:t>机构投资者请根据自身的财务状况、投资经验、投资目标、风险认知、风险判断及其他因素综合考量</w:t>
      </w:r>
      <w:r>
        <w:rPr>
          <w:rFonts w:hint="eastAsia" w:ascii="楷体_GB2312" w:eastAsia="楷体_GB2312"/>
          <w:color w:val="000000"/>
          <w:sz w:val="24"/>
          <w:highlight w:val="none"/>
          <w:lang w:eastAsia="zh-CN"/>
        </w:rPr>
        <w:t>本</w:t>
      </w:r>
      <w:r>
        <w:rPr>
          <w:rFonts w:hint="eastAsia" w:ascii="楷体_GB2312" w:eastAsia="楷体_GB2312"/>
          <w:color w:val="000000"/>
          <w:sz w:val="24"/>
          <w:highlight w:val="none"/>
        </w:rPr>
        <w:t>理财产品的投资风险及自身的风险承受能力，北银理财不对其进行风险承受能力评估。</w:t>
      </w:r>
    </w:p>
    <w:p>
      <w:pPr>
        <w:numPr>
          <w:ilvl w:val="0"/>
          <w:numId w:val="0"/>
        </w:numPr>
        <w:ind w:firstLine="0" w:firstLineChars="0"/>
        <w:outlineLvl w:val="0"/>
        <w:rPr>
          <w:highlight w:val="none"/>
        </w:rPr>
      </w:pPr>
      <w:r>
        <w:rPr>
          <w:rFonts w:hint="eastAsia" w:ascii="楷体_GB2312" w:eastAsia="楷体_GB2312"/>
          <w:color w:val="000000"/>
          <w:sz w:val="24"/>
          <w:highlight w:val="none"/>
          <w:lang w:val="en-US" w:eastAsia="zh-CN"/>
        </w:rPr>
        <w:t xml:space="preserve">    </w:t>
      </w:r>
      <w:r>
        <w:rPr>
          <w:rFonts w:hint="eastAsia" w:ascii="楷体_GB2312" w:eastAsia="楷体_GB2312"/>
          <w:b/>
          <w:bCs/>
          <w:color w:val="000000"/>
          <w:sz w:val="24"/>
          <w:highlight w:val="none"/>
          <w:lang w:val="en-US" w:eastAsia="zh-CN"/>
        </w:rPr>
        <w:t>三、代</w:t>
      </w:r>
      <w:r>
        <w:rPr>
          <w:rFonts w:hint="eastAsia" w:ascii="楷体_GB2312" w:eastAsia="楷体_GB2312"/>
          <w:b/>
          <w:bCs/>
          <w:color w:val="000000"/>
          <w:sz w:val="24"/>
          <w:highlight w:val="none"/>
        </w:rPr>
        <w:t>销机构代理销售理财产品的流程</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首次在</w:t>
      </w:r>
      <w:r>
        <w:rPr>
          <w:rFonts w:hint="eastAsia" w:ascii="楷体_GB2312" w:eastAsia="楷体_GB2312"/>
          <w:color w:val="000000"/>
          <w:sz w:val="24"/>
          <w:highlight w:val="none"/>
          <w:lang w:val="en-US" w:eastAsia="zh-CN"/>
        </w:rPr>
        <w:t>代</w:t>
      </w:r>
      <w:r>
        <w:rPr>
          <w:rFonts w:ascii="楷体_GB2312" w:eastAsia="楷体_GB2312"/>
          <w:color w:val="000000"/>
          <w:sz w:val="24"/>
          <w:highlight w:val="none"/>
        </w:rPr>
        <w:t xml:space="preserve">销机构购买理财产品的投资者需开立相应资金账户，提供并确认正确的联系方式。 </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首次在</w:t>
      </w:r>
      <w:r>
        <w:rPr>
          <w:rFonts w:hint="eastAsia" w:ascii="楷体_GB2312" w:eastAsia="楷体_GB2312"/>
          <w:color w:val="000000"/>
          <w:sz w:val="24"/>
          <w:highlight w:val="none"/>
          <w:lang w:val="en-US" w:eastAsia="zh-CN"/>
        </w:rPr>
        <w:t>代</w:t>
      </w:r>
      <w:r>
        <w:rPr>
          <w:rFonts w:ascii="楷体_GB2312" w:eastAsia="楷体_GB2312"/>
          <w:color w:val="000000"/>
          <w:sz w:val="24"/>
          <w:highlight w:val="none"/>
        </w:rPr>
        <w:t>销机构购买</w:t>
      </w:r>
      <w:r>
        <w:rPr>
          <w:rFonts w:hint="eastAsia" w:ascii="楷体_GB2312" w:eastAsia="楷体_GB2312"/>
          <w:color w:val="000000"/>
          <w:sz w:val="24"/>
          <w:highlight w:val="none"/>
        </w:rPr>
        <w:t>北银</w:t>
      </w:r>
      <w:r>
        <w:rPr>
          <w:rFonts w:ascii="楷体_GB2312" w:eastAsia="楷体_GB2312"/>
          <w:color w:val="000000"/>
          <w:sz w:val="24"/>
          <w:highlight w:val="none"/>
        </w:rPr>
        <w:t>理财</w:t>
      </w:r>
      <w:r>
        <w:rPr>
          <w:rFonts w:hint="eastAsia" w:ascii="楷体_GB2312" w:eastAsia="楷体_GB2312"/>
          <w:color w:val="000000"/>
          <w:sz w:val="24"/>
          <w:highlight w:val="none"/>
          <w:lang w:eastAsia="zh-CN"/>
        </w:rPr>
        <w:t>理财</w:t>
      </w:r>
      <w:r>
        <w:rPr>
          <w:rFonts w:ascii="楷体_GB2312" w:eastAsia="楷体_GB2312"/>
          <w:color w:val="000000"/>
          <w:sz w:val="24"/>
          <w:highlight w:val="none"/>
        </w:rPr>
        <w:t>产品的个人投资者需进行投资者风险承受能力评估，并确认风险承受能力等级</w:t>
      </w:r>
      <w:r>
        <w:rPr>
          <w:rFonts w:hint="eastAsia" w:ascii="楷体_GB2312" w:eastAsia="楷体_GB2312"/>
          <w:color w:val="000000"/>
          <w:sz w:val="24"/>
          <w:highlight w:val="none"/>
        </w:rPr>
        <w:t>评估结果</w:t>
      </w:r>
      <w:r>
        <w:rPr>
          <w:rFonts w:ascii="楷体_GB2312" w:eastAsia="楷体_GB2312"/>
          <w:color w:val="000000"/>
          <w:sz w:val="24"/>
          <w:highlight w:val="none"/>
        </w:rPr>
        <w:t>不低于本理财产品风险评级。</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仔细阅读本理财产品完整销售文件（</w:t>
      </w:r>
      <w:r>
        <w:rPr>
          <w:rFonts w:hint="eastAsia" w:ascii="楷体_GB2312" w:eastAsia="楷体_GB2312"/>
          <w:color w:val="000000"/>
          <w:sz w:val="24"/>
          <w:highlight w:val="none"/>
          <w:lang w:val="en-US" w:eastAsia="zh-CN"/>
        </w:rPr>
        <w:t>本</w:t>
      </w:r>
      <w:r>
        <w:rPr>
          <w:rFonts w:hint="eastAsia" w:ascii="楷体_GB2312" w:hAnsi="楷体" w:eastAsia="楷体_GB2312"/>
          <w:sz w:val="24"/>
          <w:highlight w:val="none"/>
          <w:lang w:eastAsia="zh-CN"/>
        </w:rPr>
        <w:t>《投资者权益须知》、《</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w:t>
      </w:r>
      <w:r>
        <w:rPr>
          <w:rFonts w:hint="eastAsia" w:ascii="楷体_GB2312" w:hAnsi="楷体" w:eastAsia="楷体_GB2312"/>
          <w:sz w:val="24"/>
          <w:highlight w:val="none"/>
          <w:lang w:eastAsia="zh-CN"/>
        </w:rPr>
        <w:t>《理财产品投资协议书》、《理财产品说明书》</w:t>
      </w:r>
      <w:r>
        <w:rPr>
          <w:rFonts w:hint="eastAsia" w:ascii="楷体_GB2312" w:hAnsi="楷体" w:eastAsia="楷体_GB2312"/>
          <w:sz w:val="24"/>
          <w:highlight w:val="none"/>
          <w:lang w:val="en-US" w:eastAsia="zh-CN"/>
        </w:rPr>
        <w:t>和</w:t>
      </w:r>
      <w:r>
        <w:rPr>
          <w:rFonts w:hint="eastAsia" w:ascii="楷体_GB2312" w:hAnsi="楷体" w:eastAsia="楷体_GB2312"/>
          <w:b w:val="0"/>
          <w:bCs w:val="0"/>
          <w:sz w:val="24"/>
          <w:szCs w:val="24"/>
          <w:highlight w:val="none"/>
          <w:lang w:val="en-US" w:eastAsia="zh-CN"/>
        </w:rPr>
        <w:t>《代理销售</w:t>
      </w:r>
      <w:r>
        <w:rPr>
          <w:rFonts w:hint="eastAsia" w:ascii="楷体_GB2312" w:hAnsi="楷体" w:eastAsia="楷体_GB2312"/>
          <w:b w:val="0"/>
          <w:bCs w:val="0"/>
          <w:sz w:val="24"/>
          <w:highlight w:val="none"/>
        </w:rPr>
        <w:t>协议书</w:t>
      </w:r>
      <w:r>
        <w:rPr>
          <w:rFonts w:hint="eastAsia" w:ascii="楷体_GB2312" w:hAnsi="楷体" w:eastAsia="楷体_GB2312"/>
          <w:b w:val="0"/>
          <w:bCs w:val="0"/>
          <w:sz w:val="24"/>
          <w:highlight w:val="none"/>
          <w:lang w:eastAsia="zh-CN"/>
        </w:rPr>
        <w:t>》</w:t>
      </w:r>
      <w:r>
        <w:rPr>
          <w:rFonts w:hint="eastAsia" w:ascii="楷体_GB2312" w:hAnsi="楷体" w:eastAsia="楷体_GB2312"/>
          <w:b w:val="0"/>
          <w:bCs/>
          <w:sz w:val="24"/>
          <w:highlight w:val="none"/>
          <w:lang w:eastAsia="zh-CN"/>
        </w:rPr>
        <w:t>（</w:t>
      </w:r>
      <w:r>
        <w:rPr>
          <w:rFonts w:hint="eastAsia" w:ascii="楷体_GB2312" w:hAnsi="楷体" w:eastAsia="楷体_GB2312"/>
          <w:b w:val="0"/>
          <w:bCs/>
          <w:sz w:val="24"/>
          <w:highlight w:val="none"/>
          <w:lang w:val="en-US" w:eastAsia="zh-CN"/>
        </w:rPr>
        <w:t>具体名称以代销机构为准</w:t>
      </w:r>
      <w:r>
        <w:rPr>
          <w:rFonts w:hint="eastAsia" w:ascii="楷体_GB2312" w:hAnsi="楷体" w:eastAsia="楷体_GB2312"/>
          <w:b w:val="0"/>
          <w:bCs/>
          <w:sz w:val="24"/>
          <w:highlight w:val="none"/>
          <w:lang w:eastAsia="zh-CN"/>
        </w:rPr>
        <w:t>）</w:t>
      </w:r>
      <w:r>
        <w:rPr>
          <w:rFonts w:ascii="楷体_GB2312" w:eastAsia="楷体_GB2312"/>
          <w:color w:val="000000"/>
          <w:sz w:val="24"/>
          <w:highlight w:val="none"/>
        </w:rPr>
        <w:t>），理解并确认本理财产品完整销售文件</w:t>
      </w:r>
      <w:r>
        <w:rPr>
          <w:rFonts w:hint="eastAsia" w:ascii="楷体_GB2312" w:eastAsia="楷体_GB2312"/>
          <w:color w:val="000000"/>
          <w:sz w:val="24"/>
          <w:highlight w:val="none"/>
          <w:lang w:val="en-US" w:eastAsia="zh-CN"/>
        </w:rPr>
        <w:t>全部</w:t>
      </w:r>
      <w:r>
        <w:rPr>
          <w:rFonts w:ascii="楷体_GB2312" w:eastAsia="楷体_GB2312"/>
          <w:color w:val="000000"/>
          <w:sz w:val="24"/>
          <w:highlight w:val="none"/>
        </w:rPr>
        <w:t xml:space="preserve">条款及产品风险。 </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确定购买金额，完成交易申请，并在</w:t>
      </w:r>
      <w:r>
        <w:rPr>
          <w:rFonts w:hint="eastAsia" w:ascii="楷体_GB2312" w:eastAsia="楷体_GB2312"/>
          <w:color w:val="000000"/>
          <w:sz w:val="24"/>
          <w:highlight w:val="none"/>
        </w:rPr>
        <w:t>北银</w:t>
      </w:r>
      <w:r>
        <w:rPr>
          <w:rFonts w:ascii="楷体_GB2312" w:eastAsia="楷体_GB2312"/>
          <w:color w:val="000000"/>
          <w:sz w:val="24"/>
          <w:highlight w:val="none"/>
        </w:rPr>
        <w:t>理财系统确认投资者购买份额后及时进行查询。</w:t>
      </w:r>
    </w:p>
    <w:p>
      <w:pPr>
        <w:ind w:firstLine="482" w:firstLineChars="200"/>
        <w:outlineLvl w:val="0"/>
        <w:rPr>
          <w:rFonts w:ascii="楷体_GB2312" w:eastAsia="楷体_GB2312"/>
          <w:b/>
          <w:bCs/>
          <w:color w:val="000000"/>
          <w:sz w:val="24"/>
          <w:highlight w:val="none"/>
        </w:rPr>
      </w:pPr>
      <w:r>
        <w:rPr>
          <w:rFonts w:hint="eastAsia" w:ascii="楷体_GB2312" w:eastAsia="楷体_GB2312"/>
          <w:b/>
          <w:bCs/>
          <w:color w:val="000000"/>
          <w:sz w:val="24"/>
          <w:highlight w:val="none"/>
        </w:rPr>
        <w:t>四</w:t>
      </w:r>
      <w:r>
        <w:rPr>
          <w:rFonts w:ascii="楷体_GB2312" w:eastAsia="楷体_GB2312"/>
          <w:b/>
          <w:bCs/>
          <w:color w:val="000000"/>
          <w:sz w:val="24"/>
          <w:highlight w:val="none"/>
        </w:rPr>
        <w:t>、理财产品信息披露的方式、渠道和频率</w:t>
      </w:r>
    </w:p>
    <w:p>
      <w:p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信息披露的方式、渠道和频率，投资</w:t>
      </w:r>
      <w:r>
        <w:rPr>
          <w:rFonts w:hint="eastAsia" w:ascii="楷体_GB2312" w:eastAsia="楷体_GB2312"/>
          <w:color w:val="000000"/>
          <w:sz w:val="24"/>
          <w:highlight w:val="none"/>
        </w:rPr>
        <w:t>者</w:t>
      </w:r>
      <w:r>
        <w:rPr>
          <w:rFonts w:ascii="楷体_GB2312" w:eastAsia="楷体_GB2312"/>
          <w:color w:val="000000"/>
          <w:sz w:val="24"/>
          <w:highlight w:val="none"/>
        </w:rPr>
        <w:t>可以根据</w:t>
      </w:r>
      <w:r>
        <w:rPr>
          <w:rFonts w:hint="eastAsia" w:ascii="楷体_GB2312" w:eastAsia="楷体_GB2312"/>
          <w:color w:val="000000"/>
          <w:sz w:val="24"/>
          <w:highlight w:val="none"/>
          <w:lang w:eastAsia="zh-CN"/>
        </w:rPr>
        <w:t>本理财产品</w:t>
      </w:r>
      <w:r>
        <w:rPr>
          <w:rFonts w:ascii="楷体_GB2312" w:eastAsia="楷体_GB2312"/>
          <w:color w:val="000000"/>
          <w:sz w:val="24"/>
          <w:highlight w:val="none"/>
        </w:rPr>
        <w:t>对应的</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理财</w:t>
      </w:r>
      <w:r>
        <w:rPr>
          <w:rFonts w:ascii="楷体_GB2312" w:eastAsia="楷体_GB2312"/>
          <w:color w:val="000000"/>
          <w:sz w:val="24"/>
          <w:highlight w:val="none"/>
        </w:rPr>
        <w:t>产品说明书</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中</w:t>
      </w:r>
      <w:r>
        <w:rPr>
          <w:rFonts w:ascii="楷体_GB2312" w:eastAsia="楷体_GB2312"/>
          <w:color w:val="000000"/>
          <w:sz w:val="24"/>
          <w:highlight w:val="none"/>
        </w:rPr>
        <w:t>“</w:t>
      </w:r>
      <w:r>
        <w:rPr>
          <w:rFonts w:hint="eastAsia" w:ascii="楷体_GB2312" w:eastAsia="楷体_GB2312"/>
          <w:color w:val="000000"/>
          <w:sz w:val="24"/>
          <w:highlight w:val="none"/>
          <w:lang w:val="en-US" w:eastAsia="zh-CN"/>
        </w:rPr>
        <w:t>十一、</w:t>
      </w:r>
      <w:r>
        <w:rPr>
          <w:rFonts w:hint="eastAsia" w:ascii="楷体_GB2312" w:eastAsia="楷体_GB2312"/>
          <w:color w:val="000000"/>
          <w:sz w:val="24"/>
          <w:highlight w:val="none"/>
          <w:lang w:eastAsia="zh-CN"/>
        </w:rPr>
        <w:t>产品</w:t>
      </w:r>
      <w:r>
        <w:rPr>
          <w:rFonts w:hint="eastAsia" w:ascii="楷体_GB2312" w:eastAsia="楷体_GB2312"/>
          <w:color w:val="000000"/>
          <w:sz w:val="24"/>
          <w:highlight w:val="none"/>
        </w:rPr>
        <w:t>的</w:t>
      </w:r>
      <w:r>
        <w:rPr>
          <w:rFonts w:ascii="楷体_GB2312" w:eastAsia="楷体_GB2312"/>
          <w:color w:val="000000"/>
          <w:sz w:val="24"/>
          <w:highlight w:val="none"/>
        </w:rPr>
        <w:t>信息披露”</w:t>
      </w:r>
      <w:r>
        <w:rPr>
          <w:rFonts w:hint="eastAsia" w:ascii="楷体_GB2312" w:eastAsia="楷体_GB2312"/>
          <w:color w:val="000000"/>
          <w:sz w:val="24"/>
          <w:highlight w:val="none"/>
          <w:lang w:val="en-US" w:eastAsia="zh-CN"/>
        </w:rPr>
        <w:t>部分</w:t>
      </w:r>
      <w:r>
        <w:rPr>
          <w:rFonts w:hint="eastAsia" w:ascii="楷体_GB2312" w:eastAsia="楷体_GB2312"/>
          <w:color w:val="000000"/>
          <w:sz w:val="24"/>
          <w:highlight w:val="none"/>
          <w:lang w:eastAsia="zh-CN"/>
        </w:rPr>
        <w:t>的</w:t>
      </w:r>
      <w:r>
        <w:rPr>
          <w:rFonts w:ascii="楷体_GB2312" w:eastAsia="楷体_GB2312"/>
          <w:color w:val="000000"/>
          <w:sz w:val="24"/>
          <w:highlight w:val="none"/>
        </w:rPr>
        <w:t>约定，或通过拨打代销机构客户服务热线</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通过</w:t>
      </w:r>
      <w:r>
        <w:rPr>
          <w:rFonts w:ascii="楷体_GB2312" w:eastAsia="楷体_GB2312"/>
          <w:color w:val="auto"/>
          <w:sz w:val="24"/>
          <w:highlight w:val="none"/>
        </w:rPr>
        <w:t>代销机构</w:t>
      </w:r>
      <w:r>
        <w:rPr>
          <w:rFonts w:hint="eastAsia" w:ascii="楷体_GB2312" w:eastAsia="楷体_GB2312"/>
          <w:color w:val="auto"/>
          <w:sz w:val="24"/>
          <w:highlight w:val="none"/>
          <w:lang w:val="en-US" w:eastAsia="zh-CN"/>
        </w:rPr>
        <w:t>电子渠道</w:t>
      </w:r>
      <w:r>
        <w:rPr>
          <w:rFonts w:hint="eastAsia" w:ascii="楷体_GB2312" w:eastAsia="楷体_GB2312"/>
          <w:color w:val="auto"/>
          <w:sz w:val="24"/>
          <w:highlight w:val="none"/>
          <w:lang w:eastAsia="zh-CN"/>
        </w:rPr>
        <w:t>、</w:t>
      </w:r>
      <w:r>
        <w:rPr>
          <w:rFonts w:hint="default" w:ascii="楷体_GB2312" w:hAnsi="宋体" w:eastAsia="楷体_GB2312" w:cs="Times New Roman"/>
          <w:color w:val="000000"/>
          <w:kern w:val="2"/>
          <w:sz w:val="24"/>
          <w:szCs w:val="24"/>
          <w:highlight w:val="none"/>
        </w:rPr>
        <w:t>北银理财有限责任公司官</w:t>
      </w:r>
      <w:r>
        <w:rPr>
          <w:rFonts w:hint="default" w:ascii="楷体_GB2312" w:hAnsi="宋体" w:eastAsia="楷体_GB2312" w:cs="Times New Roman"/>
          <w:color w:val="000000"/>
          <w:kern w:val="2"/>
          <w:sz w:val="24"/>
          <w:szCs w:val="24"/>
          <w:highlight w:val="none"/>
          <w:lang w:val="en-US" w:eastAsia="zh-CN"/>
        </w:rPr>
        <w:t>方</w:t>
      </w:r>
      <w:r>
        <w:rPr>
          <w:rFonts w:hint="default" w:ascii="楷体_GB2312" w:hAnsi="宋体" w:eastAsia="楷体_GB2312" w:cs="Times New Roman"/>
          <w:color w:val="000000"/>
          <w:kern w:val="2"/>
          <w:sz w:val="24"/>
          <w:szCs w:val="24"/>
          <w:highlight w:val="none"/>
        </w:rPr>
        <w:t>网站</w:t>
      </w:r>
      <w:r>
        <w:rPr>
          <w:rFonts w:hint="eastAsia" w:ascii="楷体_GB2312" w:eastAsia="楷体_GB2312"/>
          <w:color w:val="auto"/>
          <w:sz w:val="24"/>
          <w:highlight w:val="none"/>
          <w:lang w:val="en-US" w:eastAsia="zh-CN"/>
        </w:rPr>
        <w:t>或</w:t>
      </w:r>
      <w:r>
        <w:rPr>
          <w:rFonts w:hint="eastAsia" w:ascii="楷体_GB2312" w:eastAsia="楷体_GB2312"/>
          <w:color w:val="auto"/>
          <w:sz w:val="24"/>
          <w:highlight w:val="none"/>
          <w:lang w:eastAsia="zh-CN"/>
        </w:rPr>
        <w:t>监管机构认可的其他公开渠道</w:t>
      </w:r>
      <w:r>
        <w:rPr>
          <w:rFonts w:ascii="楷体_GB2312" w:eastAsia="楷体_GB2312"/>
          <w:color w:val="000000"/>
          <w:sz w:val="24"/>
          <w:highlight w:val="none"/>
        </w:rPr>
        <w:t>以及</w:t>
      </w:r>
      <w:r>
        <w:rPr>
          <w:rFonts w:hint="eastAsia" w:ascii="楷体_GB2312" w:eastAsia="楷体_GB2312"/>
          <w:color w:val="000000"/>
          <w:sz w:val="24"/>
          <w:highlight w:val="none"/>
          <w:lang w:val="en-US" w:eastAsia="zh-CN"/>
        </w:rPr>
        <w:t>通过</w:t>
      </w:r>
      <w:r>
        <w:rPr>
          <w:rFonts w:ascii="楷体_GB2312" w:eastAsia="楷体_GB2312"/>
          <w:color w:val="000000"/>
          <w:sz w:val="24"/>
          <w:highlight w:val="none"/>
        </w:rPr>
        <w:t>代销机构营业网点进行查询。</w:t>
      </w:r>
    </w:p>
    <w:p>
      <w:pPr>
        <w:ind w:firstLine="470" w:firstLineChars="196"/>
        <w:outlineLvl w:val="0"/>
        <w:rPr>
          <w:rFonts w:ascii="楷体_GB2312" w:eastAsia="楷体_GB2312"/>
          <w:color w:val="000000"/>
          <w:sz w:val="24"/>
          <w:highlight w:val="none"/>
        </w:rPr>
      </w:pPr>
      <w:r>
        <w:rPr>
          <w:rFonts w:hint="eastAsia" w:ascii="楷体_GB2312" w:eastAsia="楷体_GB2312"/>
          <w:color w:val="000000"/>
          <w:sz w:val="24"/>
          <w:highlight w:val="none"/>
        </w:rPr>
        <w:t>五</w:t>
      </w:r>
      <w:r>
        <w:rPr>
          <w:rFonts w:ascii="楷体_GB2312" w:eastAsia="楷体_GB2312"/>
          <w:color w:val="000000"/>
          <w:sz w:val="24"/>
          <w:highlight w:val="none"/>
        </w:rPr>
        <w:t>、投资者投诉方式和程序</w:t>
      </w:r>
    </w:p>
    <w:p>
      <w:pPr>
        <w:ind w:firstLine="470" w:firstLineChars="196"/>
        <w:outlineLvl w:val="0"/>
        <w:rPr>
          <w:rFonts w:ascii="楷体_GB2312" w:eastAsia="楷体_GB2312"/>
          <w:color w:val="000000"/>
          <w:sz w:val="24"/>
          <w:highlight w:val="none"/>
        </w:rPr>
      </w:pPr>
      <w:r>
        <w:rPr>
          <w:rFonts w:ascii="楷体_GB2312" w:eastAsia="楷体_GB2312"/>
          <w:color w:val="000000"/>
          <w:sz w:val="24"/>
          <w:highlight w:val="none"/>
        </w:rPr>
        <w:t>投资者如对代销机构推介、销售的</w:t>
      </w:r>
      <w:r>
        <w:rPr>
          <w:rFonts w:hint="eastAsia" w:ascii="楷体_GB2312" w:eastAsia="楷体_GB2312"/>
          <w:color w:val="000000"/>
          <w:sz w:val="24"/>
          <w:highlight w:val="none"/>
          <w:lang w:eastAsia="zh-CN"/>
        </w:rPr>
        <w:t>理财</w:t>
      </w:r>
      <w:r>
        <w:rPr>
          <w:rFonts w:ascii="楷体_GB2312" w:eastAsia="楷体_GB2312"/>
          <w:color w:val="000000"/>
          <w:sz w:val="24"/>
          <w:highlight w:val="none"/>
        </w:rPr>
        <w:t>产品认为有不实或未尽风险告知职责或其它疑义事项，或需进行业务咨询和投诉时，投资者可通过拨打代销机构客户服务热线或至代销机构营业网点等方式反馈，代销机构将由专人接听、记录您的意见或建议，并由</w:t>
      </w:r>
      <w:r>
        <w:rPr>
          <w:rFonts w:hint="eastAsia" w:ascii="楷体_GB2312" w:eastAsia="楷体_GB2312"/>
          <w:color w:val="000000"/>
          <w:sz w:val="24"/>
          <w:highlight w:val="none"/>
          <w:lang w:eastAsia="zh-CN"/>
        </w:rPr>
        <w:t>产品管理人</w:t>
      </w:r>
      <w:r>
        <w:rPr>
          <w:rFonts w:ascii="楷体_GB2312" w:eastAsia="楷体_GB2312"/>
          <w:color w:val="000000"/>
          <w:sz w:val="24"/>
          <w:highlight w:val="none"/>
        </w:rPr>
        <w:t>及代销机构双方协商共同解决。</w:t>
      </w:r>
    </w:p>
    <w:p>
      <w:pPr>
        <w:ind w:firstLine="470" w:firstLineChars="196"/>
        <w:outlineLvl w:val="0"/>
        <w:rPr>
          <w:rFonts w:ascii="楷体_GB2312" w:eastAsia="楷体_GB2312"/>
          <w:color w:val="000000"/>
          <w:sz w:val="24"/>
          <w:highlight w:val="none"/>
        </w:rPr>
      </w:pPr>
      <w:r>
        <w:rPr>
          <w:rFonts w:hint="eastAsia" w:ascii="楷体_GB2312" w:eastAsia="楷体_GB2312"/>
          <w:color w:val="000000"/>
          <w:sz w:val="24"/>
          <w:highlight w:val="none"/>
        </w:rPr>
        <w:t>六</w:t>
      </w:r>
      <w:r>
        <w:rPr>
          <w:rFonts w:ascii="楷体_GB2312" w:eastAsia="楷体_GB2312"/>
          <w:color w:val="000000"/>
          <w:sz w:val="24"/>
          <w:highlight w:val="none"/>
        </w:rPr>
        <w:t>、联络方式</w:t>
      </w:r>
    </w:p>
    <w:p>
      <w:pPr>
        <w:ind w:firstLine="470" w:firstLineChars="196"/>
        <w:outlineLvl w:val="0"/>
        <w:rPr>
          <w:rFonts w:ascii="楷体_GB2312" w:eastAsia="楷体_GB2312"/>
          <w:b/>
          <w:bCs/>
          <w:color w:val="000000"/>
          <w:sz w:val="24"/>
          <w:highlight w:val="none"/>
        </w:rPr>
      </w:pPr>
      <w:r>
        <w:rPr>
          <w:rFonts w:ascii="楷体_GB2312" w:eastAsia="楷体_GB2312"/>
          <w:color w:val="000000"/>
          <w:sz w:val="24"/>
          <w:highlight w:val="none"/>
        </w:rPr>
        <w:t>（一）</w:t>
      </w:r>
      <w:r>
        <w:rPr>
          <w:rFonts w:hint="eastAsia" w:ascii="楷体_GB2312" w:eastAsia="楷体_GB2312"/>
          <w:b w:val="0"/>
          <w:bCs w:val="0"/>
          <w:color w:val="000000"/>
          <w:sz w:val="24"/>
          <w:highlight w:val="none"/>
        </w:rPr>
        <w:t>代销机构</w:t>
      </w:r>
      <w:r>
        <w:rPr>
          <w:rFonts w:ascii="楷体_GB2312" w:eastAsia="楷体_GB2312"/>
          <w:b w:val="0"/>
          <w:bCs w:val="0"/>
          <w:color w:val="000000"/>
          <w:sz w:val="24"/>
          <w:highlight w:val="none"/>
        </w:rPr>
        <w:t>的联络方式</w:t>
      </w:r>
    </w:p>
    <w:p>
      <w:pPr>
        <w:ind w:firstLine="480" w:firstLineChars="200"/>
        <w:outlineLvl w:val="0"/>
        <w:rPr>
          <w:rFonts w:hint="eastAsia" w:ascii="楷体_GB2312" w:hAnsi="宋体" w:eastAsia="楷体_GB2312" w:cs="Times New Roman"/>
          <w:color w:val="auto"/>
          <w:sz w:val="24"/>
          <w:lang w:val="en-US" w:eastAsia="zh-CN"/>
        </w:rPr>
      </w:pPr>
      <w:r>
        <w:rPr>
          <w:rFonts w:hint="eastAsia" w:ascii="楷体_GB2312" w:eastAsia="楷体_GB2312"/>
          <w:color w:val="000000"/>
          <w:sz w:val="24"/>
          <w:highlight w:val="none"/>
          <w:lang w:val="en-US" w:eastAsia="zh-CN"/>
        </w:rPr>
        <w:t>A类份额：</w:t>
      </w:r>
      <w:r>
        <w:rPr>
          <w:rFonts w:hint="eastAsia" w:ascii="楷体_GB2312" w:hAnsi="宋体" w:eastAsia="楷体_GB2312" w:cs="Times New Roman"/>
          <w:color w:val="auto"/>
          <w:sz w:val="24"/>
          <w:lang w:val="en-US" w:eastAsia="zh-CN"/>
        </w:rPr>
        <w:t>浙江龙游农村商业银行股份有限公司、浙江青田农村商业银行股份有限公司、浙江德清农村商业银行股份有限公司、浙江台州路桥农村商业银行股份有限公司、浙江龙泉农村商业银行股份有限公司、浙江绍兴瑞丰农村商业银行股份有限公司、浙江舟山普陀农村商业银行股份有限公司、浙江建德农村商业银行股份有限公司、浙江嵊州农村商业银行股份有限公司、宁波慈溪农村商业银行股份有限公司、浙江浦江农村商业银行股份有限公司、浙江平湖农村商业银行股份有限公司、杭州联合农村商业银行股份有限公司、浙江诸暨农村商业银行股份有限公司</w:t>
      </w:r>
    </w:p>
    <w:p>
      <w:pPr>
        <w:pStyle w:val="2"/>
        <w:numPr>
          <w:ilvl w:val="0"/>
          <w:numId w:val="0"/>
        </w:numPr>
        <w:ind w:leftChars="200" w:firstLine="240" w:firstLineChars="100"/>
        <w:rPr>
          <w:rFonts w:hint="eastAsia"/>
          <w:lang w:val="en-US" w:eastAsia="zh-CN"/>
        </w:rPr>
      </w:pPr>
      <w:r>
        <w:rPr>
          <w:rFonts w:hint="eastAsia" w:ascii="楷体_GB2312" w:hAnsi="宋体" w:eastAsia="楷体_GB2312" w:cs="Times New Roman"/>
          <w:color w:val="auto"/>
          <w:sz w:val="24"/>
          <w:lang w:val="en-US" w:eastAsia="zh-CN"/>
        </w:rPr>
        <w:t>客户服务热线：</w:t>
      </w:r>
      <w:r>
        <w:rPr>
          <w:rFonts w:hint="eastAsia" w:ascii="楷体_GB2312" w:eastAsia="楷体_GB2312"/>
          <w:color w:val="auto"/>
          <w:sz w:val="24"/>
          <w:highlight w:val="none"/>
        </w:rPr>
        <w:t>96596</w:t>
      </w:r>
    </w:p>
    <w:p>
      <w:pPr>
        <w:pStyle w:val="2"/>
        <w:ind w:left="0" w:leftChars="0" w:firstLine="720" w:firstLineChars="300"/>
        <w:rPr>
          <w:rFonts w:hint="eastAsia"/>
          <w:lang w:val="en-US" w:eastAsia="zh-CN"/>
        </w:rPr>
      </w:pPr>
      <w:r>
        <w:rPr>
          <w:rFonts w:ascii="楷体_GB2312" w:eastAsia="楷体_GB2312"/>
          <w:color w:val="000000"/>
          <w:sz w:val="24"/>
          <w:highlight w:val="none"/>
        </w:rPr>
        <w:t>门户网站：</w:t>
      </w:r>
      <w:r>
        <w:rPr>
          <w:rFonts w:hint="eastAsia" w:ascii="楷体_GB2312" w:eastAsia="楷体_GB2312"/>
          <w:color w:val="auto"/>
          <w:sz w:val="24"/>
          <w:highlight w:val="none"/>
        </w:rPr>
        <w:t>www.zj96596.com</w:t>
      </w:r>
    </w:p>
    <w:p>
      <w:pPr>
        <w:numPr>
          <w:ilvl w:val="0"/>
          <w:numId w:val="3"/>
        </w:numPr>
        <w:ind w:firstLine="470" w:firstLineChars="196"/>
        <w:outlineLvl w:val="0"/>
        <w:rPr>
          <w:rFonts w:ascii="楷体_GB2312" w:eastAsia="楷体_GB2312"/>
          <w:color w:val="000000"/>
          <w:sz w:val="24"/>
          <w:highlight w:val="none"/>
        </w:rPr>
      </w:pPr>
      <w:r>
        <w:rPr>
          <w:rFonts w:hint="eastAsia" w:ascii="楷体_GB2312" w:eastAsia="楷体_GB2312"/>
          <w:color w:val="000000"/>
          <w:sz w:val="24"/>
          <w:highlight w:val="none"/>
          <w:lang w:eastAsia="zh-CN"/>
        </w:rPr>
        <w:t>产品管理人</w:t>
      </w:r>
      <w:r>
        <w:rPr>
          <w:rFonts w:hint="eastAsia" w:ascii="楷体_GB2312" w:eastAsia="楷体_GB2312"/>
          <w:color w:val="000000"/>
          <w:sz w:val="24"/>
          <w:highlight w:val="none"/>
          <w:lang w:val="en-US" w:eastAsia="zh-CN"/>
        </w:rPr>
        <w:t>的</w:t>
      </w:r>
      <w:r>
        <w:rPr>
          <w:rFonts w:hint="eastAsia" w:ascii="楷体_GB2312" w:eastAsia="楷体_GB2312"/>
          <w:color w:val="000000"/>
          <w:sz w:val="24"/>
          <w:highlight w:val="none"/>
          <w:lang w:eastAsia="zh-CN"/>
        </w:rPr>
        <w:t>联络</w:t>
      </w:r>
      <w:r>
        <w:rPr>
          <w:rFonts w:ascii="楷体_GB2312" w:eastAsia="楷体_GB2312"/>
          <w:color w:val="000000"/>
          <w:sz w:val="24"/>
          <w:highlight w:val="none"/>
        </w:rPr>
        <w:t>方式</w:t>
      </w:r>
    </w:p>
    <w:p>
      <w:pPr>
        <w:numPr>
          <w:ilvl w:val="0"/>
          <w:numId w:val="0"/>
        </w:numPr>
        <w:ind w:firstLine="480" w:firstLineChars="200"/>
        <w:outlineLvl w:val="0"/>
        <w:rPr>
          <w:rFonts w:ascii="楷体_GB2312" w:eastAsia="楷体_GB2312"/>
          <w:color w:val="000000"/>
          <w:sz w:val="24"/>
        </w:rPr>
      </w:pPr>
      <w:r>
        <w:rPr>
          <w:rFonts w:hint="eastAsia" w:ascii="楷体_GB2312" w:eastAsia="楷体_GB2312"/>
          <w:color w:val="000000"/>
          <w:sz w:val="24"/>
          <w:highlight w:val="none"/>
          <w:lang w:val="en-US" w:eastAsia="zh-CN"/>
        </w:rPr>
        <w:t>北银理财通讯地址：</w:t>
      </w:r>
      <w:r>
        <w:rPr>
          <w:rFonts w:ascii="楷体_GB2312" w:eastAsia="楷体_GB2312"/>
          <w:color w:val="000000"/>
          <w:sz w:val="24"/>
          <w:highlight w:val="none"/>
        </w:rPr>
        <w:t>北京市西城区金融大街甲</w:t>
      </w:r>
      <w:r>
        <w:rPr>
          <w:rFonts w:hint="eastAsia" w:ascii="楷体_GB2312" w:eastAsia="楷体_GB2312"/>
          <w:color w:val="000000"/>
          <w:sz w:val="24"/>
          <w:highlight w:val="none"/>
        </w:rPr>
        <w:t>9号金融街中心大厦A座1</w:t>
      </w:r>
      <w:r>
        <w:rPr>
          <w:rFonts w:hint="eastAsia" w:ascii="楷体_GB2312" w:eastAsia="楷体_GB2312"/>
          <w:color w:val="000000"/>
          <w:sz w:val="24"/>
          <w:highlight w:val="none"/>
          <w:lang w:val="en-US" w:eastAsia="zh-CN"/>
        </w:rPr>
        <w:t>1</w:t>
      </w:r>
      <w:r>
        <w:rPr>
          <w:rFonts w:ascii="楷体_GB2312" w:eastAsia="楷体_GB2312"/>
          <w:color w:val="000000"/>
          <w:sz w:val="24"/>
          <w:highlight w:val="none"/>
        </w:rPr>
        <w:t>层，</w:t>
      </w:r>
      <w:r>
        <w:rPr>
          <w:rFonts w:hint="eastAsia" w:ascii="楷体_GB2312" w:eastAsia="楷体_GB2312"/>
          <w:color w:val="000000"/>
          <w:sz w:val="24"/>
          <w:highlight w:val="none"/>
        </w:rPr>
        <w:t>邮编：1</w:t>
      </w:r>
      <w:r>
        <w:rPr>
          <w:rFonts w:ascii="楷体_GB2312" w:eastAsia="楷体_GB2312"/>
          <w:color w:val="000000"/>
          <w:sz w:val="24"/>
          <w:highlight w:val="none"/>
        </w:rPr>
        <w:t>00035</w:t>
      </w:r>
    </w:p>
    <w:p>
      <w:pPr>
        <w:outlineLvl w:val="0"/>
        <w:rPr>
          <w:rFonts w:ascii="楷体_GB2312" w:eastAsia="楷体_GB2312"/>
          <w:color w:val="000000"/>
          <w:sz w:val="24"/>
        </w:rPr>
      </w:pPr>
      <w:r>
        <w:rPr>
          <w:rFonts w:hint="eastAsia" w:ascii="楷体_GB2312" w:eastAsia="楷体_GB2312"/>
          <w:color w:val="000000"/>
          <w:sz w:val="24"/>
        </w:rPr>
        <w:t>---------------------------------------------------------------------</w:t>
      </w:r>
    </w:p>
    <w:p>
      <w:pPr>
        <w:ind w:firstLine="470" w:firstLineChars="196"/>
        <w:outlineLvl w:val="0"/>
        <w:rPr>
          <w:rFonts w:ascii="楷体_GB2312" w:eastAsia="楷体_GB2312"/>
          <w:b/>
          <w:bCs/>
          <w:color w:val="000000"/>
          <w:sz w:val="24"/>
          <w:highlight w:val="none"/>
        </w:rPr>
      </w:pPr>
      <w:r>
        <w:rPr>
          <w:rFonts w:ascii="楷体_GB2312" w:eastAsia="楷体_GB2312"/>
          <w:color w:val="000000"/>
          <w:sz w:val="24"/>
          <w:highlight w:val="none"/>
        </w:rPr>
        <w:t>声明：本人/本公司（</w:t>
      </w:r>
      <w:r>
        <w:rPr>
          <w:rFonts w:hint="eastAsia" w:ascii="楷体_GB2312" w:eastAsia="楷体_GB2312"/>
          <w:color w:val="000000"/>
          <w:sz w:val="24"/>
          <w:highlight w:val="none"/>
        </w:rPr>
        <w:t>单位</w:t>
      </w:r>
      <w:r>
        <w:rPr>
          <w:rFonts w:ascii="楷体_GB2312" w:eastAsia="楷体_GB2312"/>
          <w:color w:val="000000"/>
          <w:sz w:val="24"/>
          <w:highlight w:val="none"/>
        </w:rPr>
        <w:t>）知悉</w:t>
      </w:r>
      <w:r>
        <w:rPr>
          <w:rFonts w:hint="eastAsia" w:ascii="楷体_GB2312" w:eastAsia="楷体_GB2312"/>
          <w:color w:val="000000"/>
          <w:sz w:val="24"/>
          <w:highlight w:val="none"/>
          <w:lang w:eastAsia="zh-CN"/>
        </w:rPr>
        <w:t>北银理财</w:t>
      </w:r>
      <w:r>
        <w:rPr>
          <w:rFonts w:hint="eastAsia" w:ascii="楷体_GB2312" w:eastAsia="楷体_GB2312"/>
          <w:color w:val="000000"/>
          <w:sz w:val="24"/>
          <w:highlight w:val="none"/>
          <w:lang w:val="en-US" w:eastAsia="zh-CN"/>
        </w:rPr>
        <w:t>丰收系列</w:t>
      </w:r>
      <w:r>
        <w:rPr>
          <w:rFonts w:hint="eastAsia" w:ascii="楷体_GB2312" w:eastAsia="楷体_GB2312"/>
          <w:color w:val="000000"/>
          <w:sz w:val="24"/>
          <w:highlight w:val="none"/>
          <w:lang w:eastAsia="zh-CN"/>
        </w:rPr>
        <w:t>京华远见春系列诚享</w:t>
      </w:r>
      <w:r>
        <w:rPr>
          <w:rFonts w:hint="eastAsia" w:ascii="楷体_GB2312" w:eastAsia="楷体_GB2312"/>
          <w:color w:val="000000"/>
          <w:sz w:val="24"/>
          <w:highlight w:val="none"/>
          <w:lang w:val="en-US" w:eastAsia="zh-CN"/>
        </w:rPr>
        <w:t>7</w:t>
      </w:r>
      <w:r>
        <w:rPr>
          <w:rFonts w:hint="eastAsia" w:ascii="楷体_GB2312" w:eastAsia="楷体_GB2312"/>
          <w:color w:val="000000"/>
          <w:sz w:val="24"/>
          <w:highlight w:val="none"/>
          <w:lang w:eastAsia="zh-CN"/>
        </w:rPr>
        <w:t>天持有期</w:t>
      </w:r>
      <w:r>
        <w:rPr>
          <w:rFonts w:hint="eastAsia" w:ascii="楷体_GB2312" w:eastAsia="楷体_GB2312"/>
          <w:color w:val="000000"/>
          <w:sz w:val="24"/>
          <w:highlight w:val="none"/>
          <w:lang w:val="en-US" w:eastAsia="zh-CN"/>
        </w:rPr>
        <w:t>1</w:t>
      </w:r>
      <w:r>
        <w:rPr>
          <w:rFonts w:hint="eastAsia" w:ascii="楷体_GB2312" w:eastAsia="楷体_GB2312"/>
          <w:color w:val="000000"/>
          <w:sz w:val="24"/>
          <w:highlight w:val="none"/>
          <w:lang w:eastAsia="zh-CN"/>
        </w:rPr>
        <w:t>号理财产品</w:t>
      </w:r>
      <w:r>
        <w:rPr>
          <w:rFonts w:hint="eastAsia" w:ascii="楷体_GB2312" w:eastAsia="楷体_GB2312"/>
          <w:color w:val="000000"/>
          <w:sz w:val="24"/>
          <w:highlight w:val="none"/>
          <w:lang w:val="en-US" w:eastAsia="zh-CN"/>
        </w:rPr>
        <w:t>销售文件</w:t>
      </w:r>
      <w:r>
        <w:rPr>
          <w:rFonts w:ascii="楷体_GB2312" w:eastAsia="楷体_GB2312"/>
          <w:color w:val="000000"/>
          <w:sz w:val="24"/>
          <w:highlight w:val="none"/>
        </w:rPr>
        <w:t>由本</w:t>
      </w:r>
      <w:r>
        <w:rPr>
          <w:rFonts w:hint="eastAsia" w:ascii="楷体_GB2312" w:eastAsia="楷体_GB2312"/>
          <w:color w:val="000000"/>
          <w:sz w:val="24"/>
          <w:highlight w:val="none"/>
          <w:lang w:val="en-US" w:eastAsia="zh-CN"/>
        </w:rPr>
        <w:t>理财</w:t>
      </w:r>
      <w:r>
        <w:rPr>
          <w:rFonts w:ascii="楷体_GB2312" w:eastAsia="楷体_GB2312"/>
          <w:color w:val="000000"/>
          <w:sz w:val="24"/>
          <w:highlight w:val="none"/>
        </w:rPr>
        <w:t>产品对应的</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w:t>
      </w:r>
      <w:r>
        <w:rPr>
          <w:rFonts w:hint="eastAsia" w:ascii="楷体_GB2312" w:hAnsi="楷体" w:eastAsia="楷体_GB2312"/>
          <w:sz w:val="24"/>
          <w:highlight w:val="none"/>
          <w:lang w:eastAsia="zh-CN"/>
        </w:rPr>
        <w:t>《理财产品投资协议书》、《理财产品说明书》、</w:t>
      </w:r>
      <w:r>
        <w:rPr>
          <w:rFonts w:ascii="楷体_GB2312" w:eastAsia="楷体_GB2312"/>
          <w:color w:val="000000"/>
          <w:sz w:val="24"/>
          <w:highlight w:val="none"/>
        </w:rPr>
        <w:t>《投资者权益须知》</w:t>
      </w:r>
      <w:r>
        <w:rPr>
          <w:rFonts w:hint="eastAsia" w:ascii="楷体_GB2312" w:hAnsi="楷体" w:eastAsia="楷体_GB2312"/>
          <w:sz w:val="24"/>
          <w:highlight w:val="none"/>
          <w:lang w:val="en-US" w:eastAsia="zh-CN"/>
        </w:rPr>
        <w:t>和</w:t>
      </w:r>
      <w:r>
        <w:rPr>
          <w:rFonts w:hint="eastAsia" w:ascii="楷体_GB2312" w:hAnsi="楷体" w:eastAsia="楷体_GB2312"/>
          <w:b w:val="0"/>
          <w:bCs w:val="0"/>
          <w:sz w:val="24"/>
          <w:szCs w:val="24"/>
          <w:highlight w:val="none"/>
          <w:lang w:val="en-US" w:eastAsia="zh-CN"/>
        </w:rPr>
        <w:t>《代理销售</w:t>
      </w:r>
      <w:r>
        <w:rPr>
          <w:rFonts w:hint="eastAsia" w:ascii="楷体_GB2312" w:hAnsi="楷体" w:eastAsia="楷体_GB2312"/>
          <w:b w:val="0"/>
          <w:bCs w:val="0"/>
          <w:sz w:val="24"/>
          <w:highlight w:val="none"/>
        </w:rPr>
        <w:t>协议书</w:t>
      </w:r>
      <w:r>
        <w:rPr>
          <w:rFonts w:hint="eastAsia" w:ascii="楷体_GB2312" w:hAnsi="楷体" w:eastAsia="楷体_GB2312"/>
          <w:b w:val="0"/>
          <w:bCs w:val="0"/>
          <w:sz w:val="24"/>
          <w:highlight w:val="none"/>
          <w:lang w:eastAsia="zh-CN"/>
        </w:rPr>
        <w:t>》</w:t>
      </w:r>
      <w:r>
        <w:rPr>
          <w:rFonts w:hint="eastAsia" w:ascii="楷体_GB2312" w:hAnsi="楷体" w:eastAsia="楷体_GB2312"/>
          <w:b w:val="0"/>
          <w:bCs/>
          <w:sz w:val="24"/>
          <w:highlight w:val="none"/>
          <w:lang w:eastAsia="zh-CN"/>
        </w:rPr>
        <w:t>（</w:t>
      </w:r>
      <w:r>
        <w:rPr>
          <w:rFonts w:hint="eastAsia" w:ascii="楷体_GB2312" w:hAnsi="楷体" w:eastAsia="楷体_GB2312"/>
          <w:b w:val="0"/>
          <w:bCs/>
          <w:sz w:val="24"/>
          <w:highlight w:val="none"/>
          <w:lang w:val="en-US" w:eastAsia="zh-CN"/>
        </w:rPr>
        <w:t>具体名称以代销机构为准</w:t>
      </w:r>
      <w:r>
        <w:rPr>
          <w:rFonts w:hint="eastAsia" w:ascii="楷体_GB2312" w:hAnsi="楷体" w:eastAsia="楷体_GB2312"/>
          <w:b w:val="0"/>
          <w:bCs/>
          <w:sz w:val="24"/>
          <w:highlight w:val="none"/>
          <w:lang w:eastAsia="zh-CN"/>
        </w:rPr>
        <w:t>）</w:t>
      </w:r>
      <w:r>
        <w:rPr>
          <w:rFonts w:ascii="楷体_GB2312" w:eastAsia="楷体_GB2312"/>
          <w:color w:val="000000"/>
          <w:sz w:val="24"/>
          <w:highlight w:val="none"/>
        </w:rPr>
        <w:t>共同组成，</w:t>
      </w:r>
      <w:r>
        <w:rPr>
          <w:rFonts w:ascii="楷体_GB2312" w:eastAsia="楷体_GB2312"/>
          <w:b/>
          <w:bCs/>
          <w:color w:val="000000"/>
          <w:sz w:val="24"/>
          <w:highlight w:val="none"/>
        </w:rPr>
        <w:t>本人/本公司（</w:t>
      </w:r>
      <w:r>
        <w:rPr>
          <w:rFonts w:hint="eastAsia" w:ascii="楷体_GB2312" w:eastAsia="楷体_GB2312"/>
          <w:b/>
          <w:bCs/>
          <w:color w:val="000000"/>
          <w:sz w:val="24"/>
          <w:highlight w:val="none"/>
        </w:rPr>
        <w:t>单位</w:t>
      </w:r>
      <w:r>
        <w:rPr>
          <w:rFonts w:ascii="楷体_GB2312" w:eastAsia="楷体_GB2312"/>
          <w:b/>
          <w:bCs/>
          <w:color w:val="000000"/>
          <w:sz w:val="24"/>
          <w:highlight w:val="none"/>
        </w:rPr>
        <w:t>）确认已经收到本</w:t>
      </w:r>
      <w:r>
        <w:rPr>
          <w:rFonts w:hint="eastAsia" w:ascii="楷体_GB2312" w:eastAsia="楷体_GB2312"/>
          <w:b/>
          <w:bCs/>
          <w:color w:val="000000"/>
          <w:sz w:val="24"/>
          <w:highlight w:val="none"/>
        </w:rPr>
        <w:t>理财产品销售文件</w:t>
      </w:r>
      <w:r>
        <w:rPr>
          <w:rFonts w:ascii="楷体_GB2312" w:eastAsia="楷体_GB2312"/>
          <w:b/>
          <w:bCs/>
          <w:color w:val="000000"/>
          <w:sz w:val="24"/>
          <w:highlight w:val="none"/>
        </w:rPr>
        <w:t>，且已经认真阅读、理解并接受该</w:t>
      </w:r>
      <w:r>
        <w:rPr>
          <w:rFonts w:hint="eastAsia" w:ascii="楷体_GB2312" w:eastAsia="楷体_GB2312"/>
          <w:b/>
          <w:bCs/>
          <w:color w:val="000000"/>
          <w:sz w:val="24"/>
          <w:highlight w:val="none"/>
        </w:rPr>
        <w:t>理财产品销售文件</w:t>
      </w:r>
      <w:r>
        <w:rPr>
          <w:rFonts w:ascii="楷体_GB2312" w:eastAsia="楷体_GB2312"/>
          <w:b/>
          <w:bCs/>
          <w:color w:val="000000"/>
          <w:sz w:val="24"/>
          <w:highlight w:val="none"/>
        </w:rPr>
        <w:t>的所有条款及相关法律规定，确认已经获得满意的信息披露，理解</w:t>
      </w:r>
      <w:r>
        <w:rPr>
          <w:rFonts w:hint="eastAsia" w:ascii="楷体_GB2312" w:eastAsia="楷体_GB2312"/>
          <w:b/>
          <w:bCs/>
          <w:color w:val="000000"/>
          <w:sz w:val="24"/>
          <w:highlight w:val="none"/>
          <w:lang w:val="en-US" w:eastAsia="zh-CN"/>
        </w:rPr>
        <w:t>本理财产品</w:t>
      </w:r>
      <w:r>
        <w:rPr>
          <w:rFonts w:ascii="楷体_GB2312" w:eastAsia="楷体_GB2312"/>
          <w:b/>
          <w:bCs/>
          <w:color w:val="000000"/>
          <w:sz w:val="24"/>
          <w:highlight w:val="none"/>
        </w:rPr>
        <w:t>的性质、风险及可能的损失，并愿意承担且有能力承担该等风险。</w:t>
      </w:r>
    </w:p>
    <w:p>
      <w:pPr>
        <w:ind w:right="840" w:firstLine="4668" w:firstLineChars="1945"/>
        <w:outlineLvl w:val="0"/>
        <w:rPr>
          <w:rFonts w:ascii="楷体_GB2312" w:eastAsia="楷体_GB2312"/>
          <w:color w:val="000000"/>
          <w:sz w:val="24"/>
          <w:highlight w:val="none"/>
        </w:rPr>
      </w:pPr>
      <w:r>
        <w:rPr>
          <w:rFonts w:ascii="楷体_GB2312" w:eastAsia="楷体_GB2312"/>
          <w:color w:val="000000"/>
          <w:sz w:val="24"/>
          <w:highlight w:val="none"/>
        </w:rPr>
        <w:t>个人投资者签名：</w:t>
      </w:r>
    </w:p>
    <w:p>
      <w:pPr>
        <w:ind w:right="480" w:firstLine="5870" w:firstLineChars="2446"/>
        <w:outlineLvl w:val="0"/>
      </w:pPr>
      <w:r>
        <w:rPr>
          <w:rFonts w:ascii="楷体_GB2312" w:eastAsia="楷体_GB2312"/>
          <w:color w:val="000000"/>
          <w:sz w:val="24"/>
          <w:highlight w:val="none"/>
        </w:rPr>
        <w:t>日期：</w:t>
      </w:r>
    </w:p>
    <w:p>
      <w:pPr>
        <w:ind w:right="480" w:firstLine="5870" w:firstLineChars="2446"/>
        <w:outlineLvl w:val="0"/>
        <w:rPr>
          <w:rFonts w:ascii="楷体_GB2312" w:eastAsia="楷体_GB2312"/>
          <w:color w:val="000000"/>
          <w:sz w:val="24"/>
          <w:highlight w:val="none"/>
        </w:rPr>
      </w:pPr>
    </w:p>
    <w:p>
      <w:pPr>
        <w:pStyle w:val="2"/>
      </w:pPr>
    </w:p>
    <w:p>
      <w:pPr>
        <w:pStyle w:val="31"/>
        <w:ind w:right="1680"/>
        <w:jc w:val="right"/>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机构投资者（盖章）：</w:t>
      </w:r>
    </w:p>
    <w:p>
      <w:pPr>
        <w:pStyle w:val="31"/>
        <w:ind w:right="480"/>
        <w:jc w:val="center"/>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机构投资者法定代表人或授权代表（签名或盖章）：</w:t>
      </w:r>
    </w:p>
    <w:p>
      <w:pPr>
        <w:pStyle w:val="31"/>
        <w:ind w:right="480" w:firstLine="5880" w:firstLineChars="2450"/>
        <w:rPr>
          <w:rFonts w:ascii="楷体_GB2312" w:hAnsi="楷体" w:eastAsia="楷体_GB2312"/>
        </w:rPr>
      </w:pPr>
      <w:r>
        <w:rPr>
          <w:rFonts w:hint="eastAsia" w:ascii="楷体_GB2312" w:hAnsi="楷体" w:eastAsia="楷体_GB2312" w:cs="Times New Roman"/>
          <w:color w:val="auto"/>
          <w:kern w:val="2"/>
          <w:highlight w:val="none"/>
        </w:rPr>
        <w:t>日期：</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3877"/>
    </w:sdtPr>
    <w:sdtContent>
      <w:sdt>
        <w:sdtPr>
          <w:id w:val="171357217"/>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12"/>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u w:val="single"/>
      </w:rPr>
    </w:pPr>
    <w:r>
      <w:rPr>
        <w:rFonts w:hint="eastAsia" w:ascii="黑体" w:hAnsi="黑体" w:eastAsia="黑体"/>
        <w:b/>
      </w:rPr>
      <w:t>北银理财·京华远见</w:t>
    </w:r>
    <w:r>
      <w:rPr>
        <w:rFonts w:hint="eastAsia" w:ascii="黑体" w:hAnsi="黑体" w:eastAsia="黑体"/>
        <w:b/>
        <w:lang w:val="en-US" w:eastAsia="zh-CN"/>
      </w:rPr>
      <w:t>春系列诚享</w:t>
    </w:r>
    <w:r>
      <w:rPr>
        <w:rFonts w:hint="eastAsia" w:ascii="黑体" w:hAnsi="黑体" w:eastAsia="黑体"/>
        <w:b/>
      </w:rPr>
      <w:t xml:space="preserve">持有期      </w:t>
    </w:r>
    <w:r>
      <w:rPr>
        <w:rFonts w:hint="eastAsia" w:ascii="黑体" w:hAnsi="黑体" w:eastAsia="黑体"/>
        <w:b/>
        <w:sz w:val="24"/>
        <w:szCs w:val="32"/>
      </w:rPr>
      <w:t>理财非存款，产品有风险，投资须谨慎！</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C491D"/>
    <w:multiLevelType w:val="singleLevel"/>
    <w:tmpl w:val="376C491D"/>
    <w:lvl w:ilvl="0" w:tentative="0">
      <w:start w:val="2"/>
      <w:numFmt w:val="chineseCounting"/>
      <w:suff w:val="nothing"/>
      <w:lvlText w:val="（%1）"/>
      <w:lvlJc w:val="left"/>
      <w:rPr>
        <w:rFonts w:hint="eastAsia"/>
      </w:rPr>
    </w:lvl>
  </w:abstractNum>
  <w:abstractNum w:abstractNumId="1">
    <w:nsid w:val="64CA4909"/>
    <w:multiLevelType w:val="singleLevel"/>
    <w:tmpl w:val="64CA4909"/>
    <w:lvl w:ilvl="0" w:tentative="0">
      <w:start w:val="4"/>
      <w:numFmt w:val="chineseCounting"/>
      <w:suff w:val="nothing"/>
      <w:lvlText w:val="（%1）"/>
      <w:lvlJc w:val="left"/>
    </w:lvl>
  </w:abstractNum>
  <w:abstractNum w:abstractNumId="2">
    <w:nsid w:val="64F6A695"/>
    <w:multiLevelType w:val="singleLevel"/>
    <w:tmpl w:val="64F6A695"/>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A65"/>
    <w:rsid w:val="0001130F"/>
    <w:rsid w:val="00023027"/>
    <w:rsid w:val="00023624"/>
    <w:rsid w:val="00023E25"/>
    <w:rsid w:val="00031959"/>
    <w:rsid w:val="0004142F"/>
    <w:rsid w:val="00042AB1"/>
    <w:rsid w:val="00073152"/>
    <w:rsid w:val="00075959"/>
    <w:rsid w:val="000927EA"/>
    <w:rsid w:val="000A6512"/>
    <w:rsid w:val="000B06F2"/>
    <w:rsid w:val="000B4AAB"/>
    <w:rsid w:val="000B4F4A"/>
    <w:rsid w:val="000E1184"/>
    <w:rsid w:val="000F1B5E"/>
    <w:rsid w:val="0010341C"/>
    <w:rsid w:val="00114FA2"/>
    <w:rsid w:val="00127573"/>
    <w:rsid w:val="00133A37"/>
    <w:rsid w:val="0013433A"/>
    <w:rsid w:val="00135BA4"/>
    <w:rsid w:val="00136EE0"/>
    <w:rsid w:val="00140605"/>
    <w:rsid w:val="0014653B"/>
    <w:rsid w:val="0016438C"/>
    <w:rsid w:val="001A19A8"/>
    <w:rsid w:val="001A1AF2"/>
    <w:rsid w:val="001A4AA4"/>
    <w:rsid w:val="001D2398"/>
    <w:rsid w:val="001D298D"/>
    <w:rsid w:val="001D6E08"/>
    <w:rsid w:val="001E4E0A"/>
    <w:rsid w:val="002108E2"/>
    <w:rsid w:val="0021550A"/>
    <w:rsid w:val="00216360"/>
    <w:rsid w:val="00235432"/>
    <w:rsid w:val="0023619B"/>
    <w:rsid w:val="00240AB8"/>
    <w:rsid w:val="00251C33"/>
    <w:rsid w:val="00265479"/>
    <w:rsid w:val="002A495F"/>
    <w:rsid w:val="002B4144"/>
    <w:rsid w:val="002B4FF6"/>
    <w:rsid w:val="002C6A5C"/>
    <w:rsid w:val="002D1A2E"/>
    <w:rsid w:val="002D5B8E"/>
    <w:rsid w:val="002F3E26"/>
    <w:rsid w:val="00300B76"/>
    <w:rsid w:val="00301B4C"/>
    <w:rsid w:val="00304018"/>
    <w:rsid w:val="00306DF0"/>
    <w:rsid w:val="00311054"/>
    <w:rsid w:val="00312DEE"/>
    <w:rsid w:val="00312FBA"/>
    <w:rsid w:val="0031305A"/>
    <w:rsid w:val="00314971"/>
    <w:rsid w:val="00316E6E"/>
    <w:rsid w:val="00346B0F"/>
    <w:rsid w:val="00354BD8"/>
    <w:rsid w:val="00365415"/>
    <w:rsid w:val="00367620"/>
    <w:rsid w:val="00370C09"/>
    <w:rsid w:val="00383602"/>
    <w:rsid w:val="00383738"/>
    <w:rsid w:val="0038646E"/>
    <w:rsid w:val="0039453C"/>
    <w:rsid w:val="00395CDA"/>
    <w:rsid w:val="003B62AA"/>
    <w:rsid w:val="003D08CE"/>
    <w:rsid w:val="003D5C4E"/>
    <w:rsid w:val="003E35AE"/>
    <w:rsid w:val="0040047D"/>
    <w:rsid w:val="00402C91"/>
    <w:rsid w:val="00407BFC"/>
    <w:rsid w:val="00413047"/>
    <w:rsid w:val="00417689"/>
    <w:rsid w:val="0041771D"/>
    <w:rsid w:val="00436F86"/>
    <w:rsid w:val="004568C0"/>
    <w:rsid w:val="00463041"/>
    <w:rsid w:val="004635B0"/>
    <w:rsid w:val="0047342B"/>
    <w:rsid w:val="0047354A"/>
    <w:rsid w:val="0047635F"/>
    <w:rsid w:val="00480F5E"/>
    <w:rsid w:val="004918CA"/>
    <w:rsid w:val="00491F21"/>
    <w:rsid w:val="00493993"/>
    <w:rsid w:val="004967C7"/>
    <w:rsid w:val="004A19BD"/>
    <w:rsid w:val="004A7006"/>
    <w:rsid w:val="004C3397"/>
    <w:rsid w:val="004D17AB"/>
    <w:rsid w:val="004E1624"/>
    <w:rsid w:val="004E4340"/>
    <w:rsid w:val="004F098A"/>
    <w:rsid w:val="004F1F50"/>
    <w:rsid w:val="005002F1"/>
    <w:rsid w:val="005132A5"/>
    <w:rsid w:val="00516B28"/>
    <w:rsid w:val="00517AD7"/>
    <w:rsid w:val="00520D2F"/>
    <w:rsid w:val="00530E7E"/>
    <w:rsid w:val="00537946"/>
    <w:rsid w:val="00546347"/>
    <w:rsid w:val="0056230B"/>
    <w:rsid w:val="00562769"/>
    <w:rsid w:val="005837A2"/>
    <w:rsid w:val="00583A81"/>
    <w:rsid w:val="005A2C68"/>
    <w:rsid w:val="005B2D06"/>
    <w:rsid w:val="005C004E"/>
    <w:rsid w:val="005C21F3"/>
    <w:rsid w:val="005C460A"/>
    <w:rsid w:val="005D4317"/>
    <w:rsid w:val="005D6C65"/>
    <w:rsid w:val="005E0942"/>
    <w:rsid w:val="005E25BF"/>
    <w:rsid w:val="005F24B4"/>
    <w:rsid w:val="005F586A"/>
    <w:rsid w:val="00613C69"/>
    <w:rsid w:val="006214FF"/>
    <w:rsid w:val="00642C17"/>
    <w:rsid w:val="00643A8B"/>
    <w:rsid w:val="0064575E"/>
    <w:rsid w:val="00651CC1"/>
    <w:rsid w:val="00660403"/>
    <w:rsid w:val="00661AF1"/>
    <w:rsid w:val="00662142"/>
    <w:rsid w:val="00666B61"/>
    <w:rsid w:val="006732E2"/>
    <w:rsid w:val="006772DB"/>
    <w:rsid w:val="006818F7"/>
    <w:rsid w:val="0068343D"/>
    <w:rsid w:val="006A29F2"/>
    <w:rsid w:val="006A6A7E"/>
    <w:rsid w:val="006B218B"/>
    <w:rsid w:val="006B5AA6"/>
    <w:rsid w:val="006B7B80"/>
    <w:rsid w:val="006D105A"/>
    <w:rsid w:val="006D5AAE"/>
    <w:rsid w:val="006D6E4E"/>
    <w:rsid w:val="006E4400"/>
    <w:rsid w:val="006F7466"/>
    <w:rsid w:val="007042CA"/>
    <w:rsid w:val="007076AB"/>
    <w:rsid w:val="00714088"/>
    <w:rsid w:val="007156F1"/>
    <w:rsid w:val="0072662A"/>
    <w:rsid w:val="00730D15"/>
    <w:rsid w:val="007326F9"/>
    <w:rsid w:val="00737904"/>
    <w:rsid w:val="00742805"/>
    <w:rsid w:val="007449E2"/>
    <w:rsid w:val="00751EF9"/>
    <w:rsid w:val="00764E4A"/>
    <w:rsid w:val="00771F9A"/>
    <w:rsid w:val="007758DF"/>
    <w:rsid w:val="00785E98"/>
    <w:rsid w:val="0079317D"/>
    <w:rsid w:val="007B1BB4"/>
    <w:rsid w:val="007C57DF"/>
    <w:rsid w:val="007D5C91"/>
    <w:rsid w:val="007E7F92"/>
    <w:rsid w:val="007F4838"/>
    <w:rsid w:val="008007B8"/>
    <w:rsid w:val="00804CF5"/>
    <w:rsid w:val="00817013"/>
    <w:rsid w:val="008304FE"/>
    <w:rsid w:val="0083501E"/>
    <w:rsid w:val="008407B3"/>
    <w:rsid w:val="00841AE4"/>
    <w:rsid w:val="0085183C"/>
    <w:rsid w:val="0086543F"/>
    <w:rsid w:val="00867416"/>
    <w:rsid w:val="0086797D"/>
    <w:rsid w:val="00886947"/>
    <w:rsid w:val="00886B4B"/>
    <w:rsid w:val="00887ECE"/>
    <w:rsid w:val="00890461"/>
    <w:rsid w:val="008A24E0"/>
    <w:rsid w:val="008A3465"/>
    <w:rsid w:val="008A402A"/>
    <w:rsid w:val="008A4FEB"/>
    <w:rsid w:val="008C345E"/>
    <w:rsid w:val="008D4619"/>
    <w:rsid w:val="008F4FFE"/>
    <w:rsid w:val="00904CBF"/>
    <w:rsid w:val="00905A53"/>
    <w:rsid w:val="00905C80"/>
    <w:rsid w:val="009210EF"/>
    <w:rsid w:val="00922C2C"/>
    <w:rsid w:val="00954C27"/>
    <w:rsid w:val="009655CF"/>
    <w:rsid w:val="00976980"/>
    <w:rsid w:val="00980936"/>
    <w:rsid w:val="009842AA"/>
    <w:rsid w:val="00992AA6"/>
    <w:rsid w:val="009963DD"/>
    <w:rsid w:val="009A0DE1"/>
    <w:rsid w:val="009C743C"/>
    <w:rsid w:val="00A038AD"/>
    <w:rsid w:val="00A135BD"/>
    <w:rsid w:val="00A13F5F"/>
    <w:rsid w:val="00A151D8"/>
    <w:rsid w:val="00A172CA"/>
    <w:rsid w:val="00A20990"/>
    <w:rsid w:val="00A2116A"/>
    <w:rsid w:val="00A241C7"/>
    <w:rsid w:val="00A367FB"/>
    <w:rsid w:val="00A373A1"/>
    <w:rsid w:val="00A4170F"/>
    <w:rsid w:val="00A459AA"/>
    <w:rsid w:val="00A46F50"/>
    <w:rsid w:val="00A51270"/>
    <w:rsid w:val="00A52DF4"/>
    <w:rsid w:val="00A54C05"/>
    <w:rsid w:val="00A72E56"/>
    <w:rsid w:val="00A91EE4"/>
    <w:rsid w:val="00A9221B"/>
    <w:rsid w:val="00A95A3E"/>
    <w:rsid w:val="00AA1629"/>
    <w:rsid w:val="00AA6C1B"/>
    <w:rsid w:val="00AB4F9B"/>
    <w:rsid w:val="00AC773E"/>
    <w:rsid w:val="00AD5617"/>
    <w:rsid w:val="00AD619A"/>
    <w:rsid w:val="00B0445A"/>
    <w:rsid w:val="00B04631"/>
    <w:rsid w:val="00B06084"/>
    <w:rsid w:val="00B35CAA"/>
    <w:rsid w:val="00B47D72"/>
    <w:rsid w:val="00B52BA3"/>
    <w:rsid w:val="00B535BC"/>
    <w:rsid w:val="00B6532C"/>
    <w:rsid w:val="00B76749"/>
    <w:rsid w:val="00B93B6A"/>
    <w:rsid w:val="00BA0A18"/>
    <w:rsid w:val="00BA6061"/>
    <w:rsid w:val="00BB0A85"/>
    <w:rsid w:val="00BB34B4"/>
    <w:rsid w:val="00BB6E39"/>
    <w:rsid w:val="00BB6F2B"/>
    <w:rsid w:val="00BC7957"/>
    <w:rsid w:val="00BF4171"/>
    <w:rsid w:val="00BF7A7C"/>
    <w:rsid w:val="00C02489"/>
    <w:rsid w:val="00C12C47"/>
    <w:rsid w:val="00C138D1"/>
    <w:rsid w:val="00C173B0"/>
    <w:rsid w:val="00C2692B"/>
    <w:rsid w:val="00C27F49"/>
    <w:rsid w:val="00C43892"/>
    <w:rsid w:val="00C448C8"/>
    <w:rsid w:val="00C451F7"/>
    <w:rsid w:val="00C52634"/>
    <w:rsid w:val="00C64B32"/>
    <w:rsid w:val="00C64F34"/>
    <w:rsid w:val="00C708A7"/>
    <w:rsid w:val="00C76286"/>
    <w:rsid w:val="00C7668C"/>
    <w:rsid w:val="00C816AD"/>
    <w:rsid w:val="00C96F19"/>
    <w:rsid w:val="00CB0B96"/>
    <w:rsid w:val="00CD1DD1"/>
    <w:rsid w:val="00CE0A91"/>
    <w:rsid w:val="00CF62F3"/>
    <w:rsid w:val="00CF6E3A"/>
    <w:rsid w:val="00CF7E1D"/>
    <w:rsid w:val="00D01A6B"/>
    <w:rsid w:val="00D171E4"/>
    <w:rsid w:val="00D26758"/>
    <w:rsid w:val="00D338B6"/>
    <w:rsid w:val="00D5110D"/>
    <w:rsid w:val="00D708E7"/>
    <w:rsid w:val="00D710D9"/>
    <w:rsid w:val="00D870C8"/>
    <w:rsid w:val="00DA0167"/>
    <w:rsid w:val="00DD33B7"/>
    <w:rsid w:val="00DD5596"/>
    <w:rsid w:val="00DE01E8"/>
    <w:rsid w:val="00DE2FA6"/>
    <w:rsid w:val="00DE6793"/>
    <w:rsid w:val="00DF2EB8"/>
    <w:rsid w:val="00DF7384"/>
    <w:rsid w:val="00E3462F"/>
    <w:rsid w:val="00E400F5"/>
    <w:rsid w:val="00E422E0"/>
    <w:rsid w:val="00E61B7C"/>
    <w:rsid w:val="00E64230"/>
    <w:rsid w:val="00E7504C"/>
    <w:rsid w:val="00E7566B"/>
    <w:rsid w:val="00E942AD"/>
    <w:rsid w:val="00E952E0"/>
    <w:rsid w:val="00E97BCC"/>
    <w:rsid w:val="00EA0FD4"/>
    <w:rsid w:val="00EA2AD4"/>
    <w:rsid w:val="00EB5E71"/>
    <w:rsid w:val="00EB7005"/>
    <w:rsid w:val="00EC055B"/>
    <w:rsid w:val="00ED2FC8"/>
    <w:rsid w:val="00EE18EB"/>
    <w:rsid w:val="00EE51C9"/>
    <w:rsid w:val="00EF6EAF"/>
    <w:rsid w:val="00F00CDC"/>
    <w:rsid w:val="00F05DCE"/>
    <w:rsid w:val="00F24F48"/>
    <w:rsid w:val="00F36736"/>
    <w:rsid w:val="00F37052"/>
    <w:rsid w:val="00F42817"/>
    <w:rsid w:val="00F43D36"/>
    <w:rsid w:val="00F4490E"/>
    <w:rsid w:val="00F47DEE"/>
    <w:rsid w:val="00F510F3"/>
    <w:rsid w:val="00F52590"/>
    <w:rsid w:val="00F82D20"/>
    <w:rsid w:val="00F92BA9"/>
    <w:rsid w:val="00FA2A28"/>
    <w:rsid w:val="00FA74DF"/>
    <w:rsid w:val="00FB0648"/>
    <w:rsid w:val="00FC114A"/>
    <w:rsid w:val="00FC1917"/>
    <w:rsid w:val="00FC2733"/>
    <w:rsid w:val="00FC36E0"/>
    <w:rsid w:val="00FC4E48"/>
    <w:rsid w:val="00FC796E"/>
    <w:rsid w:val="00FD02F6"/>
    <w:rsid w:val="00FD2F6B"/>
    <w:rsid w:val="00FD5F1B"/>
    <w:rsid w:val="00FD61D0"/>
    <w:rsid w:val="00FE1DB6"/>
    <w:rsid w:val="00FF1667"/>
    <w:rsid w:val="0106671B"/>
    <w:rsid w:val="01374E54"/>
    <w:rsid w:val="013B4944"/>
    <w:rsid w:val="01F66A58"/>
    <w:rsid w:val="021F2974"/>
    <w:rsid w:val="028D1981"/>
    <w:rsid w:val="0370113C"/>
    <w:rsid w:val="042D3AC1"/>
    <w:rsid w:val="044D11B2"/>
    <w:rsid w:val="04A80419"/>
    <w:rsid w:val="0504144A"/>
    <w:rsid w:val="05BF5990"/>
    <w:rsid w:val="05F01773"/>
    <w:rsid w:val="0714394A"/>
    <w:rsid w:val="07507D94"/>
    <w:rsid w:val="07832498"/>
    <w:rsid w:val="088F4C22"/>
    <w:rsid w:val="0A1C34D3"/>
    <w:rsid w:val="0A7C6626"/>
    <w:rsid w:val="0A7E5B69"/>
    <w:rsid w:val="0A8B01B5"/>
    <w:rsid w:val="0AE700DE"/>
    <w:rsid w:val="0B7B363D"/>
    <w:rsid w:val="0BD65D63"/>
    <w:rsid w:val="0C133D3E"/>
    <w:rsid w:val="0CDD0B3C"/>
    <w:rsid w:val="0E826D80"/>
    <w:rsid w:val="0FD74B35"/>
    <w:rsid w:val="11B521C9"/>
    <w:rsid w:val="126B4A74"/>
    <w:rsid w:val="12890F5D"/>
    <w:rsid w:val="129F7B9C"/>
    <w:rsid w:val="12F627A9"/>
    <w:rsid w:val="133F1E85"/>
    <w:rsid w:val="1380270E"/>
    <w:rsid w:val="1421301B"/>
    <w:rsid w:val="144058DE"/>
    <w:rsid w:val="14707AFE"/>
    <w:rsid w:val="1628152E"/>
    <w:rsid w:val="162B35F7"/>
    <w:rsid w:val="163E130D"/>
    <w:rsid w:val="16507D3B"/>
    <w:rsid w:val="179429FE"/>
    <w:rsid w:val="17E21276"/>
    <w:rsid w:val="18311E7D"/>
    <w:rsid w:val="197F6915"/>
    <w:rsid w:val="198F2EA3"/>
    <w:rsid w:val="19DA32F5"/>
    <w:rsid w:val="1AEC1938"/>
    <w:rsid w:val="1BC340CB"/>
    <w:rsid w:val="1BE40BE2"/>
    <w:rsid w:val="1D207C54"/>
    <w:rsid w:val="1D343F1A"/>
    <w:rsid w:val="1E254D87"/>
    <w:rsid w:val="1EFB696C"/>
    <w:rsid w:val="1F966CEF"/>
    <w:rsid w:val="2136164D"/>
    <w:rsid w:val="214B6046"/>
    <w:rsid w:val="21902C1B"/>
    <w:rsid w:val="21953B77"/>
    <w:rsid w:val="22562E4A"/>
    <w:rsid w:val="22EC1FB8"/>
    <w:rsid w:val="231C32E1"/>
    <w:rsid w:val="23A91789"/>
    <w:rsid w:val="24DC18C6"/>
    <w:rsid w:val="25BF65EA"/>
    <w:rsid w:val="262B1925"/>
    <w:rsid w:val="283D4410"/>
    <w:rsid w:val="286E581F"/>
    <w:rsid w:val="28A51477"/>
    <w:rsid w:val="28B362F0"/>
    <w:rsid w:val="28CB790F"/>
    <w:rsid w:val="29930B4A"/>
    <w:rsid w:val="29D9624E"/>
    <w:rsid w:val="2A560E0F"/>
    <w:rsid w:val="2A71773B"/>
    <w:rsid w:val="2A845844"/>
    <w:rsid w:val="2B751FAB"/>
    <w:rsid w:val="2BA77503"/>
    <w:rsid w:val="2C294243"/>
    <w:rsid w:val="2C3976D2"/>
    <w:rsid w:val="2C41491A"/>
    <w:rsid w:val="2C891B68"/>
    <w:rsid w:val="2D773D38"/>
    <w:rsid w:val="2DB6549B"/>
    <w:rsid w:val="2E20794F"/>
    <w:rsid w:val="2F261F74"/>
    <w:rsid w:val="2F581BE0"/>
    <w:rsid w:val="30700688"/>
    <w:rsid w:val="31200B1F"/>
    <w:rsid w:val="31207139"/>
    <w:rsid w:val="31935B34"/>
    <w:rsid w:val="319E75B6"/>
    <w:rsid w:val="31FA58B6"/>
    <w:rsid w:val="32374347"/>
    <w:rsid w:val="323C077E"/>
    <w:rsid w:val="35A20C08"/>
    <w:rsid w:val="35CF32C4"/>
    <w:rsid w:val="37CD5327"/>
    <w:rsid w:val="3826648A"/>
    <w:rsid w:val="385A298F"/>
    <w:rsid w:val="38830A0F"/>
    <w:rsid w:val="389C1598"/>
    <w:rsid w:val="391753D8"/>
    <w:rsid w:val="398163A9"/>
    <w:rsid w:val="3A422681"/>
    <w:rsid w:val="3A6E3B4F"/>
    <w:rsid w:val="3A8D500B"/>
    <w:rsid w:val="3ABB2901"/>
    <w:rsid w:val="3B612EFA"/>
    <w:rsid w:val="3BA85FA7"/>
    <w:rsid w:val="3C177EDB"/>
    <w:rsid w:val="3C2C38C7"/>
    <w:rsid w:val="3D2B63EB"/>
    <w:rsid w:val="3E187666"/>
    <w:rsid w:val="3F422B55"/>
    <w:rsid w:val="3F4C446F"/>
    <w:rsid w:val="3FA11997"/>
    <w:rsid w:val="40B04D17"/>
    <w:rsid w:val="413C17C4"/>
    <w:rsid w:val="41913EA6"/>
    <w:rsid w:val="41DF4411"/>
    <w:rsid w:val="41F0045C"/>
    <w:rsid w:val="429E457A"/>
    <w:rsid w:val="42C059E3"/>
    <w:rsid w:val="430147FA"/>
    <w:rsid w:val="43237373"/>
    <w:rsid w:val="437E77C4"/>
    <w:rsid w:val="43BC0231"/>
    <w:rsid w:val="43C129BA"/>
    <w:rsid w:val="44194F18"/>
    <w:rsid w:val="44697131"/>
    <w:rsid w:val="44E909A3"/>
    <w:rsid w:val="4547614C"/>
    <w:rsid w:val="4582210E"/>
    <w:rsid w:val="45DE540E"/>
    <w:rsid w:val="466D0103"/>
    <w:rsid w:val="46E32BCE"/>
    <w:rsid w:val="47FD5FDB"/>
    <w:rsid w:val="49875DCE"/>
    <w:rsid w:val="4995019C"/>
    <w:rsid w:val="4A492440"/>
    <w:rsid w:val="4B8A1C53"/>
    <w:rsid w:val="4C3E433E"/>
    <w:rsid w:val="4D0F2901"/>
    <w:rsid w:val="4E55337F"/>
    <w:rsid w:val="4F7A2A19"/>
    <w:rsid w:val="4F7E1BFB"/>
    <w:rsid w:val="508F641B"/>
    <w:rsid w:val="50A12E60"/>
    <w:rsid w:val="510D3370"/>
    <w:rsid w:val="51CC25D5"/>
    <w:rsid w:val="525955B1"/>
    <w:rsid w:val="53D00DBF"/>
    <w:rsid w:val="53F07DE5"/>
    <w:rsid w:val="54426194"/>
    <w:rsid w:val="54512311"/>
    <w:rsid w:val="548E38FF"/>
    <w:rsid w:val="54905820"/>
    <w:rsid w:val="54C066DC"/>
    <w:rsid w:val="552402DA"/>
    <w:rsid w:val="555820B5"/>
    <w:rsid w:val="578E488B"/>
    <w:rsid w:val="57C135B2"/>
    <w:rsid w:val="58191195"/>
    <w:rsid w:val="581A4CC0"/>
    <w:rsid w:val="596270B3"/>
    <w:rsid w:val="59757966"/>
    <w:rsid w:val="59CE6345"/>
    <w:rsid w:val="5A3B0686"/>
    <w:rsid w:val="5A9A22F9"/>
    <w:rsid w:val="5AC21DB2"/>
    <w:rsid w:val="5C183BCB"/>
    <w:rsid w:val="5C652FAE"/>
    <w:rsid w:val="5DA15318"/>
    <w:rsid w:val="5DD221CC"/>
    <w:rsid w:val="60887E5E"/>
    <w:rsid w:val="60AB572B"/>
    <w:rsid w:val="60E742FD"/>
    <w:rsid w:val="61E50F12"/>
    <w:rsid w:val="630531DA"/>
    <w:rsid w:val="63661564"/>
    <w:rsid w:val="63EB5A74"/>
    <w:rsid w:val="644436E8"/>
    <w:rsid w:val="652C5971"/>
    <w:rsid w:val="65766292"/>
    <w:rsid w:val="65E35E14"/>
    <w:rsid w:val="6651210B"/>
    <w:rsid w:val="66D555F0"/>
    <w:rsid w:val="672E4672"/>
    <w:rsid w:val="682D7901"/>
    <w:rsid w:val="6836676F"/>
    <w:rsid w:val="687938F3"/>
    <w:rsid w:val="6890026C"/>
    <w:rsid w:val="695C7769"/>
    <w:rsid w:val="6A06258C"/>
    <w:rsid w:val="6A1A4CD8"/>
    <w:rsid w:val="6A57315D"/>
    <w:rsid w:val="6B200010"/>
    <w:rsid w:val="6B88487B"/>
    <w:rsid w:val="6C053863"/>
    <w:rsid w:val="6CA42465"/>
    <w:rsid w:val="6CC42F8F"/>
    <w:rsid w:val="6CE54404"/>
    <w:rsid w:val="6D1D442E"/>
    <w:rsid w:val="6D4818D6"/>
    <w:rsid w:val="6D596CF4"/>
    <w:rsid w:val="6DBD503F"/>
    <w:rsid w:val="6E5B561D"/>
    <w:rsid w:val="6E7A07CF"/>
    <w:rsid w:val="70AA6167"/>
    <w:rsid w:val="70E4702B"/>
    <w:rsid w:val="71596E67"/>
    <w:rsid w:val="717D724A"/>
    <w:rsid w:val="71970440"/>
    <w:rsid w:val="71C346B5"/>
    <w:rsid w:val="72441D02"/>
    <w:rsid w:val="724B6478"/>
    <w:rsid w:val="73AF6017"/>
    <w:rsid w:val="73E72C13"/>
    <w:rsid w:val="74E731ED"/>
    <w:rsid w:val="75024F92"/>
    <w:rsid w:val="753F0B17"/>
    <w:rsid w:val="758E5463"/>
    <w:rsid w:val="75EB4ED6"/>
    <w:rsid w:val="768C7E47"/>
    <w:rsid w:val="77003B40"/>
    <w:rsid w:val="77156C7D"/>
    <w:rsid w:val="771F4878"/>
    <w:rsid w:val="77D00302"/>
    <w:rsid w:val="77E66B14"/>
    <w:rsid w:val="78570879"/>
    <w:rsid w:val="793A670D"/>
    <w:rsid w:val="79BA78FA"/>
    <w:rsid w:val="79CE0279"/>
    <w:rsid w:val="7A0849C7"/>
    <w:rsid w:val="7A377612"/>
    <w:rsid w:val="7A3C6949"/>
    <w:rsid w:val="7B8E5C3C"/>
    <w:rsid w:val="7B9A5BD4"/>
    <w:rsid w:val="7BC60E22"/>
    <w:rsid w:val="7C1B3BD2"/>
    <w:rsid w:val="7C8A0DE0"/>
    <w:rsid w:val="7D96647C"/>
    <w:rsid w:val="7E08657F"/>
    <w:rsid w:val="7E726B1F"/>
    <w:rsid w:val="7F1C2108"/>
    <w:rsid w:val="7F327624"/>
    <w:rsid w:val="7F9346C0"/>
    <w:rsid w:val="7FA347F6"/>
    <w:rsid w:val="7FB12C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7">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0"/>
      <w:ind w:left="360" w:firstLine="360"/>
    </w:pPr>
  </w:style>
  <w:style w:type="paragraph" w:styleId="3">
    <w:name w:val="Body Text Indent"/>
    <w:basedOn w:val="1"/>
    <w:next w:val="4"/>
    <w:link w:val="26"/>
    <w:qFormat/>
    <w:uiPriority w:val="0"/>
    <w:pPr>
      <w:spacing w:after="120"/>
      <w:ind w:left="420" w:leftChars="200"/>
    </w:pPr>
    <w:rPr>
      <w:szCs w:val="21"/>
    </w:rPr>
  </w:style>
  <w:style w:type="paragraph" w:styleId="4">
    <w:name w:val="Normal Indent"/>
    <w:basedOn w:val="1"/>
    <w:next w:val="1"/>
    <w:unhideWhenUsed/>
    <w:qFormat/>
    <w:uiPriority w:val="99"/>
    <w:pPr>
      <w:ind w:firstLine="420" w:firstLineChars="200"/>
    </w:pPr>
  </w:style>
  <w:style w:type="paragraph" w:styleId="5">
    <w:name w:val="Body Text"/>
    <w:basedOn w:val="1"/>
    <w:next w:val="1"/>
    <w:qFormat/>
    <w:uiPriority w:val="0"/>
    <w:pPr>
      <w:spacing w:before="120" w:after="120"/>
    </w:pPr>
  </w:style>
  <w:style w:type="paragraph" w:styleId="8">
    <w:name w:val="Document Map"/>
    <w:basedOn w:val="1"/>
    <w:link w:val="32"/>
    <w:qFormat/>
    <w:uiPriority w:val="0"/>
    <w:rPr>
      <w:rFonts w:ascii="宋体"/>
      <w:sz w:val="18"/>
      <w:szCs w:val="18"/>
    </w:rPr>
  </w:style>
  <w:style w:type="paragraph" w:styleId="9">
    <w:name w:val="annotation text"/>
    <w:basedOn w:val="1"/>
    <w:link w:val="33"/>
    <w:qFormat/>
    <w:uiPriority w:val="0"/>
    <w:pPr>
      <w:jc w:val="left"/>
    </w:pPr>
  </w:style>
  <w:style w:type="paragraph" w:styleId="10">
    <w:name w:val="Block Text"/>
    <w:basedOn w:val="1"/>
    <w:qFormat/>
    <w:uiPriority w:val="0"/>
    <w:pPr>
      <w:widowControl/>
      <w:ind w:left="-929" w:leftChars="-387" w:right="-751" w:rightChars="-313"/>
      <w:jc w:val="left"/>
    </w:pPr>
    <w:rPr>
      <w:rFonts w:ascii="宋体" w:hAnsi="宋体"/>
      <w:kern w:val="0"/>
    </w:rPr>
  </w:style>
  <w:style w:type="paragraph" w:styleId="11">
    <w:name w:val="Balloon Text"/>
    <w:basedOn w:val="1"/>
    <w:link w:val="30"/>
    <w:unhideWhenUsed/>
    <w:qFormat/>
    <w:uiPriority w:val="0"/>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link w:val="35"/>
    <w:qFormat/>
    <w:uiPriority w:val="0"/>
    <w:pPr>
      <w:spacing w:before="240" w:after="60"/>
      <w:jc w:val="center"/>
      <w:outlineLvl w:val="0"/>
    </w:pPr>
    <w:rPr>
      <w:rFonts w:ascii="Cambria" w:hAnsi="Cambria" w:eastAsia="楷体_GB2312"/>
      <w:b/>
      <w:bCs/>
      <w:kern w:val="0"/>
      <w:sz w:val="32"/>
      <w:szCs w:val="32"/>
    </w:rPr>
  </w:style>
  <w:style w:type="paragraph" w:styleId="15">
    <w:name w:val="annotation subject"/>
    <w:basedOn w:val="9"/>
    <w:next w:val="9"/>
    <w:link w:val="36"/>
    <w:qFormat/>
    <w:uiPriority w:val="0"/>
    <w:rPr>
      <w:b/>
      <w:bCs/>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1 Char"/>
    <w:basedOn w:val="17"/>
    <w:link w:val="6"/>
    <w:qFormat/>
    <w:uiPriority w:val="0"/>
    <w:rPr>
      <w:rFonts w:ascii="Times New Roman" w:hAnsi="Times New Roman" w:eastAsia="宋体" w:cs="Times New Roman"/>
      <w:b/>
      <w:bCs/>
      <w:kern w:val="44"/>
      <w:sz w:val="44"/>
      <w:szCs w:val="44"/>
    </w:rPr>
  </w:style>
  <w:style w:type="character" w:customStyle="1" w:styleId="23">
    <w:name w:val="标题 3 Char"/>
    <w:basedOn w:val="17"/>
    <w:link w:val="7"/>
    <w:qFormat/>
    <w:uiPriority w:val="0"/>
    <w:rPr>
      <w:rFonts w:ascii="Times New Roman" w:hAnsi="Times New Roman" w:eastAsia="宋体" w:cs="Times New Roman"/>
      <w:b/>
      <w:bCs/>
      <w:sz w:val="32"/>
      <w:szCs w:val="32"/>
    </w:rPr>
  </w:style>
  <w:style w:type="character" w:customStyle="1" w:styleId="24">
    <w:name w:val="页眉 Char"/>
    <w:basedOn w:val="17"/>
    <w:link w:val="13"/>
    <w:qFormat/>
    <w:uiPriority w:val="0"/>
    <w:rPr>
      <w:rFonts w:ascii="Times New Roman" w:hAnsi="Times New Roman" w:eastAsia="宋体" w:cs="Times New Roman"/>
      <w:sz w:val="18"/>
      <w:szCs w:val="18"/>
    </w:rPr>
  </w:style>
  <w:style w:type="character" w:customStyle="1" w:styleId="25">
    <w:name w:val="页脚 Char1"/>
    <w:basedOn w:val="17"/>
    <w:link w:val="12"/>
    <w:qFormat/>
    <w:uiPriority w:val="99"/>
    <w:rPr>
      <w:rFonts w:ascii="Times New Roman" w:hAnsi="Times New Roman" w:eastAsia="宋体" w:cs="Times New Roman"/>
      <w:sz w:val="18"/>
      <w:szCs w:val="18"/>
    </w:rPr>
  </w:style>
  <w:style w:type="character" w:customStyle="1" w:styleId="26">
    <w:name w:val="正文文本缩进 Char"/>
    <w:link w:val="3"/>
    <w:qFormat/>
    <w:uiPriority w:val="0"/>
    <w:rPr>
      <w:rFonts w:ascii="Times New Roman" w:hAnsi="Times New Roman" w:eastAsia="宋体" w:cs="Times New Roman"/>
      <w:szCs w:val="21"/>
    </w:rPr>
  </w:style>
  <w:style w:type="character" w:customStyle="1" w:styleId="27">
    <w:name w:val="正文文本缩进 字符"/>
    <w:basedOn w:val="17"/>
    <w:semiHidden/>
    <w:qFormat/>
    <w:uiPriority w:val="99"/>
    <w:rPr>
      <w:rFonts w:ascii="Times New Roman" w:hAnsi="Times New Roman" w:eastAsia="宋体" w:cs="Times New Roman"/>
      <w:szCs w:val="24"/>
    </w:rPr>
  </w:style>
  <w:style w:type="character" w:customStyle="1" w:styleId="28">
    <w:name w:val="页脚 Char"/>
    <w:qFormat/>
    <w:locked/>
    <w:uiPriority w:val="99"/>
    <w:rPr>
      <w:rFonts w:cs="Times New Roman"/>
      <w:sz w:val="18"/>
      <w:szCs w:val="18"/>
    </w:rPr>
  </w:style>
  <w:style w:type="paragraph" w:customStyle="1" w:styleId="29">
    <w:name w:val="特点"/>
    <w:basedOn w:val="1"/>
    <w:next w:val="3"/>
    <w:qFormat/>
    <w:uiPriority w:val="0"/>
    <w:pPr>
      <w:spacing w:line="300" w:lineRule="exact"/>
      <w:ind w:right="26" w:firstLine="435"/>
    </w:pPr>
    <w:rPr>
      <w:rFonts w:eastAsia="黑体"/>
      <w:sz w:val="18"/>
    </w:rPr>
  </w:style>
  <w:style w:type="character" w:customStyle="1" w:styleId="30">
    <w:name w:val="批注框文本 Char"/>
    <w:basedOn w:val="17"/>
    <w:link w:val="11"/>
    <w:semiHidden/>
    <w:qFormat/>
    <w:uiPriority w:val="99"/>
    <w:rPr>
      <w:rFonts w:ascii="Times New Roman" w:hAnsi="Times New Roman" w:eastAsia="宋体" w:cs="Times New Roman"/>
      <w:sz w:val="18"/>
      <w:szCs w:val="18"/>
    </w:rPr>
  </w:style>
  <w:style w:type="paragraph" w:customStyle="1" w:styleId="3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32">
    <w:name w:val="文档结构图 Char"/>
    <w:basedOn w:val="17"/>
    <w:link w:val="8"/>
    <w:qFormat/>
    <w:uiPriority w:val="0"/>
    <w:rPr>
      <w:rFonts w:ascii="宋体" w:hAnsi="Times New Roman" w:eastAsia="宋体" w:cs="Times New Roman"/>
      <w:sz w:val="18"/>
      <w:szCs w:val="18"/>
    </w:rPr>
  </w:style>
  <w:style w:type="character" w:customStyle="1" w:styleId="33">
    <w:name w:val="批注文字 Char"/>
    <w:basedOn w:val="17"/>
    <w:link w:val="9"/>
    <w:qFormat/>
    <w:uiPriority w:val="0"/>
    <w:rPr>
      <w:rFonts w:ascii="Times New Roman" w:hAnsi="Times New Roman" w:eastAsia="宋体" w:cs="Times New Roman"/>
      <w:szCs w:val="24"/>
    </w:rPr>
  </w:style>
  <w:style w:type="character" w:customStyle="1" w:styleId="34">
    <w:name w:val="页眉 Char1"/>
    <w:qFormat/>
    <w:locked/>
    <w:uiPriority w:val="99"/>
    <w:rPr>
      <w:rFonts w:cs="Times New Roman"/>
      <w:sz w:val="18"/>
      <w:szCs w:val="18"/>
    </w:rPr>
  </w:style>
  <w:style w:type="character" w:customStyle="1" w:styleId="35">
    <w:name w:val="标题 Char"/>
    <w:basedOn w:val="17"/>
    <w:link w:val="14"/>
    <w:qFormat/>
    <w:uiPriority w:val="0"/>
    <w:rPr>
      <w:rFonts w:ascii="Cambria" w:hAnsi="Cambria" w:eastAsia="楷体_GB2312" w:cs="Times New Roman"/>
      <w:b/>
      <w:bCs/>
      <w:kern w:val="0"/>
      <w:sz w:val="32"/>
      <w:szCs w:val="32"/>
    </w:rPr>
  </w:style>
  <w:style w:type="character" w:customStyle="1" w:styleId="36">
    <w:name w:val="批注主题 Char"/>
    <w:basedOn w:val="33"/>
    <w:link w:val="15"/>
    <w:qFormat/>
    <w:uiPriority w:val="0"/>
    <w:rPr>
      <w:rFonts w:ascii="Times New Roman" w:hAnsi="Times New Roman" w:eastAsia="宋体" w:cs="Times New Roman"/>
      <w:b/>
      <w:bCs/>
      <w:szCs w:val="24"/>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列出段落2"/>
    <w:basedOn w:val="1"/>
    <w:qFormat/>
    <w:uiPriority w:val="34"/>
    <w:pPr>
      <w:ind w:firstLine="420" w:firstLineChars="200"/>
    </w:pPr>
  </w:style>
  <w:style w:type="paragraph" w:customStyle="1" w:styleId="39">
    <w:name w:val="Char Char Char Char Char Char Char"/>
    <w:basedOn w:val="1"/>
    <w:qFormat/>
    <w:uiPriority w:val="0"/>
    <w:rPr>
      <w:rFonts w:ascii="Tahoma" w:hAnsi="Tahoma"/>
      <w:sz w:val="24"/>
      <w:szCs w:val="20"/>
    </w:rPr>
  </w:style>
  <w:style w:type="paragraph" w:customStyle="1" w:styleId="40">
    <w:name w:val="p0"/>
    <w:basedOn w:val="1"/>
    <w:qFormat/>
    <w:uiPriority w:val="0"/>
    <w:pPr>
      <w:widowControl/>
    </w:pPr>
    <w:rPr>
      <w:kern w:val="0"/>
      <w:szCs w:val="21"/>
    </w:rPr>
  </w:style>
  <w:style w:type="paragraph" w:customStyle="1" w:styleId="4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C92B-BD9C-428C-89DE-9A4A14445917}">
  <ds:schemaRefs/>
</ds:datastoreItem>
</file>

<file path=docProps/app.xml><?xml version="1.0" encoding="utf-8"?>
<Properties xmlns="http://schemas.openxmlformats.org/officeDocument/2006/extended-properties" xmlns:vt="http://schemas.openxmlformats.org/officeDocument/2006/docPropsVTypes">
  <Template>Normal</Template>
  <Pages>50</Pages>
  <Words>45927</Words>
  <Characters>46633</Characters>
  <Lines>267</Lines>
  <Paragraphs>75</Paragraphs>
  <TotalTime>2</TotalTime>
  <ScaleCrop>false</ScaleCrop>
  <LinksUpToDate>false</LinksUpToDate>
  <CharactersWithSpaces>46766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2023-08-16T08:00:00Z</dcterms:created>
  <dc:creator>Song Cangnan</dc:creator>
  <cp:lastModifiedBy>刘芳勤_产品管理部</cp:lastModifiedBy>
  <cp:lastPrinted>2022-12-23T14:07:00Z</cp:lastPrinted>
  <dcterms:modified xsi:type="dcterms:W3CDTF">2025-07-14T06:48:06Z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D41662C12E7845FF984A3324AE7B06E7</vt:lpwstr>
  </property>
</Properties>
</file>