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bookmarkStart w:id="1" w:name="_GoBack"/>
      <w:bookmarkEnd w:id="1"/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【添利】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  <w:lang w:eastAsia="zh-CN"/>
        </w:rPr>
        <w:t>【】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="宋体" w:hAnsi="宋体" w:cs="宋体"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</w:t>
      </w:r>
      <w:r>
        <w:rPr>
          <w:rFonts w:ascii="宋体" w:hAnsi="宋体"/>
          <w:sz w:val="18"/>
          <w:szCs w:val="18"/>
        </w:rPr>
        <w:t>《风险揭示书》《投资者权益须知》以及其他有关文件（如有），确认已同意相关内容、充分了解相关风险并无疑问和异议后，签署相关销售文件，并办理购买手续。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C1-C6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="宋体" w:hAnsi="宋体"/>
          <w:sz w:val="18"/>
          <w:szCs w:val="18"/>
          <w:lang w:val="en-US" w:eastAsia="zh-CN"/>
        </w:rPr>
        <w:t>C6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7"/>
        <w:gridCol w:w="486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激进型（C6） </w:t>
            </w:r>
          </w:p>
        </w:tc>
      </w:tr>
      <w:permEnd w:id="6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ind w:firstLine="361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bookmarkEnd w:id="0"/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3.销售机构：【】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【】</w:t>
      </w:r>
    </w:p>
    <w:permEnd w:id="7"/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【添利】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</w:t>
      </w:r>
      <w:permStart w:id="9" w:edGrp="everyone"/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一般</w:t>
      </w:r>
      <w:r>
        <w:rPr>
          <w:rFonts w:hint="eastAsia" w:hAnsi="宋体"/>
          <w:b/>
          <w:color w:val="auto"/>
          <w:sz w:val="28"/>
          <w:szCs w:val="28"/>
        </w:rPr>
        <w:t>机构</w:t>
      </w:r>
      <w:r>
        <w:rPr>
          <w:rFonts w:hint="eastAsia" w:hAnsi="宋体"/>
          <w:b/>
          <w:color w:val="auto"/>
          <w:sz w:val="28"/>
          <w:szCs w:val="28"/>
          <w:lang w:val="en-US" w:eastAsia="zh-CN"/>
        </w:rPr>
        <w:t>客户</w:t>
      </w:r>
      <w:permEnd w:id="9"/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0" w:edGrp="everyone"/>
      <w:r>
        <w:rPr>
          <w:rFonts w:hint="eastAsia" w:ascii="宋体" w:hAnsi="宋体"/>
          <w:sz w:val="18"/>
          <w:szCs w:val="18"/>
          <w:lang w:eastAsia="zh-CN"/>
        </w:rPr>
        <w:t>【】</w:t>
      </w:r>
      <w:permEnd w:id="10"/>
      <w:r>
        <w:rPr>
          <w:rFonts w:hint="eastAsia" w:ascii="宋体" w:hAnsi="宋体"/>
          <w:sz w:val="18"/>
          <w:szCs w:val="18"/>
        </w:rPr>
        <w:t>以(</w:t>
      </w:r>
      <w:permStart w:id="11" w:edGrp="everyone"/>
      <w:r>
        <w:rPr>
          <w:rFonts w:hint="eastAsia" w:ascii="宋体" w:hAnsi="宋体"/>
          <w:sz w:val="18"/>
          <w:szCs w:val="18"/>
        </w:rPr>
        <w:t>□ 直销：产品管理人销售/□ 代销：代理销售机构销售</w:t>
      </w:r>
      <w:permEnd w:id="11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</w:t>
      </w:r>
      <w:r>
        <w:rPr>
          <w:rFonts w:ascii="宋体" w:hAnsi="宋体"/>
          <w:sz w:val="18"/>
          <w:szCs w:val="18"/>
        </w:rPr>
        <w:t>《风险揭示书》《投资者权益须知》以及其他有关文件（如有），确认已同意相关内容、充分了解相关风险并无疑问和异议后，签署相关销售文件，并办理购买手续。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hint="eastAsia" w:ascii="宋体" w:hAnsi="宋体"/>
          <w:b/>
          <w:sz w:val="18"/>
          <w:szCs w:val="18"/>
        </w:rPr>
        <w:t>.投资者风险承受能力评级与理财产品风险评级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2" w:edGrp="everyone"/>
      <w:r>
        <w:rPr>
          <w:rFonts w:hint="eastAsia" w:ascii="宋体" w:hAnsi="宋体"/>
          <w:sz w:val="18"/>
          <w:szCs w:val="18"/>
        </w:rPr>
        <w:t>【】</w:t>
      </w:r>
      <w:permEnd w:id="12"/>
      <w:r>
        <w:rPr>
          <w:rFonts w:ascii="宋体" w:hAnsi="宋体"/>
          <w:sz w:val="18"/>
          <w:szCs w:val="18"/>
        </w:rPr>
        <w:t>。其中，</w:t>
      </w:r>
      <w:permStart w:id="13" w:edGrp="everyone"/>
      <w:r>
        <w:rPr>
          <w:rFonts w:hint="eastAsia" w:ascii="宋体" w:hAnsi="宋体"/>
          <w:sz w:val="18"/>
          <w:szCs w:val="18"/>
        </w:rPr>
        <w:t>【】</w:t>
      </w:r>
      <w:permEnd w:id="13"/>
      <w:r>
        <w:rPr>
          <w:rFonts w:ascii="宋体" w:hAnsi="宋体"/>
          <w:sz w:val="18"/>
          <w:szCs w:val="18"/>
        </w:rPr>
        <w:t>为风险承受能力最低类别，</w:t>
      </w:r>
      <w:permStart w:id="14" w:edGrp="everyone"/>
      <w:r>
        <w:rPr>
          <w:rFonts w:hint="eastAsia" w:ascii="宋体" w:hAnsi="宋体"/>
          <w:sz w:val="18"/>
          <w:szCs w:val="18"/>
        </w:rPr>
        <w:t>【】</w:t>
      </w:r>
      <w:permEnd w:id="14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5" w:edGrp="everyone"/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permEnd w:id="15"/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spacing w:line="280" w:lineRule="atLeast"/>
        <w:ind w:firstLine="361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6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40" w:lineRule="auto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hint="eastAsia" w:ascii="黑体" w:hAnsi="黑体" w:eastAsia="黑体"/>
          <w:sz w:val="28"/>
          <w:szCs w:val="28"/>
        </w:rPr>
      </w:pP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兴银理财【添利】理财产品</w:t>
      </w:r>
    </w:p>
    <w:p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（适用于金融</w:t>
      </w:r>
      <w:r>
        <w:rPr>
          <w:rFonts w:hAnsi="宋体"/>
          <w:b/>
          <w:color w:val="auto"/>
          <w:sz w:val="28"/>
          <w:szCs w:val="28"/>
        </w:rPr>
        <w:t>同业客户</w:t>
      </w:r>
      <w:r>
        <w:rPr>
          <w:rFonts w:hint="eastAsia" w:hAnsi="宋体"/>
          <w:b/>
          <w:color w:val="auto"/>
          <w:sz w:val="28"/>
          <w:szCs w:val="28"/>
        </w:rPr>
        <w:t>）</w:t>
      </w:r>
    </w:p>
    <w:p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r>
        <w:rPr>
          <w:rFonts w:hint="eastAsia" w:ascii="宋体" w:hAnsi="宋体"/>
          <w:sz w:val="18"/>
          <w:szCs w:val="18"/>
          <w:lang w:eastAsia="zh-CN"/>
        </w:rPr>
        <w:t>【】</w:t>
      </w:r>
      <w:r>
        <w:rPr>
          <w:rFonts w:hint="eastAsia" w:ascii="宋体" w:hAnsi="宋体"/>
          <w:sz w:val="18"/>
          <w:szCs w:val="18"/>
        </w:rPr>
        <w:t>以(□ 直销：产品管理人销售/□ 代销：代理销售机构销售)的形式购买兴银理财有限责任公司（以下简称“兴银理财”）作为产品管理人管理的理财产品。</w:t>
      </w:r>
    </w:p>
    <w:p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</w:t>
      </w:r>
      <w:r>
        <w:rPr>
          <w:rFonts w:hint="eastAsia" w:ascii="宋体" w:hAnsi="宋体"/>
          <w:sz w:val="18"/>
          <w:szCs w:val="18"/>
        </w:rPr>
        <w:t>《（代理）销售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</w:t>
      </w:r>
      <w:r>
        <w:rPr>
          <w:rFonts w:ascii="宋体" w:hAnsi="宋体"/>
          <w:sz w:val="18"/>
          <w:szCs w:val="18"/>
        </w:rPr>
        <w:t>《风险揭示书》《投资者权益须知》以及其他有关文件（如有），确认已同意相关内容、充分了解相关风险并无疑问和异议后，签署相关销售文件，并办理购买手续。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>
      <w:pPr>
        <w:spacing w:line="280" w:lineRule="atLeast"/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>
      <w:pPr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>2</w:t>
      </w:r>
      <w:r>
        <w:rPr>
          <w:rFonts w:hint="eastAsia" w:ascii="宋体" w:hAnsi="宋体"/>
          <w:b/>
          <w:sz w:val="18"/>
          <w:szCs w:val="18"/>
        </w:rPr>
        <w:t>.投资者风险承受能力评级与理财产品风险评级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投资者风险承受能力，机构投资者由低至高分为【】</w:t>
      </w:r>
      <w:r>
        <w:rPr>
          <w:rFonts w:ascii="宋体" w:hAnsi="宋体"/>
          <w:sz w:val="18"/>
          <w:szCs w:val="18"/>
        </w:rPr>
        <w:t>。其中，</w:t>
      </w:r>
      <w:r>
        <w:rPr>
          <w:rFonts w:hint="eastAsia" w:ascii="宋体" w:hAnsi="宋体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为风险承受能力最低类别，</w:t>
      </w:r>
      <w:r>
        <w:rPr>
          <w:rFonts w:hint="eastAsia" w:ascii="宋体" w:hAnsi="宋体"/>
          <w:sz w:val="18"/>
          <w:szCs w:val="18"/>
        </w:rPr>
        <w:t>【】</w:t>
      </w:r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4840"/>
        <w:gridCol w:w="28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</w:tbl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 “投资者风险承受能力”、“适合投资者类型”的不同划分与表述的特别提示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>
      <w:pPr>
        <w:spacing w:line="280" w:lineRule="atLeast"/>
        <w:ind w:firstLine="361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>
      <w:pPr>
        <w:spacing w:line="280" w:lineRule="atLeast"/>
        <w:ind w:firstLine="361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>
      <w:pPr>
        <w:ind w:firstLine="360" w:firstLineChars="200"/>
        <w:rPr>
          <w:rFonts w:ascii="宋体" w:hAnsi="宋体"/>
          <w:sz w:val="18"/>
          <w:szCs w:val="18"/>
        </w:rPr>
      </w:pPr>
    </w:p>
    <w:permEnd w:id="16"/>
    <w:p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03202528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rz6pIZv9J6BWuVumVxe1jYii/UofWTnJ3Qkicbw1gS1pnSEKrCHBXxyXWb9JndskbQKq/YtF1U6ZlRKrhky1g==" w:salt="xKltuT9rsFflxZpY37Qekg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20B21"/>
    <w:rsid w:val="00044E9D"/>
    <w:rsid w:val="000466D9"/>
    <w:rsid w:val="00052540"/>
    <w:rsid w:val="000921B4"/>
    <w:rsid w:val="000C4846"/>
    <w:rsid w:val="000E1A5F"/>
    <w:rsid w:val="000E6147"/>
    <w:rsid w:val="00106877"/>
    <w:rsid w:val="001201EA"/>
    <w:rsid w:val="001242AF"/>
    <w:rsid w:val="00141624"/>
    <w:rsid w:val="00171420"/>
    <w:rsid w:val="00195672"/>
    <w:rsid w:val="001A48F9"/>
    <w:rsid w:val="001C6375"/>
    <w:rsid w:val="001E2A14"/>
    <w:rsid w:val="002462D8"/>
    <w:rsid w:val="00271331"/>
    <w:rsid w:val="00276F5A"/>
    <w:rsid w:val="00283229"/>
    <w:rsid w:val="002A6909"/>
    <w:rsid w:val="002B0017"/>
    <w:rsid w:val="002B69B3"/>
    <w:rsid w:val="002B6D4B"/>
    <w:rsid w:val="002C01C0"/>
    <w:rsid w:val="002E6656"/>
    <w:rsid w:val="002F133A"/>
    <w:rsid w:val="00376CFF"/>
    <w:rsid w:val="003B4628"/>
    <w:rsid w:val="003C3A9E"/>
    <w:rsid w:val="003D624D"/>
    <w:rsid w:val="004727B8"/>
    <w:rsid w:val="00493512"/>
    <w:rsid w:val="004A1091"/>
    <w:rsid w:val="004D586E"/>
    <w:rsid w:val="004E337B"/>
    <w:rsid w:val="004E5B8C"/>
    <w:rsid w:val="004F756D"/>
    <w:rsid w:val="005438C7"/>
    <w:rsid w:val="005514E2"/>
    <w:rsid w:val="00552ACB"/>
    <w:rsid w:val="00571A72"/>
    <w:rsid w:val="005A0FFB"/>
    <w:rsid w:val="005A17EF"/>
    <w:rsid w:val="005D158B"/>
    <w:rsid w:val="005D405A"/>
    <w:rsid w:val="005E4F9A"/>
    <w:rsid w:val="0060775A"/>
    <w:rsid w:val="00622E88"/>
    <w:rsid w:val="00641888"/>
    <w:rsid w:val="00661E32"/>
    <w:rsid w:val="006639A1"/>
    <w:rsid w:val="006B20CA"/>
    <w:rsid w:val="006B237F"/>
    <w:rsid w:val="006E4016"/>
    <w:rsid w:val="006F690F"/>
    <w:rsid w:val="00705E58"/>
    <w:rsid w:val="00710B52"/>
    <w:rsid w:val="00781AA5"/>
    <w:rsid w:val="007B0970"/>
    <w:rsid w:val="007B231D"/>
    <w:rsid w:val="007C6A06"/>
    <w:rsid w:val="007C6A86"/>
    <w:rsid w:val="0080127B"/>
    <w:rsid w:val="00812B92"/>
    <w:rsid w:val="00820AF6"/>
    <w:rsid w:val="008A10A9"/>
    <w:rsid w:val="008A57A2"/>
    <w:rsid w:val="008C2FE9"/>
    <w:rsid w:val="008E7821"/>
    <w:rsid w:val="008E7C7D"/>
    <w:rsid w:val="00971F4B"/>
    <w:rsid w:val="009816B9"/>
    <w:rsid w:val="00991788"/>
    <w:rsid w:val="009B1EE5"/>
    <w:rsid w:val="009D1DC4"/>
    <w:rsid w:val="009D35C1"/>
    <w:rsid w:val="009E4DBC"/>
    <w:rsid w:val="00A112C9"/>
    <w:rsid w:val="00A21F06"/>
    <w:rsid w:val="00A646F7"/>
    <w:rsid w:val="00AA4438"/>
    <w:rsid w:val="00AB386C"/>
    <w:rsid w:val="00AC71D9"/>
    <w:rsid w:val="00B02055"/>
    <w:rsid w:val="00B12049"/>
    <w:rsid w:val="00B314E7"/>
    <w:rsid w:val="00B507EB"/>
    <w:rsid w:val="00B75610"/>
    <w:rsid w:val="00BC0053"/>
    <w:rsid w:val="00BE3E99"/>
    <w:rsid w:val="00BE4E6B"/>
    <w:rsid w:val="00BF7C2F"/>
    <w:rsid w:val="00C018F3"/>
    <w:rsid w:val="00C202DE"/>
    <w:rsid w:val="00C32FF7"/>
    <w:rsid w:val="00C37EB3"/>
    <w:rsid w:val="00C827C4"/>
    <w:rsid w:val="00C8683D"/>
    <w:rsid w:val="00C86FD7"/>
    <w:rsid w:val="00D01E10"/>
    <w:rsid w:val="00D237B3"/>
    <w:rsid w:val="00D56354"/>
    <w:rsid w:val="00D71983"/>
    <w:rsid w:val="00D917DB"/>
    <w:rsid w:val="00DB5CAA"/>
    <w:rsid w:val="00DB67D6"/>
    <w:rsid w:val="00DC6391"/>
    <w:rsid w:val="00DD5F6E"/>
    <w:rsid w:val="00E01CA3"/>
    <w:rsid w:val="00E077CB"/>
    <w:rsid w:val="00E236CC"/>
    <w:rsid w:val="00E5408F"/>
    <w:rsid w:val="00EA7D7F"/>
    <w:rsid w:val="00EF1A43"/>
    <w:rsid w:val="00F126D2"/>
    <w:rsid w:val="00F24388"/>
    <w:rsid w:val="00F33265"/>
    <w:rsid w:val="00F47A61"/>
    <w:rsid w:val="00F55639"/>
    <w:rsid w:val="00F63C18"/>
    <w:rsid w:val="00F74AE2"/>
    <w:rsid w:val="00F81CAA"/>
    <w:rsid w:val="00FA461D"/>
    <w:rsid w:val="00FD0D35"/>
    <w:rsid w:val="04AD52CA"/>
    <w:rsid w:val="0E981DAE"/>
    <w:rsid w:val="4D513CF1"/>
    <w:rsid w:val="52D44062"/>
    <w:rsid w:val="5CB977B1"/>
    <w:rsid w:val="620D133E"/>
    <w:rsid w:val="6FB93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2</Pages>
  <Words>429</Words>
  <Characters>2446</Characters>
  <Lines>20</Lines>
  <Paragraphs>5</Paragraphs>
  <TotalTime>1</TotalTime>
  <ScaleCrop>false</ScaleCrop>
  <LinksUpToDate>false</LinksUpToDate>
  <CharactersWithSpaces>2870</CharactersWithSpaces>
  <Application>WPS Office_11.8.2.12309_F1E327BC-269C-435d-A152-05C5408002CA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2024-03-04T03:18:00Z</dcterms:created>
  <dc:creator>胡骁潇</dc:creator>
  <cp:lastModifiedBy>cib</cp:lastModifiedBy>
  <dcterms:modified xsi:type="dcterms:W3CDTF">2025-04-22T01:58:00Z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F38CDB0A342847339B79C7443BD612BA</vt:lpwstr>
  </property>
</Properties>
</file>