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5 -->
  <w:body>
    <w:p w:rsidR="00952162">
      <w:pPr>
        <w:spacing w:line="360" w:lineRule="auto"/>
        <w:jc w:val="center"/>
        <w:rPr>
          <w:rFonts w:ascii="新宋体" w:eastAsia="新宋体" w:hAnsi="新宋体"/>
          <w:b/>
          <w:sz w:val="30"/>
          <w:szCs w:val="30"/>
        </w:rPr>
      </w:pPr>
      <w:r>
        <w:rPr>
          <w:rFonts w:ascii="新宋体" w:eastAsia="新宋体" w:hAnsi="新宋体" w:hint="eastAsia"/>
          <w:b/>
          <w:sz w:val="30"/>
          <w:szCs w:val="30"/>
        </w:rPr>
        <w:t>青银理财璀璨人生成就系列人民币理财计划产品说明书</w:t>
      </w:r>
    </w:p>
    <w:p w:rsidR="00952162">
      <w:pPr>
        <w:spacing w:line="360" w:lineRule="auto"/>
        <w:jc w:val="center"/>
        <w:rPr>
          <w:rFonts w:ascii="新宋体" w:eastAsia="新宋体" w:hAnsi="新宋体" w:hint="eastAsia"/>
          <w:b/>
          <w:i/>
          <w:sz w:val="30"/>
          <w:szCs w:val="30"/>
          <w:u w:val="single"/>
        </w:rPr>
      </w:pPr>
      <w:r>
        <w:rPr>
          <w:rFonts w:ascii="新宋体" w:eastAsia="新宋体" w:hAnsi="新宋体" w:cs="宋体" w:hint="eastAsia"/>
          <w:b/>
          <w:i/>
          <w:kern w:val="0"/>
          <w:szCs w:val="21"/>
          <w:u w:val="single"/>
        </w:rPr>
        <w:t>理财非存款、产品有风险、投资须谨慎。</w:t>
      </w:r>
    </w:p>
    <w:p w:rsidR="00952162">
      <w:pPr>
        <w:spacing w:line="360" w:lineRule="auto"/>
        <w:rPr>
          <w:rFonts w:ascii="新宋体" w:eastAsia="新宋体" w:hAnsi="新宋体" w:cs="宋体" w:hint="eastAsia"/>
          <w:b/>
          <w:kern w:val="0"/>
          <w:szCs w:val="21"/>
        </w:rPr>
      </w:pPr>
    </w:p>
    <w:p w:rsidR="00952162">
      <w:pPr>
        <w:snapToGrid w:val="0"/>
        <w:spacing w:line="360" w:lineRule="auto"/>
        <w:jc w:val="left"/>
        <w:rPr>
          <w:rFonts w:ascii="新宋体" w:eastAsia="新宋体" w:hAnsi="新宋体" w:cs="宋体"/>
          <w:b/>
          <w:kern w:val="0"/>
          <w:szCs w:val="21"/>
        </w:rPr>
      </w:pPr>
      <w:r>
        <w:rPr>
          <w:rFonts w:ascii="新宋体" w:eastAsia="新宋体" w:hAnsi="新宋体" w:cs="宋体" w:hint="eastAsia"/>
          <w:b/>
          <w:kern w:val="0"/>
          <w:szCs w:val="21"/>
        </w:rPr>
        <w:t>重要须知：</w:t>
      </w:r>
    </w:p>
    <w:p w:rsidR="00952162">
      <w:pPr>
        <w:snapToGrid w:val="0"/>
        <w:spacing w:line="360" w:lineRule="auto"/>
        <w:ind w:firstLine="412" w:firstLineChars="196"/>
        <w:jc w:val="left"/>
        <w:rPr>
          <w:rFonts w:ascii="新宋体" w:eastAsia="新宋体" w:hAnsi="新宋体" w:cs="宋体"/>
          <w:b/>
          <w:kern w:val="0"/>
          <w:szCs w:val="21"/>
        </w:rPr>
      </w:pPr>
      <w:r>
        <w:rPr>
          <w:rFonts w:ascii="新宋体" w:eastAsia="新宋体" w:hAnsi="新宋体" w:cs="宋体" w:hint="eastAsia"/>
          <w:b/>
          <w:kern w:val="0"/>
          <w:szCs w:val="21"/>
        </w:rPr>
        <w:t>本理财计划与存款有明显区别。</w:t>
      </w:r>
    </w:p>
    <w:p w:rsidR="00952162">
      <w:pPr>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hint="eastAsia"/>
          <w:b/>
          <w:kern w:val="0"/>
          <w:szCs w:val="21"/>
        </w:rPr>
        <w:t>青银理财有限责任公司（以下简称</w:t>
      </w:r>
      <w:r>
        <w:rPr>
          <w:rFonts w:ascii="新宋体" w:eastAsia="新宋体" w:hAnsi="新宋体" w:cs="宋体" w:hint="eastAsia"/>
          <w:b/>
          <w:kern w:val="0"/>
          <w:szCs w:val="21"/>
        </w:rPr>
        <w:t>“</w:t>
      </w:r>
      <w:r>
        <w:rPr>
          <w:rFonts w:ascii="新宋体" w:eastAsia="新宋体" w:hAnsi="新宋体" w:cs="宋体" w:hint="eastAsia"/>
          <w:b/>
          <w:kern w:val="0"/>
          <w:szCs w:val="21"/>
        </w:rPr>
        <w:t>青银理财</w:t>
      </w:r>
      <w:r>
        <w:rPr>
          <w:rFonts w:ascii="新宋体" w:eastAsia="新宋体" w:hAnsi="新宋体" w:cs="宋体" w:hint="eastAsia"/>
          <w:b/>
          <w:kern w:val="0"/>
          <w:szCs w:val="21"/>
        </w:rPr>
        <w:t>”</w:t>
      </w:r>
      <w:r>
        <w:rPr>
          <w:rFonts w:ascii="新宋体" w:eastAsia="新宋体" w:hAnsi="新宋体" w:cs="宋体" w:hint="eastAsia"/>
          <w:b/>
          <w:kern w:val="0"/>
          <w:szCs w:val="21"/>
        </w:rPr>
        <w:t>或</w:t>
      </w:r>
      <w:r>
        <w:rPr>
          <w:rFonts w:ascii="新宋体" w:eastAsia="新宋体" w:hAnsi="新宋体" w:cs="宋体" w:hint="eastAsia"/>
          <w:b/>
          <w:kern w:val="0"/>
          <w:szCs w:val="21"/>
        </w:rPr>
        <w:t>“</w:t>
      </w:r>
      <w:r>
        <w:rPr>
          <w:rFonts w:ascii="新宋体" w:eastAsia="新宋体" w:hAnsi="新宋体" w:cs="宋体" w:hint="eastAsia"/>
          <w:b/>
          <w:kern w:val="0"/>
          <w:szCs w:val="21"/>
        </w:rPr>
        <w:t>管理人</w:t>
      </w:r>
      <w:r>
        <w:rPr>
          <w:rFonts w:ascii="新宋体" w:eastAsia="新宋体" w:hAnsi="新宋体" w:cs="宋体" w:hint="eastAsia"/>
          <w:b/>
          <w:kern w:val="0"/>
          <w:szCs w:val="21"/>
        </w:rPr>
        <w:t>”</w:t>
      </w:r>
      <w:r>
        <w:rPr>
          <w:rFonts w:ascii="新宋体" w:eastAsia="新宋体" w:hAnsi="新宋体" w:cs="宋体" w:hint="eastAsia"/>
          <w:b/>
          <w:kern w:val="0"/>
          <w:szCs w:val="21"/>
        </w:rPr>
        <w:t>）不保证本理财计划的本金及收益。本理财计划在发生不利情况下（可能但不一定发生），客户（下或称</w:t>
      </w:r>
      <w:r>
        <w:rPr>
          <w:rFonts w:ascii="新宋体" w:eastAsia="新宋体" w:hAnsi="新宋体" w:cs="宋体" w:hint="eastAsia"/>
          <w:b/>
          <w:kern w:val="0"/>
          <w:szCs w:val="21"/>
        </w:rPr>
        <w:t>“</w:t>
      </w:r>
      <w:r>
        <w:rPr>
          <w:rFonts w:ascii="新宋体" w:eastAsia="新宋体" w:hAnsi="新宋体" w:cs="宋体" w:hint="eastAsia"/>
          <w:b/>
          <w:kern w:val="0"/>
          <w:szCs w:val="21"/>
        </w:rPr>
        <w:t>投资者</w:t>
      </w:r>
      <w:r>
        <w:rPr>
          <w:rFonts w:ascii="新宋体" w:eastAsia="新宋体" w:hAnsi="新宋体" w:cs="宋体" w:hint="eastAsia"/>
          <w:b/>
          <w:kern w:val="0"/>
          <w:szCs w:val="21"/>
        </w:rPr>
        <w:t>”</w:t>
      </w:r>
      <w:r>
        <w:rPr>
          <w:rFonts w:ascii="新宋体" w:eastAsia="新宋体" w:hAnsi="新宋体" w:cs="宋体" w:hint="eastAsia"/>
          <w:b/>
          <w:kern w:val="0"/>
          <w:szCs w:val="21"/>
        </w:rPr>
        <w:t>）可能无法获得收益，并面临损失本金的风险。您应充分认识投资风险。</w:t>
      </w:r>
    </w:p>
    <w:p w:rsidR="00952162">
      <w:pPr>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hint="eastAsia"/>
          <w:b/>
          <w:kern w:val="0"/>
          <w:szCs w:val="21"/>
        </w:rPr>
        <w:t>本理财计划的测算收益、业绩比较基准等类似表述仅供客户投资决策参考，不代表客户可能获得的实际收益，业绩比较基准不是预期收益率，不代表产品的未来表现和实际收益，亦不构成青银理财对本理财计划的任何收益承诺。</w:t>
      </w:r>
      <w:r>
        <w:rPr>
          <w:rFonts w:ascii="新宋体" w:eastAsia="新宋体" w:hAnsi="新宋体" w:cs="宋体" w:hint="eastAsia"/>
          <w:b/>
          <w:kern w:val="0"/>
          <w:szCs w:val="21"/>
          <w:u w:val="single"/>
        </w:rPr>
        <w:t>理财产品过往业绩不代表其未来表现，不等于理财产品实际收益，投资须谨慎。</w:t>
      </w:r>
    </w:p>
    <w:p w:rsidR="00952162">
      <w:pPr>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hint="eastAsia"/>
          <w:b/>
          <w:kern w:val="0"/>
          <w:szCs w:val="21"/>
        </w:rPr>
        <w:t>本理财计划的产品说明书、理财计划协议书、投资协议书、风险揭示书、客户权益须知等为本理财计划销售协议不可分割的组成部分。购买理财产品前，您应仔细阅读上述文件中的各项条款，确保自己完全理解本理财计划的产品性质、资金投向、各类风险等基本情况，在慎重考虑后自行决定购买与自身风险承受能力和理财需求相匹配的理财产品。</w:t>
      </w:r>
    </w:p>
    <w:p w:rsidR="00952162">
      <w:pPr>
        <w:autoSpaceDE w:val="0"/>
        <w:autoSpaceDN w:val="0"/>
        <w:adjustRightInd w:val="0"/>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b/>
          <w:kern w:val="0"/>
          <w:szCs w:val="21"/>
        </w:rPr>
        <w:t>投资者承诺其用于认购理财计划的资金来源合法合规，不存在使用贷款、发行债券等筹集的非自有资金投资本理财产品的情形。</w:t>
      </w:r>
    </w:p>
    <w:p w:rsidR="00952162">
      <w:pPr>
        <w:autoSpaceDE w:val="0"/>
        <w:autoSpaceDN w:val="0"/>
        <w:adjustRightInd w:val="0"/>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b/>
          <w:kern w:val="0"/>
          <w:szCs w:val="21"/>
        </w:rPr>
        <w:t>投资者承诺投资本理财产品使用的资金为投资者合法持有，不存在代他人持有或投资理财产品的情形；资金来源合法合规，不属于依据联合国、中国政府、美国政府、欧盟等国际组织或政府制裁范围；仅为合法目的投资本理财产品；如发生异常情况，投资者将配合销售服务机构及管理人开展客户身份识别及尽职调查等反洗钱活动，及时、真实、准确、完整提供身份信息及资金来源等信息。</w:t>
      </w:r>
    </w:p>
    <w:p w:rsidR="00952162">
      <w:pPr>
        <w:autoSpaceDE w:val="0"/>
        <w:autoSpaceDN w:val="0"/>
        <w:adjustRightInd w:val="0"/>
        <w:snapToGrid w:val="0"/>
        <w:spacing w:line="360" w:lineRule="auto"/>
        <w:ind w:firstLine="420" w:firstLineChars="200"/>
        <w:jc w:val="left"/>
        <w:rPr>
          <w:rFonts w:ascii="新宋体" w:eastAsia="新宋体" w:hAnsi="新宋体" w:cs="宋体" w:hint="eastAsia"/>
          <w:b/>
          <w:kern w:val="0"/>
          <w:szCs w:val="21"/>
        </w:rPr>
      </w:pPr>
      <w:r>
        <w:rPr>
          <w:rFonts w:ascii="新宋体" w:eastAsia="新宋体" w:hAnsi="新宋体" w:cs="宋体"/>
          <w:b/>
          <w:kern w:val="0"/>
          <w:szCs w:val="21"/>
        </w:rPr>
        <w:t>在本理财计划存续期内，如出于维持本产品正常运营的需要且在不损害投资者利益的前提下，或因国家法律法规、监管规定发生变化， 管理人有权在法律允许的范围内单方对本产品说明书进行修订。 管理人决定对产品说明书进行修订的，将以本《产品说明书》约定的信息披露方式向投资者进行信息披露， 管理人按照前述规则发布该信息披露即视为该修订通知已送达投资者并对投资者具有法律约束力。</w:t>
      </w:r>
    </w:p>
    <w:p w:rsidR="00952162">
      <w:pPr>
        <w:snapToGrid w:val="0"/>
        <w:spacing w:line="360" w:lineRule="auto"/>
        <w:ind w:firstLine="420" w:firstLineChars="200"/>
        <w:jc w:val="left"/>
        <w:rPr>
          <w:rFonts w:ascii="新宋体" w:eastAsia="新宋体" w:hAnsi="新宋体"/>
          <w:b/>
        </w:rPr>
      </w:pPr>
      <w:r>
        <w:rPr>
          <w:rFonts w:ascii="新宋体" w:eastAsia="新宋体" w:hAnsi="新宋体" w:hint="eastAsia"/>
          <w:b/>
        </w:rPr>
        <w:t>一、风险揭示</w:t>
      </w:r>
    </w:p>
    <w:p w:rsidR="00952162">
      <w:pPr>
        <w:snapToGrid w:val="0"/>
        <w:spacing w:line="360" w:lineRule="auto"/>
        <w:jc w:val="left"/>
        <w:rPr>
          <w:rFonts w:ascii="新宋体" w:eastAsia="新宋体" w:hAnsi="新宋体" w:hint="eastAsia"/>
        </w:rPr>
      </w:pPr>
      <w:r>
        <w:rPr>
          <w:rFonts w:ascii="新宋体" w:eastAsia="新宋体" w:hAnsi="新宋体" w:hint="eastAsia"/>
        </w:rPr>
        <w:t>尊敬的客户：</w:t>
      </w:r>
    </w:p>
    <w:p w:rsidR="00952162">
      <w:pPr>
        <w:snapToGrid w:val="0"/>
        <w:spacing w:line="360" w:lineRule="auto"/>
        <w:ind w:firstLine="420" w:firstLineChars="200"/>
        <w:jc w:val="left"/>
        <w:rPr>
          <w:rFonts w:ascii="新宋体" w:eastAsia="新宋体" w:hAnsi="新宋体"/>
          <w:b/>
        </w:rPr>
      </w:pPr>
      <w:r>
        <w:rPr>
          <w:rFonts w:ascii="新宋体" w:eastAsia="新宋体" w:hAnsi="新宋体" w:hint="eastAsia"/>
          <w:b/>
        </w:rPr>
        <w:t>在您购买理财产品前，应仔细阅读本理财对应的产品说明书，同时了解本理财计划的投资风险等相关信息，并自己独立作出是否购买本理财的决定。您签署本产品说明书及相应风险揭示书、理财计划协议书、客户权益须知，并将资金委托于我方运作是您真实的意思表示。本产品说明书及相应理财计划协议书、风险揭示书、客户权益须知等销售材料将共同构成贵我双方理财合同的有效组成部分。</w:t>
      </w:r>
    </w:p>
    <w:p w:rsidR="00952162">
      <w:pPr>
        <w:spacing w:line="360" w:lineRule="auto"/>
        <w:ind w:firstLine="420" w:firstLineChars="200"/>
        <w:rPr>
          <w:rFonts w:ascii="新宋体" w:eastAsia="新宋体" w:hAnsi="新宋体" w:cs="宋体" w:hint="eastAsia"/>
          <w:b/>
          <w:kern w:val="0"/>
          <w:szCs w:val="21"/>
        </w:rPr>
      </w:pPr>
      <w:r>
        <w:rPr>
          <w:rFonts w:ascii="新宋体" w:eastAsia="新宋体" w:hAnsi="新宋体" w:cs="宋体" w:hint="eastAsia"/>
          <w:b/>
          <w:kern w:val="0"/>
          <w:szCs w:val="21"/>
        </w:rPr>
        <w:t>理财非存款，产品有风险，投资须谨慎。您应充分认识以下风险：</w:t>
      </w:r>
    </w:p>
    <w:p w:rsidR="00952162">
      <w:pPr>
        <w:snapToGrid w:val="0"/>
        <w:spacing w:line="360" w:lineRule="auto"/>
        <w:ind w:firstLine="420" w:firstLineChars="200"/>
        <w:jc w:val="left"/>
        <w:rPr>
          <w:rFonts w:ascii="新宋体" w:eastAsia="新宋体" w:hAnsi="新宋体"/>
          <w:b/>
        </w:rPr>
      </w:pPr>
      <w:r>
        <w:rPr>
          <w:rFonts w:ascii="新宋体" w:eastAsia="新宋体" w:hAnsi="新宋体" w:hint="eastAsia"/>
          <w:b/>
        </w:rPr>
        <w:t>1.理财本金及收益风险</w:t>
      </w:r>
    </w:p>
    <w:p w:rsidR="00952162">
      <w:pPr>
        <w:autoSpaceDE w:val="0"/>
        <w:autoSpaceDN w:val="0"/>
        <w:adjustRightInd w:val="0"/>
        <w:snapToGrid w:val="0"/>
        <w:spacing w:line="360" w:lineRule="auto"/>
        <w:ind w:firstLine="420" w:firstLineChars="200"/>
        <w:jc w:val="left"/>
        <w:rPr>
          <w:rFonts w:ascii="新宋体" w:eastAsia="新宋体" w:hAnsi="新宋体"/>
          <w:szCs w:val="21"/>
        </w:rPr>
      </w:pPr>
      <w:r>
        <w:rPr>
          <w:rFonts w:ascii="新宋体" w:eastAsia="新宋体" w:hAnsi="新宋体" w:cs="宋体" w:hint="eastAsia"/>
          <w:kern w:val="0"/>
          <w:szCs w:val="21"/>
        </w:rPr>
        <w:t>本理财计划不保障理财本金和收益，</w:t>
      </w:r>
      <w:r>
        <w:rPr>
          <w:rFonts w:ascii="新宋体" w:eastAsia="新宋体" w:hAnsi="新宋体"/>
          <w:szCs w:val="21"/>
        </w:rPr>
        <w:t>产品的业绩比较基准为综合考虑</w:t>
      </w:r>
      <w:r>
        <w:rPr>
          <w:rFonts w:ascii="新宋体" w:eastAsia="新宋体" w:hAnsi="新宋体" w:hint="eastAsia"/>
        </w:rPr>
        <w:t>当前市场环境、资产配置中枢比例、产品费用及税费等因素</w:t>
      </w:r>
      <w:r>
        <w:rPr>
          <w:rFonts w:ascii="新宋体" w:eastAsia="新宋体" w:hAnsi="新宋体"/>
          <w:szCs w:val="21"/>
        </w:rPr>
        <w:t>而得，不代表产品业绩的未来表现，不作为支付产品本金或收益的承诺。本产品为净值型产品，业绩表现将随市场情况波动，具有不确定性，产品业绩表现存在不达业绩基准的风险。</w:t>
      </w:r>
    </w:p>
    <w:p w:rsidR="00952162">
      <w:pPr>
        <w:autoSpaceDE w:val="0"/>
        <w:autoSpaceDN w:val="0"/>
        <w:adjustRightInd w:val="0"/>
        <w:snapToGrid w:val="0"/>
        <w:spacing w:line="360" w:lineRule="auto"/>
        <w:ind w:firstLine="420" w:firstLineChars="200"/>
        <w:jc w:val="left"/>
        <w:rPr>
          <w:rFonts w:ascii="新宋体" w:eastAsia="新宋体" w:hAnsi="新宋体" w:cs="宋体"/>
          <w:kern w:val="0"/>
          <w:szCs w:val="21"/>
        </w:rPr>
      </w:pPr>
      <w:r>
        <w:rPr>
          <w:rFonts w:ascii="新宋体" w:eastAsia="新宋体" w:hAnsi="新宋体"/>
          <w:szCs w:val="21"/>
        </w:rPr>
        <w:t>综合考虑本产品的投资组合、同类产品过往业绩和风险水平（包括但不限于拟投资市场和资产的风险评估等）等因素</w:t>
      </w:r>
      <w:r>
        <w:t>，</w:t>
      </w:r>
      <w:r>
        <w:rPr>
          <w:rFonts w:ascii="新宋体" w:eastAsia="新宋体" w:hAnsi="新宋体" w:cs="宋体" w:hint="eastAsia"/>
          <w:kern w:val="0"/>
          <w:szCs w:val="21"/>
        </w:rPr>
        <w:t>本产品的青银理财内部评级为</w:t>
      </w:r>
      <w:r>
        <w:rPr>
          <w:rFonts w:ascii="新宋体" w:eastAsia="新宋体" w:hAnsi="新宋体" w:cs="宋体" w:hint="eastAsia"/>
          <w:b/>
          <w:kern w:val="0"/>
          <w:szCs w:val="21"/>
        </w:rPr>
        <w:t>稳健型，</w:t>
      </w:r>
      <w:r>
        <w:rPr>
          <w:rFonts w:ascii="新宋体" w:eastAsia="新宋体" w:hAnsi="新宋体" w:cs="宋体" w:hint="eastAsia"/>
          <w:kern w:val="0"/>
          <w:szCs w:val="21"/>
        </w:rPr>
        <w:t>投资者应充分认识投资风险，谨慎投资。</w:t>
      </w:r>
    </w:p>
    <w:p w:rsidR="00952162">
      <w:pPr>
        <w:autoSpaceDE w:val="0"/>
        <w:autoSpaceDN w:val="0"/>
        <w:adjustRightInd w:val="0"/>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hint="eastAsia"/>
          <w:b/>
          <w:kern w:val="0"/>
          <w:szCs w:val="21"/>
        </w:rPr>
        <w:t>该产品通过代理销售机构渠道销售的，理财产品评级应当以代理销售机构最终披露的评级结果为准。</w:t>
      </w:r>
    </w:p>
    <w:p w:rsidR="00952162">
      <w:pPr>
        <w:autoSpaceDE w:val="0"/>
        <w:autoSpaceDN w:val="0"/>
        <w:adjustRightInd w:val="0"/>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hint="eastAsia"/>
          <w:kern w:val="0"/>
          <w:szCs w:val="21"/>
        </w:rPr>
        <w:t>青银理财根据资产投资类别、风险收益特点、流动性等因素对产品进行风险评级，按产品风险级别</w:t>
      </w:r>
      <w:r>
        <w:rPr>
          <w:rFonts w:ascii="新宋体" w:eastAsia="新宋体" w:hAnsi="新宋体" w:cs="宋体" w:hint="eastAsia"/>
          <w:b/>
          <w:kern w:val="0"/>
          <w:szCs w:val="21"/>
        </w:rPr>
        <w:t>从低到高分为五级</w:t>
      </w:r>
      <w:r>
        <w:rPr>
          <w:rFonts w:ascii="新宋体" w:eastAsia="新宋体" w:hAnsi="新宋体" w:cs="宋体" w:hint="eastAsia"/>
          <w:kern w:val="0"/>
          <w:szCs w:val="21"/>
        </w:rPr>
        <w:t>，依次为：谨慎型 (</w:t>
      </w:r>
      <w:r>
        <w:rPr>
          <w:rFonts w:ascii="新宋体" w:eastAsia="新宋体" w:hAnsi="新宋体" w:cs="宋体" w:hint="eastAsia"/>
          <w:kern w:val="0"/>
          <w:szCs w:val="21"/>
        </w:rPr>
        <w:t>★</w:t>
      </w:r>
      <w:r>
        <w:rPr>
          <w:rFonts w:ascii="新宋体" w:eastAsia="新宋体" w:hAnsi="新宋体" w:cs="宋体" w:hint="eastAsia"/>
          <w:kern w:val="0"/>
          <w:szCs w:val="21"/>
        </w:rPr>
        <w:t>)、稳健型 (</w:t>
      </w:r>
      <w:r>
        <w:rPr>
          <w:rFonts w:ascii="新宋体" w:eastAsia="新宋体" w:hAnsi="新宋体" w:cs="宋体" w:hint="eastAsia"/>
          <w:kern w:val="0"/>
          <w:szCs w:val="21"/>
        </w:rPr>
        <w:t>★★</w:t>
      </w:r>
      <w:r>
        <w:rPr>
          <w:rFonts w:ascii="新宋体" w:eastAsia="新宋体" w:hAnsi="新宋体" w:cs="宋体" w:hint="eastAsia"/>
          <w:kern w:val="0"/>
          <w:szCs w:val="21"/>
        </w:rPr>
        <w:t>)、平衡型 (</w:t>
      </w:r>
      <w:r>
        <w:rPr>
          <w:rFonts w:ascii="新宋体" w:eastAsia="新宋体" w:hAnsi="新宋体" w:cs="宋体" w:hint="eastAsia"/>
          <w:kern w:val="0"/>
          <w:szCs w:val="21"/>
        </w:rPr>
        <w:t>★★★</w:t>
      </w:r>
      <w:r>
        <w:rPr>
          <w:rFonts w:ascii="新宋体" w:eastAsia="新宋体" w:hAnsi="新宋体" w:cs="宋体" w:hint="eastAsia"/>
          <w:kern w:val="0"/>
          <w:szCs w:val="21"/>
        </w:rPr>
        <w:t>)、进取型 (</w:t>
      </w:r>
      <w:r>
        <w:rPr>
          <w:rFonts w:ascii="新宋体" w:eastAsia="新宋体" w:hAnsi="新宋体" w:cs="宋体" w:hint="eastAsia"/>
          <w:kern w:val="0"/>
          <w:szCs w:val="21"/>
        </w:rPr>
        <w:t>★★★★</w:t>
      </w:r>
      <w:r>
        <w:rPr>
          <w:rFonts w:ascii="新宋体" w:eastAsia="新宋体" w:hAnsi="新宋体" w:cs="宋体" w:hint="eastAsia"/>
          <w:kern w:val="0"/>
          <w:szCs w:val="21"/>
        </w:rPr>
        <w:t>)、激进型 (</w:t>
      </w:r>
      <w:r>
        <w:rPr>
          <w:rFonts w:ascii="新宋体" w:eastAsia="新宋体" w:hAnsi="新宋体" w:cs="宋体" w:hint="eastAsia"/>
          <w:kern w:val="0"/>
          <w:szCs w:val="21"/>
        </w:rPr>
        <w:t>★★★★★</w:t>
      </w:r>
      <w:r>
        <w:rPr>
          <w:rFonts w:ascii="新宋体" w:eastAsia="新宋体" w:hAnsi="新宋体" w:cs="宋体" w:hint="eastAsia"/>
          <w:kern w:val="0"/>
          <w:szCs w:val="21"/>
        </w:rPr>
        <w:t>)。（本评级为青银理财内部评级，仅供参考）</w:t>
      </w:r>
    </w:p>
    <w:p w:rsidR="00952162">
      <w:pPr>
        <w:autoSpaceDE w:val="0"/>
        <w:autoSpaceDN w:val="0"/>
        <w:adjustRightInd w:val="0"/>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hint="eastAsia"/>
          <w:b/>
          <w:kern w:val="0"/>
          <w:szCs w:val="21"/>
        </w:rPr>
        <w:t>2.管理人风险</w:t>
      </w:r>
    </w:p>
    <w:p w:rsidR="00952162">
      <w:pPr>
        <w:snapToGrid w:val="0"/>
        <w:spacing w:line="360" w:lineRule="auto"/>
        <w:ind w:firstLine="420" w:firstLineChars="200"/>
        <w:jc w:val="left"/>
        <w:rPr>
          <w:rFonts w:ascii="新宋体" w:eastAsia="新宋体" w:hAnsi="新宋体"/>
          <w:szCs w:val="21"/>
        </w:rPr>
      </w:pPr>
      <w:r>
        <w:rPr>
          <w:rFonts w:ascii="新宋体" w:eastAsia="新宋体" w:hAnsi="新宋体" w:hint="eastAsia"/>
          <w:szCs w:val="21"/>
        </w:rPr>
        <w:t>因管理人（包括本理财计划的理财管理人、所投资信托计划/资管计划的受托人（如有）、相关投资顾问（如有）等，下同）受经验、技能等因素限制，可能导致本理财计划项下的理财资金遭受损失。</w:t>
      </w:r>
    </w:p>
    <w:p w:rsidR="00952162">
      <w:pPr>
        <w:autoSpaceDE w:val="0"/>
        <w:autoSpaceDN w:val="0"/>
        <w:adjustRightInd w:val="0"/>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hint="eastAsia"/>
          <w:b/>
          <w:kern w:val="0"/>
          <w:szCs w:val="21"/>
        </w:rPr>
        <w:t>3.市场风险</w:t>
      </w:r>
    </w:p>
    <w:p w:rsidR="00952162">
      <w:pPr>
        <w:snapToGrid w:val="0"/>
        <w:spacing w:line="360" w:lineRule="auto"/>
        <w:ind w:firstLine="420" w:firstLineChars="200"/>
        <w:jc w:val="left"/>
        <w:rPr>
          <w:rFonts w:ascii="新宋体" w:eastAsia="新宋体" w:hAnsi="新宋体"/>
          <w:szCs w:val="21"/>
        </w:rPr>
      </w:pPr>
      <w:r>
        <w:rPr>
          <w:rFonts w:ascii="新宋体" w:eastAsia="新宋体" w:hAnsi="新宋体" w:hint="eastAsia"/>
          <w:szCs w:val="21"/>
        </w:rPr>
        <w:t>受未来各种市场因素变化影响，本产品基础资产价值可能波动，进而导致客户投资收益波动，甚至本金损失。</w:t>
      </w:r>
      <w:r>
        <w:t>市场风险包括但不限于投资债券面临的利率变化及债券价格波动带来的风险，投资股票面临的股票价格波动带来的风险，投资商品及金融衍生品面临的商品及衍生品价格波动带来的风险等。</w:t>
      </w:r>
      <w:r>
        <w:rPr>
          <w:rFonts w:ascii="新宋体" w:eastAsia="新宋体" w:hAnsi="新宋体" w:hint="eastAsia"/>
          <w:szCs w:val="21"/>
        </w:rPr>
        <w:t>青银理财将竭力降低市场风险带来的负面影响，但并不能完全规避。</w:t>
      </w:r>
    </w:p>
    <w:p w:rsidR="00952162">
      <w:pPr>
        <w:snapToGrid w:val="0"/>
        <w:spacing w:line="360" w:lineRule="auto"/>
        <w:ind w:firstLine="420" w:firstLineChars="200"/>
        <w:jc w:val="left"/>
        <w:rPr>
          <w:rFonts w:ascii="新宋体" w:eastAsia="新宋体" w:hAnsi="新宋体"/>
          <w:b/>
          <w:szCs w:val="21"/>
        </w:rPr>
      </w:pPr>
      <w:r>
        <w:rPr>
          <w:rFonts w:ascii="新宋体" w:eastAsia="新宋体" w:hAnsi="新宋体" w:hint="eastAsia"/>
          <w:b/>
          <w:szCs w:val="21"/>
        </w:rPr>
        <w:t>4.政策风险</w:t>
      </w:r>
    </w:p>
    <w:p w:rsidR="00952162">
      <w:pPr>
        <w:autoSpaceDE w:val="0"/>
        <w:autoSpaceDN w:val="0"/>
        <w:adjustRightInd w:val="0"/>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hint="eastAsia"/>
          <w:kern w:val="0"/>
          <w:szCs w:val="21"/>
        </w:rPr>
        <w:t>本理财计划是针对当前的相关法规和政策设计的。如国家宏观政策、市场相关法规政策等发生变化，可能影响理财计划的受理、投资、偿还等环节的正常进行，甚至导致本理财计划收益降低或本金损失。</w:t>
      </w:r>
    </w:p>
    <w:p w:rsidR="00952162">
      <w:pPr>
        <w:autoSpaceDE w:val="0"/>
        <w:autoSpaceDN w:val="0"/>
        <w:adjustRightInd w:val="0"/>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hint="eastAsia"/>
          <w:b/>
          <w:kern w:val="0"/>
          <w:szCs w:val="21"/>
        </w:rPr>
        <w:t>5.流动性风险</w:t>
      </w:r>
    </w:p>
    <w:p w:rsidR="00952162">
      <w:pPr>
        <w:autoSpaceDE w:val="0"/>
        <w:autoSpaceDN w:val="0"/>
        <w:adjustRightInd w:val="0"/>
        <w:snapToGrid w:val="0"/>
        <w:spacing w:line="360" w:lineRule="auto"/>
        <w:ind w:firstLine="420" w:firstLineChars="200"/>
        <w:jc w:val="left"/>
        <w:rPr>
          <w:rFonts w:ascii="新宋体" w:eastAsia="新宋体" w:hAnsi="新宋体" w:cs="宋体" w:hint="eastAsia"/>
          <w:kern w:val="0"/>
          <w:szCs w:val="21"/>
        </w:rPr>
      </w:pPr>
      <w:r>
        <w:rPr>
          <w:rFonts w:ascii="新宋体" w:eastAsia="新宋体" w:hAnsi="新宋体" w:cs="宋体" w:hint="eastAsia"/>
          <w:kern w:val="0"/>
          <w:szCs w:val="21"/>
        </w:rPr>
        <w:t>在特定市场环境下，理财产品所投资的部分市场或资产可能出现流动性较差的情况，导致理财产品存在无法通过变现资产等途径以合理成本及时获得充足资金，用于满足投资者赎回需求、履行其他支付义务的风险。对于有明确投资期限的理财产品，在存续期内如果您产生流动性需求，可能面临理财产品投资期限与资金需求日不匹配的流动性风险。此外，针对开放式产品，投资者只能在开放期的交易时间内进行申购、赎回，开放期内若发生巨额赎回，投资者将面临不能及时赎回理财产品的流动性风险。</w:t>
      </w:r>
    </w:p>
    <w:p w:rsidR="00952162">
      <w:pPr>
        <w:autoSpaceDE w:val="0"/>
        <w:autoSpaceDN w:val="0"/>
        <w:adjustRightInd w:val="0"/>
        <w:snapToGrid w:val="0"/>
        <w:spacing w:line="360" w:lineRule="auto"/>
        <w:ind w:firstLine="420" w:firstLineChars="200"/>
        <w:jc w:val="left"/>
        <w:rPr>
          <w:rFonts w:ascii="新宋体" w:eastAsia="新宋体" w:hAnsi="新宋体" w:cs="宋体" w:hint="eastAsia"/>
          <w:b/>
          <w:kern w:val="0"/>
          <w:szCs w:val="21"/>
        </w:rPr>
      </w:pPr>
      <w:r>
        <w:rPr>
          <w:rFonts w:ascii="新宋体" w:eastAsia="新宋体" w:hAnsi="新宋体" w:cs="宋体" w:hint="eastAsia"/>
          <w:b/>
          <w:kern w:val="0"/>
          <w:szCs w:val="21"/>
        </w:rPr>
        <w:t>6.理财计划不成立风险</w:t>
      </w:r>
    </w:p>
    <w:p w:rsidR="00952162">
      <w:pPr>
        <w:autoSpaceDE w:val="0"/>
        <w:autoSpaceDN w:val="0"/>
        <w:adjustRightInd w:val="0"/>
        <w:snapToGrid w:val="0"/>
        <w:spacing w:line="360" w:lineRule="auto"/>
        <w:ind w:firstLine="420" w:firstLineChars="200"/>
        <w:jc w:val="left"/>
        <w:rPr>
          <w:rFonts w:ascii="新宋体" w:eastAsia="新宋体" w:hAnsi="新宋体" w:cs="宋体"/>
          <w:kern w:val="0"/>
          <w:szCs w:val="21"/>
        </w:rPr>
      </w:pPr>
      <w:r>
        <w:rPr>
          <w:rFonts w:ascii="新宋体" w:eastAsia="新宋体" w:hAnsi="新宋体" w:cs="宋体" w:hint="eastAsia"/>
          <w:kern w:val="0"/>
          <w:szCs w:val="21"/>
        </w:rPr>
        <w:t>如本理财计划认购总金额未达规模下限（如有约定），或国家政策以及市场相关法规政策发生变化使本理财计划无法正常成立，或市场发生剧烈波动，经青银理财合理判断难以按照本产品说明书规定向投资者提供本理财计划，则青银理财有权宣布本理财计划不成立。</w:t>
      </w:r>
    </w:p>
    <w:p w:rsidR="00952162">
      <w:pPr>
        <w:autoSpaceDE w:val="0"/>
        <w:autoSpaceDN w:val="0"/>
        <w:adjustRightInd w:val="0"/>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hint="eastAsia"/>
          <w:b/>
          <w:kern w:val="0"/>
          <w:szCs w:val="21"/>
        </w:rPr>
        <w:t>7</w:t>
      </w:r>
      <w:r>
        <w:rPr>
          <w:rFonts w:ascii="新宋体" w:eastAsia="新宋体" w:hAnsi="新宋体" w:cs="宋体"/>
          <w:b/>
          <w:kern w:val="0"/>
          <w:szCs w:val="21"/>
        </w:rPr>
        <w:t>.</w:t>
      </w:r>
      <w:r>
        <w:rPr>
          <w:rFonts w:ascii="新宋体" w:eastAsia="新宋体" w:hAnsi="新宋体" w:cs="宋体" w:hint="eastAsia"/>
          <w:b/>
          <w:kern w:val="0"/>
          <w:szCs w:val="21"/>
        </w:rPr>
        <w:t>理财计划提前终止风险</w:t>
      </w:r>
    </w:p>
    <w:p w:rsidR="00952162">
      <w:pPr>
        <w:snapToGrid w:val="0"/>
        <w:spacing w:line="360" w:lineRule="auto"/>
        <w:ind w:firstLine="420" w:firstLineChars="200"/>
        <w:jc w:val="left"/>
        <w:rPr>
          <w:rFonts w:ascii="新宋体" w:eastAsia="新宋体" w:hAnsi="新宋体"/>
          <w:b/>
          <w:szCs w:val="21"/>
        </w:rPr>
      </w:pPr>
      <w:r>
        <w:rPr>
          <w:rFonts w:ascii="新宋体" w:eastAsia="新宋体" w:hAnsi="新宋体" w:hint="eastAsia"/>
          <w:szCs w:val="21"/>
        </w:rPr>
        <w:t>产品存续期内，为保护客户利益，</w:t>
      </w:r>
      <w:r>
        <w:t>如遇包括但不限于国家金融政策发生重大调整、金融市场发生重大波动、不可抗力、产品存续规模低于产品最低成立规模或产品管理人认为影响产品运作需要提前终止产品的其他情况，</w:t>
      </w:r>
      <w:r>
        <w:rPr>
          <w:rFonts w:ascii="新宋体" w:eastAsia="新宋体" w:hAnsi="新宋体" w:hint="eastAsia"/>
          <w:szCs w:val="21"/>
        </w:rPr>
        <w:t>青银理财可能根据</w:t>
      </w:r>
      <w:r>
        <w:t>国家金融政策</w:t>
      </w:r>
      <w:r>
        <w:rPr>
          <w:rFonts w:hint="eastAsia"/>
        </w:rPr>
        <w:t>、</w:t>
      </w:r>
      <w:r>
        <w:rPr>
          <w:rFonts w:ascii="新宋体" w:eastAsia="新宋体" w:hAnsi="新宋体" w:hint="eastAsia"/>
          <w:szCs w:val="21"/>
        </w:rPr>
        <w:t>市场变化等情况选择提前终止本期产品，客户可能因此面临不能按预定期限取得本金及预期收益的风险。</w:t>
      </w:r>
      <w:r>
        <w:t>（具体信息及相关规则见</w:t>
      </w:r>
      <w:r>
        <w:rPr>
          <w:rFonts w:hint="eastAsia"/>
          <w:b/>
        </w:rPr>
        <w:t>十二、产品到期终止</w:t>
      </w:r>
      <w:r>
        <w:t>）</w:t>
      </w:r>
    </w:p>
    <w:p w:rsidR="00952162">
      <w:pPr>
        <w:autoSpaceDE w:val="0"/>
        <w:autoSpaceDN w:val="0"/>
        <w:adjustRightInd w:val="0"/>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b/>
          <w:kern w:val="0"/>
          <w:szCs w:val="21"/>
        </w:rPr>
        <w:t>8</w:t>
      </w:r>
      <w:r>
        <w:rPr>
          <w:rFonts w:ascii="新宋体" w:eastAsia="新宋体" w:hAnsi="新宋体" w:cs="宋体" w:hint="eastAsia"/>
          <w:b/>
          <w:kern w:val="0"/>
          <w:szCs w:val="21"/>
        </w:rPr>
        <w:t>.信息传递风险</w:t>
      </w:r>
    </w:p>
    <w:p w:rsidR="00952162">
      <w:pPr>
        <w:autoSpaceDE w:val="0"/>
        <w:autoSpaceDN w:val="0"/>
        <w:adjustRightInd w:val="0"/>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hint="eastAsia"/>
          <w:b/>
          <w:kern w:val="0"/>
          <w:szCs w:val="21"/>
        </w:rPr>
        <w:t>青银理财或代理销售机构将按照本理财计划产品说明书所约定的方式进行信息披露，客户应充分关注并主动及时查询青银理财披露的相关信息。青银</w:t>
      </w:r>
      <w:r>
        <w:rPr>
          <w:b/>
        </w:rPr>
        <w:t>理财或代理销售机构通过理财产品销售文件约定方式披露信息后，视为本公司已向您完全履行信息披露义务，您可及时登录本公司/代理销售机构网站或致电本公司/代理销售机构客户服务热线（</w:t>
      </w:r>
      <w:r>
        <w:rPr>
          <w:rFonts w:hint="eastAsia"/>
          <w:b/>
        </w:rPr>
        <w:t>青银</w:t>
      </w:r>
      <w:r>
        <w:rPr>
          <w:b/>
        </w:rPr>
        <w:t>理财：4000879666；代理销售机构详见</w:t>
      </w:r>
      <w:r>
        <w:rPr>
          <w:rFonts w:hint="eastAsia"/>
          <w:b/>
        </w:rPr>
        <w:t>客户权益须知）</w:t>
      </w:r>
      <w:r>
        <w:rPr>
          <w:b/>
        </w:rPr>
        <w:t>查询。如因您未及时查询，或因通讯、系统故障或其他不可抗力等因素的影响，致使您无法及时了解理财产品信息，所产生的责任和风险将由您自行承担。</w:t>
      </w:r>
      <w:r>
        <w:rPr>
          <w:rFonts w:ascii="新宋体" w:eastAsia="新宋体" w:hAnsi="新宋体" w:cs="宋体" w:hint="eastAsia"/>
          <w:b/>
          <w:kern w:val="0"/>
          <w:szCs w:val="21"/>
        </w:rPr>
        <w:t>客户预留</w:t>
      </w:r>
      <w:r>
        <w:rPr>
          <w:rFonts w:ascii="新宋体" w:eastAsia="新宋体" w:hAnsi="新宋体" w:cs="宋体"/>
          <w:b/>
          <w:kern w:val="0"/>
          <w:szCs w:val="21"/>
        </w:rPr>
        <w:t>在</w:t>
      </w:r>
      <w:r>
        <w:rPr>
          <w:rFonts w:ascii="新宋体" w:eastAsia="新宋体" w:hAnsi="新宋体" w:cs="宋体" w:hint="eastAsia"/>
          <w:b/>
          <w:kern w:val="0"/>
          <w:szCs w:val="21"/>
        </w:rPr>
        <w:t>青银理财</w:t>
      </w:r>
      <w:r>
        <w:rPr>
          <w:rFonts w:ascii="新宋体" w:eastAsia="新宋体" w:hAnsi="新宋体" w:cs="宋体"/>
          <w:b/>
          <w:kern w:val="0"/>
          <w:szCs w:val="21"/>
        </w:rPr>
        <w:t>或代理销售机构</w:t>
      </w:r>
      <w:r>
        <w:rPr>
          <w:rFonts w:ascii="新宋体" w:eastAsia="新宋体" w:hAnsi="新宋体" w:cs="宋体" w:hint="eastAsia"/>
          <w:b/>
          <w:kern w:val="0"/>
          <w:szCs w:val="21"/>
        </w:rPr>
        <w:t>的联系方式如有变更应及时进行调整以通知青银理财或代理销售机构。如因客户未及时查询相关信息，或预留联系方式变更未及时通知青银理财或代理销售机构，导致青银理财或代理销售机构在需要的时候无法及时联系客户，可能因此影响客户的投资决策，由此而产生的责任和风险由客户自行承担。</w:t>
      </w:r>
    </w:p>
    <w:p w:rsidR="00952162">
      <w:pPr>
        <w:autoSpaceDE w:val="0"/>
        <w:autoSpaceDN w:val="0"/>
        <w:adjustRightInd w:val="0"/>
        <w:snapToGrid w:val="0"/>
        <w:spacing w:line="360" w:lineRule="auto"/>
        <w:ind w:firstLine="420" w:firstLineChars="200"/>
        <w:jc w:val="left"/>
        <w:rPr>
          <w:rFonts w:ascii="新宋体" w:eastAsia="新宋体" w:hAnsi="新宋体" w:cs="宋体"/>
          <w:b/>
          <w:kern w:val="0"/>
          <w:szCs w:val="21"/>
        </w:rPr>
      </w:pPr>
      <w:r>
        <w:rPr>
          <w:rFonts w:ascii="新宋体" w:eastAsia="新宋体" w:hAnsi="新宋体" w:cs="宋体"/>
          <w:b/>
          <w:kern w:val="0"/>
          <w:szCs w:val="21"/>
        </w:rPr>
        <w:t>9</w:t>
      </w:r>
      <w:r>
        <w:rPr>
          <w:rFonts w:ascii="新宋体" w:eastAsia="新宋体" w:hAnsi="新宋体" w:cs="宋体" w:hint="eastAsia"/>
          <w:b/>
          <w:kern w:val="0"/>
          <w:szCs w:val="21"/>
        </w:rPr>
        <w:t>.不可抗力及意外事件风险</w:t>
      </w:r>
    </w:p>
    <w:p w:rsidR="00952162">
      <w:pPr>
        <w:pStyle w:val="NormalWeb"/>
        <w:spacing w:before="0" w:beforeAutospacing="0" w:after="0" w:afterAutospacing="0" w:line="360" w:lineRule="auto"/>
        <w:ind w:firstLine="420"/>
        <w:rPr>
          <w:rFonts w:ascii="新宋体" w:eastAsia="新宋体" w:hAnsi="新宋体"/>
          <w:sz w:val="21"/>
          <w:szCs w:val="21"/>
        </w:rPr>
      </w:pPr>
      <w:r>
        <w:rPr>
          <w:rFonts w:ascii="新宋体" w:eastAsia="新宋体" w:hAnsi="新宋体" w:hint="eastAsia"/>
          <w:sz w:val="21"/>
          <w:szCs w:val="21"/>
        </w:rPr>
        <w:t>不可抗力因素可能导致理财资产收益降低或本金损失，影响理财计划的信息传递、成立、运作、偿还及本金安全。</w:t>
      </w:r>
      <w:r>
        <w:rPr>
          <w:rFonts w:ascii="新宋体" w:eastAsia="新宋体" w:hAnsi="新宋体" w:hint="eastAsia"/>
          <w:sz w:val="21"/>
          <w:szCs w:val="21"/>
        </w:rPr>
        <w:t>“</w:t>
      </w:r>
      <w:r>
        <w:rPr>
          <w:rFonts w:ascii="新宋体" w:eastAsia="新宋体" w:hAnsi="新宋体" w:hint="eastAsia"/>
          <w:sz w:val="21"/>
          <w:szCs w:val="21"/>
        </w:rPr>
        <w:t>不可抗力</w:t>
      </w:r>
      <w:r>
        <w:rPr>
          <w:rFonts w:ascii="新宋体" w:eastAsia="新宋体" w:hAnsi="新宋体" w:hint="eastAsia"/>
          <w:sz w:val="21"/>
          <w:szCs w:val="21"/>
        </w:rPr>
        <w:t>”</w:t>
      </w:r>
      <w:r>
        <w:rPr>
          <w:rFonts w:ascii="新宋体" w:eastAsia="新宋体" w:hAnsi="新宋体" w:hint="eastAsia"/>
          <w:sz w:val="21"/>
          <w:szCs w:val="21"/>
        </w:rPr>
        <w:t>是指交易各方不能合理控制、不可预见或即使预见亦无法避免的事件，该事件妨碍、影响或延误任何一方履行其全部或部分权利和义务。该事件包括但不限于自然灾害、战争、骚乱、相关法律法规出台变更及市场环境突变等因素。</w:t>
      </w:r>
    </w:p>
    <w:p w:rsidR="00952162">
      <w:pPr>
        <w:pStyle w:val="NormalWeb"/>
        <w:spacing w:before="0" w:beforeAutospacing="0" w:after="0" w:afterAutospacing="0" w:line="360" w:lineRule="auto"/>
        <w:ind w:firstLine="420"/>
        <w:rPr>
          <w:rFonts w:ascii="新宋体" w:eastAsia="新宋体" w:hAnsi="新宋体" w:hint="eastAsia"/>
          <w:color w:val="000000"/>
          <w:sz w:val="27"/>
          <w:szCs w:val="27"/>
        </w:rPr>
      </w:pPr>
      <w:r>
        <w:rPr>
          <w:b/>
          <w:sz w:val="21"/>
          <w:szCs w:val="21"/>
        </w:rPr>
        <w:t>以上风险仅为列举性质，详见产品风险揭示书。</w:t>
      </w:r>
    </w:p>
    <w:p w:rsidR="00952162">
      <w:pPr>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二、产品概述</w:t>
      </w:r>
    </w:p>
    <w:tbl>
      <w:tblPr>
        <w:tblStyle w:val="TableNormal"/>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783"/>
        <w:gridCol w:w="7523"/>
      </w:tblGrid>
      <w:tr>
        <w:tblPrEx>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Ex>
        <w:trPr>
          <w:trHeight w:val="298"/>
        </w:trPr>
        <w:tc>
          <w:tcPr>
            <w:tcW w:w="9306" w:type="dxa"/>
            <w:gridSpan w:val="2"/>
            <w:vAlign w:val="center"/>
          </w:tcPr>
          <w:p w:rsidR="00952162">
            <w:pPr>
              <w:spacing w:line="360" w:lineRule="auto"/>
              <w:jc w:val="center"/>
              <w:rPr>
                <w:rFonts w:ascii="新宋体" w:eastAsia="新宋体" w:hAnsi="新宋体"/>
                <w:szCs w:val="21"/>
              </w:rPr>
            </w:pPr>
            <w:r>
              <w:rPr>
                <w:rFonts w:ascii="新宋体" w:eastAsia="新宋体" w:hAnsi="新宋体" w:hint="eastAsia"/>
                <w:szCs w:val="21"/>
              </w:rPr>
              <w:t>本产品青银理财内部风险评级为稳健型</w:t>
            </w:r>
            <w:r>
              <w:rPr>
                <w:rFonts w:ascii="新宋体" w:eastAsia="新宋体" w:hAnsi="新宋体" w:hint="eastAsia"/>
                <w:szCs w:val="21"/>
              </w:rPr>
              <w:t>★★</w:t>
            </w:r>
            <w:r>
              <w:rPr>
                <w:rFonts w:ascii="新宋体" w:eastAsia="新宋体" w:hAnsi="新宋体" w:hint="eastAsia"/>
                <w:szCs w:val="21"/>
              </w:rPr>
              <w:t>，</w:t>
            </w:r>
          </w:p>
          <w:p w:rsidR="00952162">
            <w:pPr>
              <w:spacing w:line="360" w:lineRule="auto"/>
              <w:jc w:val="center"/>
              <w:rPr>
                <w:rFonts w:ascii="新宋体" w:eastAsia="新宋体" w:hAnsi="新宋体" w:hint="eastAsia"/>
                <w:szCs w:val="21"/>
              </w:rPr>
            </w:pPr>
            <w:r>
              <w:rPr>
                <w:rFonts w:ascii="新宋体" w:eastAsia="新宋体" w:hAnsi="新宋体" w:hint="eastAsia"/>
                <w:szCs w:val="21"/>
              </w:rPr>
              <w:t>适合经青银理财评估为稳健型及以上级别个人客户和机构客户购买。上述信息仅供参考。</w:t>
            </w:r>
          </w:p>
        </w:tc>
      </w:tr>
      <w:tr>
        <w:tblPrEx>
          <w:tblW w:w="0" w:type="auto"/>
          <w:tblInd w:w="108" w:type="dxa"/>
          <w:tblLayout w:type="fixed"/>
          <w:tblLook w:val="0000"/>
        </w:tblPrEx>
        <w:trPr>
          <w:trHeight w:val="247"/>
        </w:trPr>
        <w:tc>
          <w:tcPr>
            <w:tcW w:w="1783" w:type="dxa"/>
            <w:vAlign w:val="center"/>
          </w:tcPr>
          <w:p w:rsidR="00952162">
            <w:pPr>
              <w:spacing w:line="360" w:lineRule="auto"/>
              <w:jc w:val="center"/>
              <w:rPr>
                <w:rFonts w:ascii="新宋体" w:eastAsia="新宋体" w:hAnsi="新宋体" w:hint="eastAsia"/>
                <w:szCs w:val="21"/>
              </w:rPr>
            </w:pPr>
            <w:r>
              <w:rPr>
                <w:rFonts w:ascii="新宋体" w:eastAsia="新宋体" w:hAnsi="新宋体" w:hint="eastAsia"/>
                <w:szCs w:val="21"/>
              </w:rPr>
              <w:t>产品名称</w:t>
            </w:r>
          </w:p>
        </w:tc>
        <w:tc>
          <w:tcPr>
            <w:tcW w:w="7523" w:type="dxa"/>
            <w:vAlign w:val="center"/>
          </w:tcPr>
          <w:p w:rsidR="00952162">
            <w:pPr>
              <w:widowControl/>
              <w:spacing w:line="360" w:lineRule="auto"/>
              <w:jc w:val="left"/>
              <w:rPr>
                <w:rFonts w:ascii="新宋体" w:eastAsia="新宋体" w:hAnsi="新宋体"/>
                <w:kern w:val="0"/>
                <w:sz w:val="24"/>
              </w:rPr>
            </w:pPr>
            <w:r>
              <w:rPr>
                <w:rFonts w:ascii="新宋体" w:eastAsia="新宋体" w:hAnsi="新宋体"/>
              </w:rPr>
              <w:t>青银理财璀璨人生成就系列人民币理财计划2025年568期</w:t>
            </w:r>
          </w:p>
        </w:tc>
      </w:tr>
      <w:tr>
        <w:tblPrEx>
          <w:tblW w:w="0" w:type="auto"/>
          <w:tblInd w:w="108" w:type="dxa"/>
          <w:tblLayout w:type="fixed"/>
          <w:tblLook w:val="0000"/>
        </w:tblPrEx>
        <w:trPr>
          <w:trHeight w:val="247"/>
        </w:trPr>
        <w:tc>
          <w:tcPr>
            <w:tcW w:w="1783" w:type="dxa"/>
            <w:vAlign w:val="center"/>
          </w:tcPr>
          <w:p w:rsidR="00952162">
            <w:pPr>
              <w:spacing w:line="360" w:lineRule="auto"/>
              <w:jc w:val="center"/>
              <w:rPr>
                <w:rFonts w:ascii="新宋体" w:eastAsia="新宋体" w:hAnsi="新宋体" w:hint="eastAsia"/>
                <w:szCs w:val="21"/>
              </w:rPr>
            </w:pPr>
            <w:r>
              <w:rPr>
                <w:rFonts w:ascii="新宋体" w:eastAsia="新宋体" w:hAnsi="新宋体" w:hint="eastAsia"/>
                <w:szCs w:val="21"/>
              </w:rPr>
              <w:t>产品简称</w:t>
            </w:r>
          </w:p>
        </w:tc>
        <w:tc>
          <w:tcPr>
            <w:tcW w:w="7523" w:type="dxa"/>
            <w:vAlign w:val="center"/>
          </w:tcPr>
          <w:p w:rsidR="00952162">
            <w:pPr>
              <w:spacing w:line="360" w:lineRule="auto"/>
              <w:rPr>
                <w:rFonts w:ascii="新宋体" w:eastAsia="新宋体" w:hAnsi="新宋体" w:hint="eastAsia"/>
              </w:rPr>
            </w:pPr>
            <w:r>
              <w:rPr>
                <w:rFonts w:ascii="新宋体" w:eastAsia="新宋体" w:hAnsi="新宋体"/>
              </w:rPr>
              <w:t>青银理财成就系列丰收封闭式2025年568期</w:t>
            </w:r>
          </w:p>
        </w:tc>
      </w:tr>
      <w:tr>
        <w:tblPrEx>
          <w:tblW w:w="0" w:type="auto"/>
          <w:tblInd w:w="108" w:type="dxa"/>
          <w:tblLayout w:type="fixed"/>
          <w:tblLook w:val="0000"/>
        </w:tblPrEx>
        <w:trPr>
          <w:trHeight w:val="247"/>
        </w:trPr>
        <w:tc>
          <w:tcPr>
            <w:tcW w:w="1783" w:type="dxa"/>
            <w:vAlign w:val="center"/>
          </w:tcPr>
          <w:p w:rsidR="00952162">
            <w:pPr>
              <w:spacing w:line="360" w:lineRule="auto"/>
              <w:jc w:val="center"/>
              <w:rPr>
                <w:rFonts w:ascii="新宋体" w:eastAsia="新宋体" w:hAnsi="新宋体" w:hint="eastAsia"/>
                <w:szCs w:val="21"/>
              </w:rPr>
            </w:pPr>
            <w:r>
              <w:rPr>
                <w:rFonts w:ascii="新宋体" w:eastAsia="新宋体" w:hAnsi="新宋体" w:hint="eastAsia"/>
                <w:szCs w:val="21"/>
              </w:rPr>
              <w:t>产品代码</w:t>
            </w:r>
          </w:p>
        </w:tc>
        <w:tc>
          <w:tcPr>
            <w:tcW w:w="7523" w:type="dxa"/>
            <w:vAlign w:val="center"/>
          </w:tcPr>
          <w:p w:rsidR="00952162">
            <w:pPr>
              <w:spacing w:line="360" w:lineRule="auto"/>
              <w:rPr>
                <w:rFonts w:ascii="新宋体" w:eastAsia="新宋体" w:hAnsi="新宋体" w:hint="eastAsia"/>
              </w:rPr>
            </w:pPr>
            <w:r>
              <w:rPr>
                <w:rFonts w:ascii="新宋体" w:eastAsia="新宋体" w:hAnsi="新宋体"/>
              </w:rPr>
              <w:t>CCCJGX25568</w:t>
            </w:r>
          </w:p>
        </w:tc>
      </w:tr>
      <w:tr>
        <w:tblPrEx>
          <w:tblW w:w="0" w:type="auto"/>
          <w:tblInd w:w="108" w:type="dxa"/>
          <w:tblLayout w:type="fixed"/>
          <w:tblLook w:val="0000"/>
        </w:tblPrEx>
        <w:trPr>
          <w:trHeight w:val="247"/>
        </w:trPr>
        <w:tc>
          <w:tcPr>
            <w:tcW w:w="1783" w:type="dxa"/>
            <w:vAlign w:val="center"/>
          </w:tcPr>
          <w:p w:rsidR="00952162">
            <w:pPr>
              <w:spacing w:line="360" w:lineRule="auto"/>
              <w:jc w:val="center"/>
              <w:rPr>
                <w:rFonts w:ascii="新宋体" w:eastAsia="新宋体" w:hAnsi="新宋体" w:hint="eastAsia"/>
                <w:szCs w:val="21"/>
              </w:rPr>
            </w:pPr>
            <w:r>
              <w:rPr>
                <w:rFonts w:ascii="新宋体" w:eastAsia="新宋体" w:hAnsi="新宋体" w:hint="eastAsia"/>
                <w:szCs w:val="21"/>
              </w:rPr>
              <w:t>份额类型</w:t>
            </w:r>
          </w:p>
        </w:tc>
        <w:tc>
          <w:tcPr>
            <w:tcW w:w="7523" w:type="dxa"/>
            <w:vAlign w:val="center"/>
          </w:tcPr>
          <w:p w:rsidR="00952162">
            <w:pPr>
              <w:spacing w:line="360" w:lineRule="auto"/>
              <w:rPr>
                <w:rFonts w:ascii="新宋体" w:eastAsia="新宋体" w:hAnsi="新宋体"/>
              </w:rPr>
            </w:pPr>
            <w:r>
              <w:rPr>
                <w:rFonts w:ascii="新宋体" w:eastAsia="新宋体" w:hAnsi="新宋体" w:hint="eastAsia"/>
              </w:rPr>
              <w:t>本产品根据投资者购买理财产品的金额、适合的投资者、销售机构等因素，对投资者所持有的理财产品份额设置不同的理财产品份额类别。</w:t>
            </w:r>
          </w:p>
          <w:p w:rsidR="00952162">
            <w:pPr>
              <w:spacing w:line="360" w:lineRule="auto"/>
              <w:rPr>
                <w:rFonts w:ascii="新宋体" w:eastAsia="新宋体" w:hAnsi="新宋体"/>
              </w:rPr>
            </w:pPr>
            <w:r>
              <w:rPr>
                <w:rFonts w:ascii="新宋体" w:eastAsia="新宋体" w:hAnsi="新宋体" w:hint="eastAsia"/>
              </w:rPr>
              <w:t>本产品设置不同的理财产品份额，每类份额以下内容可能单独设置：</w:t>
            </w:r>
          </w:p>
          <w:p w:rsidR="00952162">
            <w:pPr>
              <w:spacing w:line="360" w:lineRule="auto"/>
              <w:rPr>
                <w:rFonts w:ascii="新宋体" w:eastAsia="新宋体" w:hAnsi="新宋体" w:hint="eastAsia"/>
              </w:rPr>
            </w:pPr>
            <w:r>
              <w:rPr>
                <w:rFonts w:ascii="新宋体" w:eastAsia="新宋体" w:hAnsi="新宋体" w:hint="eastAsia"/>
              </w:rPr>
              <w:t>产品销售代码、产品销售名称、产品销售对象、认购/申购投资起点金额及递增金额、业绩比较基准、固定管理费率、销售手续费率（如有）、收费方式、单一投资者持有限额、产品规模上限等，并分别计算和公告产品份额净值。投资者可根据实际情况自行选择认购的产品份额类别。</w:t>
            </w:r>
          </w:p>
          <w:p w:rsidR="00952162">
            <w:pPr>
              <w:spacing w:line="360" w:lineRule="auto"/>
              <w:rPr>
                <w:rFonts w:ascii="新宋体" w:eastAsia="新宋体" w:hAnsi="新宋体"/>
              </w:rPr>
            </w:pPr>
            <w:r>
              <w:rPr>
                <w:rFonts w:ascii="新宋体" w:eastAsia="新宋体" w:hAnsi="新宋体" w:hint="eastAsia"/>
              </w:rPr>
              <w:t>A份额，销售代码【CCCJGX25568A】，销售名称：青银理财成就系列丰收封闭式2025年568期A份额,销售对象【浙江台州路桥农商行及各销售服务渠道个人及机构客户，具体客户类型以销售机构规定为准】</w:t>
              <w:br/>
              <w:t>B份额，销售代码【CCCJGX25568B】，销售名称：青银理财成就系列丰收封闭式2025年568期B份额,销售对象【浙江永康农商行及各销售服务渠道个人及机构客户，具体客户类型以销售机构规定为准】</w:t>
            </w:r>
          </w:p>
          <w:p w:rsidR="00952162">
            <w:pPr>
              <w:spacing w:line="360" w:lineRule="auto"/>
              <w:rPr>
                <w:rFonts w:ascii="新宋体" w:eastAsia="新宋体" w:hAnsi="新宋体"/>
              </w:rPr>
            </w:pPr>
            <w:r>
              <w:rPr>
                <w:rFonts w:ascii="新宋体" w:eastAsia="新宋体" w:hAnsi="新宋体" w:hint="eastAsia"/>
              </w:rPr>
              <w:t>如理财产品份额类型有新增、减少和变更，青银理财将按照本理财产品说明书中有关</w:t>
            </w:r>
            <w:r>
              <w:rPr>
                <w:rFonts w:ascii="新宋体" w:eastAsia="新宋体" w:hAnsi="新宋体" w:hint="eastAsia"/>
              </w:rPr>
              <w:t>“</w:t>
            </w:r>
            <w:r>
              <w:rPr>
                <w:rFonts w:ascii="新宋体" w:eastAsia="新宋体" w:hAnsi="新宋体" w:hint="eastAsia"/>
              </w:rPr>
              <w:t>信息披露</w:t>
            </w:r>
            <w:r>
              <w:rPr>
                <w:rFonts w:ascii="新宋体" w:eastAsia="新宋体" w:hAnsi="新宋体" w:hint="eastAsia"/>
              </w:rPr>
              <w:t>”</w:t>
            </w:r>
            <w:r>
              <w:rPr>
                <w:rFonts w:ascii="新宋体" w:eastAsia="新宋体" w:hAnsi="新宋体" w:hint="eastAsia"/>
              </w:rPr>
              <w:t>的约定告知投资者。</w:t>
            </w:r>
          </w:p>
        </w:tc>
      </w:tr>
      <w:tr>
        <w:tblPrEx>
          <w:tblW w:w="0" w:type="auto"/>
          <w:tblInd w:w="108" w:type="dxa"/>
          <w:tblLayout w:type="fixed"/>
          <w:tblLook w:val="0000"/>
        </w:tblPrEx>
        <w:trPr>
          <w:trHeight w:val="247"/>
        </w:trPr>
        <w:tc>
          <w:tcPr>
            <w:tcW w:w="1783" w:type="dxa"/>
            <w:vAlign w:val="center"/>
          </w:tcPr>
          <w:p w:rsidR="00952162">
            <w:pPr>
              <w:spacing w:line="360" w:lineRule="auto"/>
              <w:jc w:val="center"/>
              <w:rPr>
                <w:rFonts w:ascii="新宋体" w:eastAsia="新宋体" w:hAnsi="新宋体" w:hint="eastAsia"/>
                <w:szCs w:val="21"/>
              </w:rPr>
            </w:pPr>
            <w:r>
              <w:rPr>
                <w:rFonts w:ascii="新宋体" w:eastAsia="新宋体" w:hAnsi="新宋体" w:cs="新宋体"/>
                <w:color w:val="000000"/>
                <w:szCs w:val="21"/>
              </w:rPr>
              <w:t>理财信息登记系统产品登记编码</w:t>
            </w:r>
          </w:p>
        </w:tc>
        <w:tc>
          <w:tcPr>
            <w:tcW w:w="7523" w:type="dxa"/>
            <w:vAlign w:val="center"/>
          </w:tcPr>
          <w:p w:rsidR="00952162">
            <w:pPr>
              <w:spacing w:line="360" w:lineRule="auto"/>
              <w:rPr>
                <w:rFonts w:ascii="新宋体" w:eastAsia="新宋体" w:hAnsi="新宋体" w:hint="eastAsia"/>
              </w:rPr>
            </w:pPr>
            <w:r>
              <w:rPr>
                <w:rFonts w:ascii="新宋体" w:eastAsia="新宋体" w:hAnsi="新宋体" w:hint="eastAsia"/>
              </w:rPr>
              <w:t>Z7003525000566，可通过中国理财网（http://www.chinawealth.com.cn）查询</w:t>
            </w:r>
          </w:p>
        </w:tc>
      </w:tr>
      <w:tr>
        <w:tblPrEx>
          <w:tblW w:w="0" w:type="auto"/>
          <w:tblInd w:w="108" w:type="dxa"/>
          <w:tblLayout w:type="fixed"/>
          <w:tblLook w:val="0000"/>
        </w:tblPrEx>
        <w:trPr>
          <w:trHeight w:val="247"/>
        </w:trPr>
        <w:tc>
          <w:tcPr>
            <w:tcW w:w="1783" w:type="dxa"/>
            <w:vAlign w:val="center"/>
          </w:tcPr>
          <w:p w:rsidR="00952162">
            <w:pPr>
              <w:spacing w:line="360" w:lineRule="auto"/>
              <w:jc w:val="center"/>
              <w:rPr>
                <w:rFonts w:ascii="新宋体" w:eastAsia="新宋体" w:hAnsi="新宋体" w:hint="eastAsia"/>
                <w:szCs w:val="21"/>
              </w:rPr>
            </w:pPr>
            <w:r>
              <w:rPr>
                <w:rFonts w:ascii="新宋体" w:eastAsia="新宋体" w:hAnsi="新宋体" w:cs="新宋体"/>
                <w:color w:val="000000"/>
                <w:szCs w:val="21"/>
              </w:rPr>
              <w:t>本金</w:t>
            </w:r>
            <w:r>
              <w:rPr>
                <w:rFonts w:ascii="新宋体" w:eastAsia="新宋体" w:hAnsi="新宋体" w:cs="新宋体" w:hint="eastAsia"/>
                <w:color w:val="000000"/>
                <w:szCs w:val="21"/>
              </w:rPr>
              <w:t>/收益币种</w:t>
            </w:r>
          </w:p>
        </w:tc>
        <w:tc>
          <w:tcPr>
            <w:tcW w:w="7523" w:type="dxa"/>
            <w:vAlign w:val="center"/>
          </w:tcPr>
          <w:p w:rsidR="00952162">
            <w:pPr>
              <w:spacing w:line="360" w:lineRule="auto"/>
              <w:rPr>
                <w:rFonts w:ascii="新宋体" w:eastAsia="新宋体" w:hAnsi="新宋体" w:hint="eastAsia"/>
              </w:rPr>
            </w:pPr>
            <w:r>
              <w:rPr>
                <w:rFonts w:ascii="新宋体" w:eastAsia="新宋体" w:hAnsi="新宋体" w:hint="eastAsia"/>
              </w:rPr>
              <w:t>人民币</w:t>
            </w:r>
          </w:p>
        </w:tc>
      </w:tr>
      <w:tr>
        <w:tblPrEx>
          <w:tblW w:w="0" w:type="auto"/>
          <w:tblInd w:w="108" w:type="dxa"/>
          <w:tblLayout w:type="fixed"/>
          <w:tblLook w:val="0000"/>
        </w:tblPrEx>
        <w:trPr>
          <w:trHeight w:val="247"/>
        </w:trPr>
        <w:tc>
          <w:tcPr>
            <w:tcW w:w="1783" w:type="dxa"/>
            <w:vAlign w:val="center"/>
          </w:tcPr>
          <w:p w:rsidR="00952162">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运作方式</w:t>
            </w:r>
          </w:p>
        </w:tc>
        <w:tc>
          <w:tcPr>
            <w:tcW w:w="7523" w:type="dxa"/>
            <w:vAlign w:val="center"/>
          </w:tcPr>
          <w:p w:rsidR="00952162">
            <w:pPr>
              <w:spacing w:line="360" w:lineRule="auto"/>
              <w:rPr>
                <w:rFonts w:ascii="新宋体" w:eastAsia="新宋体" w:hAnsi="新宋体" w:hint="eastAsia"/>
              </w:rPr>
            </w:pPr>
            <w:r>
              <w:rPr>
                <w:rFonts w:ascii="新宋体" w:eastAsia="新宋体" w:hAnsi="新宋体" w:hint="eastAsia"/>
              </w:rPr>
              <w:t>封闭式</w:t>
            </w:r>
          </w:p>
        </w:tc>
      </w:tr>
      <w:tr>
        <w:tblPrEx>
          <w:tblW w:w="0" w:type="auto"/>
          <w:tblInd w:w="108" w:type="dxa"/>
          <w:tblLayout w:type="fixed"/>
          <w:tblLook w:val="0000"/>
        </w:tblPrEx>
        <w:trPr>
          <w:trHeight w:val="247"/>
        </w:trPr>
        <w:tc>
          <w:tcPr>
            <w:tcW w:w="1783" w:type="dxa"/>
            <w:vAlign w:val="center"/>
          </w:tcPr>
          <w:p w:rsidR="00952162">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募集方式</w:t>
            </w:r>
          </w:p>
        </w:tc>
        <w:tc>
          <w:tcPr>
            <w:tcW w:w="7523" w:type="dxa"/>
            <w:vAlign w:val="center"/>
          </w:tcPr>
          <w:p w:rsidR="00952162">
            <w:pPr>
              <w:spacing w:line="360" w:lineRule="auto"/>
              <w:rPr>
                <w:rFonts w:ascii="新宋体" w:eastAsia="新宋体" w:hAnsi="新宋体" w:hint="eastAsia"/>
              </w:rPr>
            </w:pPr>
            <w:r>
              <w:rPr>
                <w:rFonts w:ascii="新宋体" w:eastAsia="新宋体" w:hAnsi="新宋体" w:hint="eastAsia"/>
              </w:rPr>
              <w:t>公募发行</w:t>
            </w:r>
          </w:p>
        </w:tc>
      </w:tr>
      <w:tr>
        <w:tblPrEx>
          <w:tblW w:w="0" w:type="auto"/>
          <w:tblInd w:w="108" w:type="dxa"/>
          <w:tblLayout w:type="fixed"/>
          <w:tblLook w:val="0000"/>
        </w:tblPrEx>
        <w:trPr>
          <w:trHeight w:val="247"/>
        </w:trPr>
        <w:tc>
          <w:tcPr>
            <w:tcW w:w="1783" w:type="dxa"/>
            <w:vAlign w:val="center"/>
          </w:tcPr>
          <w:p w:rsidR="00952162">
            <w:pPr>
              <w:spacing w:line="360" w:lineRule="auto"/>
              <w:jc w:val="center"/>
              <w:rPr>
                <w:rFonts w:ascii="新宋体" w:eastAsia="新宋体" w:hAnsi="新宋体" w:hint="eastAsia"/>
                <w:szCs w:val="21"/>
              </w:rPr>
            </w:pPr>
            <w:r>
              <w:rPr>
                <w:rFonts w:ascii="新宋体" w:eastAsia="新宋体" w:hAnsi="新宋体" w:hint="eastAsia"/>
                <w:szCs w:val="21"/>
              </w:rPr>
              <w:t xml:space="preserve">产品募集期   </w:t>
            </w:r>
          </w:p>
        </w:tc>
        <w:tc>
          <w:tcPr>
            <w:tcW w:w="7523" w:type="dxa"/>
            <w:vAlign w:val="center"/>
          </w:tcPr>
          <w:p w:rsidR="00952162">
            <w:pPr>
              <w:spacing w:line="360" w:lineRule="auto"/>
              <w:rPr>
                <w:rFonts w:ascii="新宋体" w:eastAsia="新宋体" w:hAnsi="新宋体"/>
              </w:rPr>
            </w:pPr>
            <w:r>
              <w:rPr>
                <w:rFonts w:ascii="新宋体" w:eastAsia="新宋体" w:hAnsi="新宋体"/>
              </w:rPr>
              <w:t>2025年09月25日</w:t>
            </w:r>
            <w:r>
              <w:rPr>
                <w:rFonts w:ascii="新宋体" w:eastAsia="新宋体" w:hAnsi="新宋体" w:hint="eastAsia"/>
              </w:rPr>
              <w:t xml:space="preserve"> 9:00至</w:t>
            </w:r>
            <w:r>
              <w:rPr>
                <w:rFonts w:ascii="新宋体" w:eastAsia="新宋体" w:hAnsi="新宋体"/>
              </w:rPr>
              <w:t>2025年09月28日</w:t>
            </w:r>
            <w:r>
              <w:rPr>
                <w:rFonts w:ascii="新宋体" w:eastAsia="新宋体" w:hAnsi="新宋体" w:hint="eastAsia"/>
              </w:rPr>
              <w:t>1</w:t>
            </w:r>
            <w:r>
              <w:rPr>
                <w:rFonts w:ascii="新宋体" w:eastAsia="新宋体" w:hAnsi="新宋体"/>
              </w:rPr>
              <w:t>7</w:t>
            </w:r>
            <w:r>
              <w:rPr>
                <w:rFonts w:ascii="新宋体" w:eastAsia="新宋体" w:hAnsi="新宋体" w:hint="eastAsia"/>
              </w:rPr>
              <w:t>:00(早晚系统批量清算期间无法购买)（北京时间）</w:t>
            </w:r>
          </w:p>
          <w:p w:rsidR="00952162">
            <w:pPr>
              <w:spacing w:line="360" w:lineRule="auto"/>
              <w:jc w:val="left"/>
              <w:rPr>
                <w:rFonts w:ascii="新宋体" w:eastAsia="新宋体" w:hAnsi="新宋体" w:cs="新宋体"/>
                <w:color w:val="000000"/>
                <w:szCs w:val="21"/>
              </w:rPr>
            </w:pPr>
            <w:r>
              <w:rPr>
                <w:rFonts w:ascii="新宋体" w:eastAsia="新宋体" w:hAnsi="新宋体" w:cs="新宋体"/>
                <w:color w:val="000000"/>
                <w:szCs w:val="21"/>
              </w:rPr>
              <w:t>募集期内，投资者购买资金实时冻结</w:t>
            </w:r>
            <w:r>
              <w:rPr>
                <w:rFonts w:ascii="新宋体" w:eastAsia="新宋体" w:hAnsi="新宋体" w:cs="新宋体" w:hint="eastAsia"/>
                <w:color w:val="000000"/>
                <w:szCs w:val="21"/>
              </w:rPr>
              <w:t>或实时扣款（以各销售渠道实际规则为准）</w:t>
            </w:r>
            <w:r>
              <w:rPr>
                <w:rFonts w:ascii="新宋体" w:eastAsia="新宋体" w:hAnsi="新宋体" w:cs="新宋体"/>
                <w:color w:val="000000"/>
                <w:szCs w:val="21"/>
              </w:rPr>
              <w:t>。产品成立日确认份额，如</w:t>
            </w:r>
            <w:r>
              <w:rPr>
                <w:rFonts w:ascii="新宋体" w:eastAsia="新宋体" w:hAnsi="新宋体" w:cs="新宋体" w:hint="eastAsia"/>
                <w:color w:val="000000"/>
                <w:szCs w:val="21"/>
              </w:rPr>
              <w:t>确认</w:t>
            </w:r>
            <w:r>
              <w:rPr>
                <w:rFonts w:ascii="新宋体" w:eastAsia="新宋体" w:hAnsi="新宋体" w:cs="新宋体"/>
                <w:color w:val="000000"/>
                <w:szCs w:val="21"/>
              </w:rPr>
              <w:t>失败则投资者理财购买失败。</w:t>
            </w:r>
            <w:r>
              <w:rPr>
                <w:rFonts w:ascii="新宋体" w:eastAsia="新宋体" w:hAnsi="新宋体" w:cs="新宋体" w:hint="eastAsia"/>
                <w:color w:val="000000"/>
                <w:szCs w:val="21"/>
              </w:rPr>
              <w:t>募集期产品单位净值为1元/份。</w:t>
            </w:r>
          </w:p>
          <w:p w:rsidR="00952162">
            <w:pPr>
              <w:spacing w:line="360" w:lineRule="auto"/>
              <w:jc w:val="left"/>
              <w:rPr>
                <w:rFonts w:ascii="新宋体" w:eastAsia="新宋体" w:hAnsi="新宋体" w:hint="eastAsia"/>
                <w:bCs/>
                <w:szCs w:val="21"/>
              </w:rPr>
            </w:pPr>
            <w:r>
              <w:rPr>
                <w:rFonts w:ascii="新宋体" w:eastAsia="新宋体" w:hAnsi="新宋体" w:hint="eastAsia"/>
                <w:bCs/>
                <w:szCs w:val="21"/>
              </w:rPr>
              <w:t>募集期申购资金是否产生利息及相关利率及其计算方式以各销售渠道实际计量为准，产生的利息(如有)不作为理财资金进入运作，不计算理财收益。</w:t>
            </w:r>
          </w:p>
        </w:tc>
      </w:tr>
      <w:tr>
        <w:tblPrEx>
          <w:tblW w:w="0" w:type="auto"/>
          <w:tblInd w:w="108" w:type="dxa"/>
          <w:tblLayout w:type="fixed"/>
          <w:tblLook w:val="0000"/>
        </w:tblPrEx>
        <w:trPr>
          <w:trHeight w:val="247"/>
        </w:trPr>
        <w:tc>
          <w:tcPr>
            <w:tcW w:w="1783" w:type="dxa"/>
            <w:vAlign w:val="center"/>
          </w:tcPr>
          <w:p w:rsidR="00952162">
            <w:pPr>
              <w:spacing w:line="360" w:lineRule="auto"/>
              <w:jc w:val="center"/>
              <w:rPr>
                <w:rFonts w:ascii="新宋体" w:eastAsia="新宋体" w:hAnsi="新宋体" w:hint="eastAsia"/>
                <w:szCs w:val="21"/>
              </w:rPr>
            </w:pPr>
            <w:r>
              <w:rPr>
                <w:rFonts w:ascii="新宋体" w:eastAsia="新宋体" w:hAnsi="新宋体" w:hint="eastAsia"/>
                <w:szCs w:val="21"/>
              </w:rPr>
              <w:t>产品成立日</w:t>
            </w:r>
          </w:p>
        </w:tc>
        <w:tc>
          <w:tcPr>
            <w:tcW w:w="7523" w:type="dxa"/>
            <w:vAlign w:val="center"/>
          </w:tcPr>
          <w:p w:rsidR="00952162">
            <w:pPr>
              <w:spacing w:line="360" w:lineRule="auto"/>
              <w:rPr>
                <w:rFonts w:ascii="新宋体" w:eastAsia="新宋体" w:hAnsi="新宋体" w:hint="eastAsia"/>
              </w:rPr>
            </w:pPr>
            <w:r>
              <w:rPr>
                <w:rFonts w:ascii="新宋体" w:eastAsia="新宋体" w:hAnsi="新宋体"/>
              </w:rPr>
              <w:t>2025年09月29日</w:t>
            </w:r>
          </w:p>
        </w:tc>
      </w:tr>
      <w:tr>
        <w:tblPrEx>
          <w:tblW w:w="0" w:type="auto"/>
          <w:tblInd w:w="108" w:type="dxa"/>
          <w:tblLayout w:type="fixed"/>
          <w:tblLook w:val="0000"/>
        </w:tblPrEx>
        <w:trPr>
          <w:trHeight w:val="247"/>
        </w:trPr>
        <w:tc>
          <w:tcPr>
            <w:tcW w:w="1783" w:type="dxa"/>
            <w:vAlign w:val="center"/>
          </w:tcPr>
          <w:p w:rsidR="00952162">
            <w:pPr>
              <w:spacing w:line="360" w:lineRule="auto"/>
              <w:jc w:val="center"/>
              <w:rPr>
                <w:rFonts w:ascii="新宋体" w:eastAsia="新宋体" w:hAnsi="新宋体" w:hint="eastAsia"/>
                <w:szCs w:val="21"/>
              </w:rPr>
            </w:pPr>
            <w:r>
              <w:rPr>
                <w:rFonts w:ascii="新宋体" w:eastAsia="新宋体" w:hAnsi="新宋体" w:hint="eastAsia"/>
                <w:szCs w:val="21"/>
              </w:rPr>
              <w:t>产品到期日</w:t>
            </w:r>
          </w:p>
        </w:tc>
        <w:tc>
          <w:tcPr>
            <w:tcW w:w="7523" w:type="dxa"/>
            <w:vAlign w:val="center"/>
          </w:tcPr>
          <w:p w:rsidR="00952162">
            <w:pPr>
              <w:spacing w:line="360" w:lineRule="auto"/>
              <w:rPr>
                <w:rFonts w:ascii="新宋体" w:eastAsia="新宋体" w:hAnsi="新宋体" w:hint="eastAsia"/>
              </w:rPr>
            </w:pPr>
            <w:r>
              <w:rPr>
                <w:rFonts w:ascii="新宋体" w:eastAsia="新宋体" w:hAnsi="新宋体"/>
              </w:rPr>
              <w:t>2026年04月01日</w:t>
            </w:r>
          </w:p>
        </w:tc>
      </w:tr>
      <w:tr>
        <w:tblPrEx>
          <w:tblW w:w="0" w:type="auto"/>
          <w:tblInd w:w="108" w:type="dxa"/>
          <w:tblLayout w:type="fixed"/>
          <w:tblLook w:val="0000"/>
        </w:tblPrEx>
        <w:trPr>
          <w:trHeight w:val="247"/>
        </w:trPr>
        <w:tc>
          <w:tcPr>
            <w:tcW w:w="1783" w:type="dxa"/>
            <w:vAlign w:val="center"/>
          </w:tcPr>
          <w:p w:rsidR="00952162">
            <w:pPr>
              <w:spacing w:line="360" w:lineRule="auto"/>
              <w:jc w:val="center"/>
              <w:rPr>
                <w:rFonts w:ascii="新宋体" w:eastAsia="新宋体" w:hAnsi="新宋体" w:hint="eastAsia"/>
                <w:szCs w:val="21"/>
              </w:rPr>
            </w:pPr>
            <w:r>
              <w:rPr>
                <w:rFonts w:ascii="新宋体" w:eastAsia="新宋体" w:hAnsi="新宋体" w:hint="eastAsia"/>
                <w:szCs w:val="21"/>
              </w:rPr>
              <w:t>理财期限</w:t>
            </w:r>
          </w:p>
        </w:tc>
        <w:tc>
          <w:tcPr>
            <w:tcW w:w="7523" w:type="dxa"/>
            <w:vAlign w:val="center"/>
          </w:tcPr>
          <w:p w:rsidR="00952162">
            <w:pPr>
              <w:spacing w:line="360" w:lineRule="auto"/>
              <w:rPr>
                <w:rFonts w:ascii="新宋体" w:eastAsia="新宋体" w:hAnsi="新宋体" w:hint="eastAsia"/>
              </w:rPr>
            </w:pPr>
            <w:r>
              <w:rPr>
                <w:rFonts w:ascii="新宋体" w:eastAsia="新宋体" w:hAnsi="新宋体"/>
              </w:rPr>
              <w:t>184</w:t>
            </w:r>
            <w:r>
              <w:rPr>
                <w:rFonts w:ascii="新宋体" w:eastAsia="新宋体" w:hAnsi="新宋体" w:hint="eastAsia"/>
              </w:rPr>
              <w:t>天</w:t>
            </w:r>
          </w:p>
        </w:tc>
      </w:tr>
      <w:tr>
        <w:tblPrEx>
          <w:tblW w:w="0" w:type="auto"/>
          <w:tblInd w:w="108" w:type="dxa"/>
          <w:tblLayout w:type="fixed"/>
          <w:tblLook w:val="0000"/>
        </w:tblPrEx>
        <w:trPr>
          <w:trHeight w:val="247"/>
        </w:trPr>
        <w:tc>
          <w:tcPr>
            <w:tcW w:w="1783" w:type="dxa"/>
            <w:vAlign w:val="center"/>
          </w:tcPr>
          <w:p w:rsidR="00952162">
            <w:pPr>
              <w:spacing w:line="360" w:lineRule="auto"/>
              <w:jc w:val="center"/>
              <w:rPr>
                <w:rFonts w:ascii="新宋体" w:eastAsia="新宋体" w:hAnsi="新宋体" w:hint="eastAsia"/>
                <w:szCs w:val="21"/>
              </w:rPr>
            </w:pPr>
            <w:r>
              <w:rPr>
                <w:rFonts w:ascii="新宋体" w:eastAsia="新宋体" w:hAnsi="新宋体" w:hint="eastAsia"/>
                <w:szCs w:val="21"/>
              </w:rPr>
              <w:t>产品规模</w:t>
            </w:r>
          </w:p>
        </w:tc>
        <w:tc>
          <w:tcPr>
            <w:tcW w:w="7523" w:type="dxa"/>
            <w:vAlign w:val="center"/>
          </w:tcPr>
          <w:p w:rsidR="00952162">
            <w:pPr>
              <w:spacing w:line="360" w:lineRule="auto"/>
              <w:rPr>
                <w:rFonts w:ascii="新宋体" w:eastAsia="新宋体" w:hAnsi="新宋体" w:hint="eastAsia"/>
              </w:rPr>
            </w:pPr>
            <w:r>
              <w:rPr>
                <w:rFonts w:ascii="新宋体" w:eastAsia="新宋体" w:hAnsi="新宋体" w:hint="eastAsia"/>
              </w:rPr>
              <w:t>A份额规模上限300000万，规模下限1万</w:t>
              <w:br/>
              <w:t>B份额规模上限300000万，规模下限1万</w:t>
            </w:r>
          </w:p>
          <w:p w:rsidR="00952162">
            <w:pPr>
              <w:spacing w:line="360" w:lineRule="auto"/>
              <w:rPr>
                <w:rFonts w:ascii="新宋体" w:eastAsia="新宋体" w:hAnsi="新宋体" w:hint="eastAsia"/>
                <w:b/>
              </w:rPr>
            </w:pPr>
            <w:r>
              <w:rPr>
                <w:rFonts w:ascii="新宋体" w:eastAsia="新宋体" w:hAnsi="新宋体" w:hint="eastAsia"/>
                <w:b/>
              </w:rPr>
              <w:t>当累计有效募集金额超过产品规模上限时，产品管理人将采取全程比例配售的方式实现规模的有效控制。</w:t>
            </w:r>
          </w:p>
          <w:p w:rsidR="00952162">
            <w:pPr>
              <w:spacing w:line="360" w:lineRule="auto"/>
              <w:rPr>
                <w:rFonts w:ascii="新宋体" w:eastAsia="新宋体" w:hAnsi="新宋体" w:hint="eastAsia"/>
                <w:b/>
              </w:rPr>
            </w:pPr>
            <w:r>
              <w:rPr>
                <w:rFonts w:ascii="新宋体" w:eastAsia="新宋体" w:hAnsi="新宋体" w:hint="eastAsia"/>
                <w:b/>
              </w:rPr>
              <w:t>按照产品规模上限除以实际募集金额的比例，对投资者认购款项予以确认。</w:t>
            </w:r>
          </w:p>
          <w:p w:rsidR="00952162">
            <w:pPr>
              <w:spacing w:line="360" w:lineRule="auto"/>
              <w:rPr>
                <w:rFonts w:ascii="新宋体" w:eastAsia="新宋体" w:hAnsi="新宋体"/>
                <w:b/>
              </w:rPr>
            </w:pPr>
            <w:r>
              <w:rPr>
                <w:rFonts w:ascii="新宋体" w:eastAsia="新宋体" w:hAnsi="新宋体" w:hint="eastAsia"/>
                <w:b/>
              </w:rPr>
              <w:t>当发生全程比例配售时，产品管理人将以发布公告、短信通知等形式，及时通知投资者相关信息。未确认部分款项将在募集期结束后退还至投资者购买账户。</w:t>
            </w:r>
          </w:p>
          <w:p w:rsidR="00952162">
            <w:pPr>
              <w:spacing w:line="360" w:lineRule="auto"/>
              <w:rPr>
                <w:rFonts w:ascii="新宋体" w:eastAsia="新宋体" w:hAnsi="新宋体" w:hint="eastAsia"/>
                <w:b/>
              </w:rPr>
            </w:pPr>
            <w:r>
              <w:rPr>
                <w:rFonts w:ascii="新宋体" w:eastAsia="新宋体" w:hAnsi="新宋体" w:hint="eastAsia"/>
                <w:b/>
              </w:rPr>
              <w:t>当累计有效募集金额未达到产品规模下限时，产品管理人有权不成立本产品，投资者购买本金将在募集期结束后退回至原购买账户。</w:t>
            </w:r>
          </w:p>
        </w:tc>
      </w:tr>
      <w:tr>
        <w:tblPrEx>
          <w:tblW w:w="0" w:type="auto"/>
          <w:tblInd w:w="108" w:type="dxa"/>
          <w:tblLayout w:type="fixed"/>
          <w:tblLook w:val="0000"/>
        </w:tblPrEx>
        <w:trPr>
          <w:trHeight w:val="247"/>
        </w:trPr>
        <w:tc>
          <w:tcPr>
            <w:tcW w:w="1783" w:type="dxa"/>
            <w:vAlign w:val="center"/>
          </w:tcPr>
          <w:p w:rsidR="00952162">
            <w:pPr>
              <w:spacing w:line="360" w:lineRule="auto"/>
              <w:jc w:val="center"/>
              <w:rPr>
                <w:rFonts w:ascii="新宋体" w:eastAsia="新宋体" w:hAnsi="新宋体" w:hint="eastAsia"/>
                <w:szCs w:val="21"/>
              </w:rPr>
            </w:pPr>
            <w:r>
              <w:rPr>
                <w:rFonts w:ascii="新宋体" w:eastAsia="新宋体" w:hAnsi="新宋体" w:hint="eastAsia"/>
                <w:szCs w:val="21"/>
              </w:rPr>
              <w:t>销售范围</w:t>
            </w:r>
          </w:p>
        </w:tc>
        <w:tc>
          <w:tcPr>
            <w:tcW w:w="7523" w:type="dxa"/>
            <w:vAlign w:val="center"/>
          </w:tcPr>
          <w:p w:rsidR="00952162">
            <w:pPr>
              <w:spacing w:line="360" w:lineRule="auto"/>
              <w:rPr>
                <w:rFonts w:ascii="新宋体" w:eastAsia="新宋体" w:hAnsi="新宋体"/>
              </w:rPr>
            </w:pPr>
            <w:r>
              <w:rPr>
                <w:rFonts w:ascii="新宋体" w:eastAsia="新宋体" w:hAnsi="新宋体" w:hint="eastAsia"/>
                <w:szCs w:val="21"/>
              </w:rPr>
              <w:t>A份额销售渠道为浙江台州路桥农商行及各销售服务渠道，B份额销售渠道为浙江永康农商行及各销售服务渠道（</w:t>
            </w:r>
            <w:r>
              <w:rPr>
                <w:rFonts w:ascii="黑体" w:eastAsia="黑体" w:hAnsi="黑体" w:hint="eastAsia"/>
                <w:b/>
                <w:bCs/>
                <w:szCs w:val="21"/>
              </w:rPr>
              <w:t>可购投资者以销售机构认定为准</w:t>
            </w:r>
            <w:r>
              <w:rPr>
                <w:rFonts w:ascii="新宋体" w:eastAsia="新宋体" w:hAnsi="新宋体" w:hint="eastAsia"/>
                <w:szCs w:val="21"/>
              </w:rPr>
              <w:t>）</w:t>
            </w:r>
          </w:p>
          <w:p w:rsidR="00952162">
            <w:pPr>
              <w:spacing w:line="360" w:lineRule="auto"/>
              <w:rPr>
                <w:rFonts w:ascii="新宋体" w:eastAsia="新宋体" w:hAnsi="新宋体" w:hint="eastAsia"/>
              </w:rPr>
            </w:pPr>
            <w:r>
              <w:rPr>
                <w:rFonts w:ascii="新宋体" w:eastAsia="新宋体" w:hAnsi="新宋体" w:hint="eastAsia"/>
              </w:rPr>
              <w:t>负责包括理财计划宣传推广、投资者风险承受能力评估和投资者适当性管理、理财计划份额认购/赎回、协助管理人与投资者订立理财计划合同、协助投资者与管理人沟通、接受投资者咨询和客户维护等销售服务。</w:t>
            </w:r>
          </w:p>
        </w:tc>
      </w:tr>
      <w:tr>
        <w:tblPrEx>
          <w:tblW w:w="0" w:type="auto"/>
          <w:tblInd w:w="108" w:type="dxa"/>
          <w:tblLayout w:type="fixed"/>
          <w:tblLook w:val="0000"/>
        </w:tblPrEx>
        <w:trPr>
          <w:trHeight w:val="247"/>
        </w:trPr>
        <w:tc>
          <w:tcPr>
            <w:tcW w:w="1783" w:type="dxa"/>
            <w:vAlign w:val="center"/>
          </w:tcPr>
          <w:p w:rsidR="00952162">
            <w:pPr>
              <w:spacing w:line="360" w:lineRule="auto"/>
              <w:jc w:val="center"/>
              <w:rPr>
                <w:rFonts w:ascii="新宋体" w:eastAsia="新宋体" w:hAnsi="新宋体"/>
                <w:szCs w:val="21"/>
              </w:rPr>
            </w:pPr>
            <w:r>
              <w:rPr>
                <w:rFonts w:ascii="新宋体" w:eastAsia="新宋体" w:hAnsi="新宋体" w:hint="eastAsia"/>
                <w:szCs w:val="21"/>
              </w:rPr>
              <w:t>购买金额</w:t>
            </w:r>
          </w:p>
        </w:tc>
        <w:tc>
          <w:tcPr>
            <w:tcW w:w="7523" w:type="dxa"/>
            <w:vAlign w:val="center"/>
          </w:tcPr>
          <w:p w:rsidR="00952162">
            <w:pPr>
              <w:spacing w:line="360" w:lineRule="auto"/>
              <w:jc w:val="left"/>
              <w:rPr>
                <w:rFonts w:ascii="新宋体" w:eastAsia="新宋体" w:hAnsi="新宋体"/>
                <w:szCs w:val="21"/>
              </w:rPr>
            </w:pPr>
            <w:r>
              <w:rPr>
                <w:rFonts w:ascii="新宋体" w:eastAsia="新宋体" w:hAnsi="新宋体"/>
              </w:rPr>
              <w:t>各子份额起购金额均为1元</w:t>
            </w:r>
            <w:r>
              <w:rPr>
                <w:rFonts w:ascii="新宋体" w:eastAsia="新宋体" w:hAnsi="新宋体" w:hint="eastAsia"/>
              </w:rPr>
              <w:t>，</w:t>
            </w:r>
            <w:r>
              <w:rPr>
                <w:rFonts w:ascii="新宋体" w:eastAsia="新宋体" w:hAnsi="新宋体"/>
              </w:rPr>
              <w:t>1元整数倍</w:t>
            </w:r>
            <w:r>
              <w:rPr>
                <w:rFonts w:ascii="新宋体" w:eastAsia="新宋体" w:hAnsi="新宋体" w:hint="eastAsia"/>
              </w:rPr>
              <w:t>递增。（</w:t>
            </w:r>
            <w:r>
              <w:rPr>
                <w:rStyle w:val="fontstyle01"/>
                <w:rFonts w:hint="default"/>
              </w:rPr>
              <w:t>起购金额与递增金额具体以代销机构销售要素为准</w:t>
            </w:r>
            <w:r>
              <w:rPr>
                <w:rFonts w:ascii="新宋体" w:eastAsia="新宋体" w:hAnsi="新宋体" w:hint="eastAsia"/>
              </w:rPr>
              <w:t>）</w:t>
            </w:r>
          </w:p>
        </w:tc>
      </w:tr>
      <w:tr>
        <w:tblPrEx>
          <w:tblW w:w="0" w:type="auto"/>
          <w:tblInd w:w="108" w:type="dxa"/>
          <w:tblLayout w:type="fixed"/>
          <w:tblLook w:val="0000"/>
        </w:tblPrEx>
        <w:trPr>
          <w:trHeight w:val="247"/>
        </w:trPr>
        <w:tc>
          <w:tcPr>
            <w:tcW w:w="1783" w:type="dxa"/>
            <w:vAlign w:val="center"/>
          </w:tcPr>
          <w:p w:rsidR="00952162">
            <w:pPr>
              <w:spacing w:line="360" w:lineRule="auto"/>
              <w:jc w:val="center"/>
              <w:rPr>
                <w:rFonts w:ascii="新宋体" w:eastAsia="新宋体" w:hAnsi="新宋体"/>
                <w:szCs w:val="21"/>
              </w:rPr>
            </w:pPr>
            <w:r>
              <w:rPr>
                <w:rFonts w:ascii="新宋体" w:eastAsia="新宋体" w:hAnsi="新宋体" w:hint="eastAsia"/>
                <w:szCs w:val="21"/>
              </w:rPr>
              <w:t>单一投资者</w:t>
            </w:r>
          </w:p>
          <w:p w:rsidR="00952162">
            <w:pPr>
              <w:spacing w:line="360" w:lineRule="auto"/>
              <w:jc w:val="center"/>
              <w:rPr>
                <w:rFonts w:ascii="新宋体" w:eastAsia="新宋体" w:hAnsi="新宋体" w:hint="eastAsia"/>
                <w:szCs w:val="21"/>
              </w:rPr>
            </w:pPr>
            <w:r>
              <w:rPr>
                <w:rFonts w:ascii="新宋体" w:eastAsia="新宋体" w:hAnsi="新宋体" w:hint="eastAsia"/>
                <w:szCs w:val="21"/>
              </w:rPr>
              <w:t>持有上限</w:t>
            </w:r>
          </w:p>
        </w:tc>
        <w:tc>
          <w:tcPr>
            <w:tcW w:w="7523" w:type="dxa"/>
            <w:vAlign w:val="center"/>
          </w:tcPr>
          <w:p w:rsidR="00952162">
            <w:pPr>
              <w:spacing w:line="360" w:lineRule="auto"/>
              <w:jc w:val="left"/>
              <w:rPr>
                <w:rFonts w:ascii="新宋体" w:eastAsia="新宋体" w:hAnsi="新宋体"/>
                <w:szCs w:val="21"/>
              </w:rPr>
            </w:pPr>
            <w:r>
              <w:rPr>
                <w:rFonts w:ascii="新宋体" w:eastAsia="新宋体" w:hAnsi="新宋体" w:hint="eastAsia"/>
                <w:szCs w:val="21"/>
              </w:rPr>
              <w:t>单一投资者持有份额不得超过产品总份额的</w:t>
            </w:r>
            <w:r>
              <w:rPr>
                <w:rFonts w:ascii="新宋体" w:eastAsia="新宋体" w:hAnsi="新宋体"/>
                <w:szCs w:val="21"/>
              </w:rPr>
              <w:t>50%。</w:t>
            </w:r>
          </w:p>
          <w:p w:rsidR="00952162">
            <w:pPr>
              <w:spacing w:line="360" w:lineRule="auto"/>
              <w:rPr>
                <w:rFonts w:ascii="新宋体" w:eastAsia="新宋体" w:hAnsi="新宋体" w:hint="eastAsia"/>
              </w:rPr>
            </w:pPr>
            <w:r>
              <w:rPr>
                <w:rFonts w:ascii="新宋体" w:eastAsia="新宋体" w:hAnsi="新宋体" w:hint="eastAsia"/>
                <w:szCs w:val="21"/>
              </w:rPr>
              <w:t>非因管理人主观因素导致突破上述比例限制的，在单一投资者持有比例降至</w:t>
            </w:r>
            <w:r>
              <w:rPr>
                <w:rFonts w:ascii="新宋体" w:eastAsia="新宋体" w:hAnsi="新宋体"/>
                <w:szCs w:val="21"/>
              </w:rPr>
              <w:t>50%以下之前，管理人不再接受该投资者对本理财产品的购买申请。</w:t>
            </w:r>
          </w:p>
        </w:tc>
      </w:tr>
      <w:tr>
        <w:tblPrEx>
          <w:tblW w:w="0" w:type="auto"/>
          <w:tblInd w:w="108" w:type="dxa"/>
          <w:tblLayout w:type="fixed"/>
          <w:tblLook w:val="0000"/>
        </w:tblPrEx>
        <w:trPr>
          <w:trHeight w:val="247"/>
        </w:trPr>
        <w:tc>
          <w:tcPr>
            <w:tcW w:w="1783" w:type="dxa"/>
            <w:vAlign w:val="center"/>
          </w:tcPr>
          <w:p w:rsidR="00952162">
            <w:pPr>
              <w:spacing w:line="360" w:lineRule="auto"/>
              <w:jc w:val="center"/>
              <w:rPr>
                <w:rFonts w:ascii="新宋体" w:eastAsia="新宋体" w:hAnsi="新宋体"/>
                <w:szCs w:val="21"/>
              </w:rPr>
            </w:pPr>
            <w:r>
              <w:rPr>
                <w:rFonts w:ascii="新宋体" w:eastAsia="新宋体" w:hAnsi="新宋体" w:hint="eastAsia"/>
                <w:szCs w:val="21"/>
              </w:rPr>
              <w:t>最大投资金额</w:t>
            </w:r>
          </w:p>
        </w:tc>
        <w:tc>
          <w:tcPr>
            <w:tcW w:w="7523" w:type="dxa"/>
            <w:vAlign w:val="center"/>
          </w:tcPr>
          <w:p w:rsidR="00952162">
            <w:pPr>
              <w:spacing w:line="360" w:lineRule="auto"/>
              <w:jc w:val="left"/>
              <w:rPr>
                <w:rFonts w:ascii="新宋体" w:eastAsia="新宋体" w:hAnsi="新宋体"/>
                <w:szCs w:val="21"/>
              </w:rPr>
            </w:pPr>
            <w:r>
              <w:rPr>
                <w:rFonts w:ascii="新宋体" w:eastAsia="新宋体" w:hAnsi="新宋体"/>
              </w:rPr>
              <w:t>A份额无上限、B份额无上限</w:t>
            </w:r>
          </w:p>
        </w:tc>
      </w:tr>
      <w:tr>
        <w:tblPrEx>
          <w:tblW w:w="0" w:type="auto"/>
          <w:tblInd w:w="108" w:type="dxa"/>
          <w:tblLayout w:type="fixed"/>
          <w:tblLook w:val="0000"/>
        </w:tblPrEx>
        <w:trPr>
          <w:trHeight w:val="247"/>
        </w:trPr>
        <w:tc>
          <w:tcPr>
            <w:tcW w:w="1783" w:type="dxa"/>
            <w:vAlign w:val="center"/>
          </w:tcPr>
          <w:p w:rsidR="00952162">
            <w:pPr>
              <w:spacing w:line="360" w:lineRule="auto"/>
              <w:jc w:val="center"/>
              <w:rPr>
                <w:rFonts w:ascii="新宋体" w:eastAsia="新宋体" w:hAnsi="新宋体" w:hint="eastAsia"/>
                <w:szCs w:val="21"/>
              </w:rPr>
            </w:pPr>
            <w:r>
              <w:rPr>
                <w:rFonts w:ascii="新宋体" w:eastAsia="新宋体" w:hAnsi="新宋体" w:hint="eastAsia"/>
                <w:szCs w:val="21"/>
              </w:rPr>
              <w:t>本金及理财收益（如有）</w:t>
            </w:r>
          </w:p>
        </w:tc>
        <w:tc>
          <w:tcPr>
            <w:tcW w:w="7523" w:type="dxa"/>
            <w:vAlign w:val="center"/>
          </w:tcPr>
          <w:p w:rsidR="00952162">
            <w:pPr>
              <w:spacing w:line="360" w:lineRule="auto"/>
              <w:rPr>
                <w:rFonts w:ascii="新宋体" w:eastAsia="新宋体" w:hAnsi="新宋体" w:hint="eastAsia"/>
              </w:rPr>
            </w:pPr>
            <w:r>
              <w:rPr>
                <w:rFonts w:ascii="新宋体" w:eastAsia="新宋体" w:hAnsi="新宋体" w:hint="eastAsia"/>
              </w:rPr>
              <w:t>本理财计划的收益特征为</w:t>
            </w:r>
            <w:r>
              <w:rPr>
                <w:rFonts w:ascii="新宋体" w:eastAsia="新宋体" w:hAnsi="新宋体" w:hint="eastAsia"/>
                <w:b/>
              </w:rPr>
              <w:t>非保本浮动收益</w:t>
            </w:r>
            <w:r>
              <w:rPr>
                <w:rFonts w:ascii="新宋体" w:eastAsia="新宋体" w:hAnsi="新宋体" w:hint="eastAsia"/>
              </w:rPr>
              <w:t>，不保障本金且不保证理财收益，本理财计划的收益随投资收益浮动，投资者可能会因市场变动等而蒙受损失。在理财计划对外投资资产正常回收的情况下，扣除理财计划税费和理财计划费用等相关费用后，计算理财产品的可分配利益。</w:t>
            </w:r>
          </w:p>
        </w:tc>
      </w:tr>
      <w:tr>
        <w:tblPrEx>
          <w:tblW w:w="0" w:type="auto"/>
          <w:tblInd w:w="108" w:type="dxa"/>
          <w:tblLayout w:type="fixed"/>
          <w:tblLook w:val="0000"/>
        </w:tblPrEx>
        <w:trPr>
          <w:trHeight w:val="247"/>
        </w:trPr>
        <w:tc>
          <w:tcPr>
            <w:tcW w:w="1783" w:type="dxa"/>
            <w:vAlign w:val="center"/>
          </w:tcPr>
          <w:p w:rsidR="00952162">
            <w:pPr>
              <w:spacing w:line="360" w:lineRule="auto"/>
              <w:jc w:val="center"/>
              <w:rPr>
                <w:rFonts w:ascii="新宋体" w:eastAsia="新宋体" w:hAnsi="新宋体" w:hint="eastAsia"/>
                <w:szCs w:val="21"/>
              </w:rPr>
            </w:pPr>
            <w:r>
              <w:rPr>
                <w:rFonts w:ascii="新宋体" w:eastAsia="新宋体" w:hAnsi="新宋体" w:hint="eastAsia"/>
                <w:szCs w:val="21"/>
              </w:rPr>
              <w:t>业绩比较基准</w:t>
            </w:r>
          </w:p>
        </w:tc>
        <w:tc>
          <w:tcPr>
            <w:tcW w:w="7523" w:type="dxa"/>
            <w:vAlign w:val="center"/>
          </w:tcPr>
          <w:p w:rsidR="00952162">
            <w:pPr>
              <w:spacing w:line="360" w:lineRule="auto"/>
              <w:rPr>
                <w:rFonts w:ascii="新宋体" w:eastAsia="新宋体" w:hAnsi="新宋体" w:hint="eastAsia"/>
                <w:b/>
              </w:rPr>
            </w:pPr>
            <w:r>
              <w:rPr>
                <w:rFonts w:ascii="新宋体" w:eastAsia="新宋体" w:hAnsi="新宋体" w:hint="eastAsia"/>
                <w:b/>
              </w:rPr>
              <w:t>业绩比较基准不代表本理财计划的未来表现和实际收益，或管理人对本理财计划进行的收益承诺。投资者不应将业绩比较基准作为持有本理财计划份额到期的综合投资收益参考值。</w:t>
            </w:r>
          </w:p>
          <w:p w:rsidR="00952162">
            <w:pPr>
              <w:spacing w:line="360" w:lineRule="auto"/>
              <w:rPr>
                <w:rFonts w:ascii="新宋体" w:eastAsia="新宋体" w:hAnsi="新宋体" w:hint="eastAsia"/>
                <w:b/>
              </w:rPr>
            </w:pPr>
            <w:r>
              <w:rPr>
                <w:rFonts w:ascii="新宋体" w:eastAsia="新宋体" w:hAnsi="新宋体" w:hint="eastAsia"/>
                <w:b/>
              </w:rPr>
              <w:t>A份额业绩比较基准为1.65%-2.45%（年化）</w:t>
              <w:br/>
              <w:t>B份额业绩比较基准为1.75%-2.55%（年化）</w:t>
            </w:r>
          </w:p>
          <w:p w:rsidR="00952162">
            <w:pPr>
              <w:spacing w:line="360" w:lineRule="auto"/>
              <w:rPr>
                <w:rFonts w:ascii="新宋体" w:eastAsia="新宋体" w:hAnsi="新宋体"/>
                <w:b/>
              </w:rPr>
            </w:pPr>
            <w:r>
              <w:rPr>
                <w:rFonts w:ascii="新宋体" w:eastAsia="新宋体" w:hAnsi="新宋体" w:hint="eastAsia"/>
                <w:b/>
              </w:rPr>
              <w:t>业绩比较基准测算依据：本产品投资对象主要包括固定收益类资产、货币市场工具、资产管理计划、非标资产等，业绩比较基准测算参考上述投资对象的资产加权平均收益率。综合考虑当前市场环境、资产配置中枢比例、产品费用及税费等因素。业绩比较基准是产品管理人基于产品性质、投资策略、过往经验等因素对产品设定的投资目标，不代表产品的未来表现和实际收益，不构成对产品收益的承诺，投资须谨慎。</w:t>
            </w:r>
          </w:p>
          <w:p w:rsidR="00952162">
            <w:pPr>
              <w:spacing w:line="360" w:lineRule="auto"/>
              <w:rPr>
                <w:rFonts w:ascii="新宋体" w:eastAsia="新宋体" w:hAnsi="新宋体" w:hint="eastAsia"/>
                <w:b/>
              </w:rPr>
            </w:pPr>
            <w:r>
              <w:rPr>
                <w:b/>
              </w:rPr>
              <w:t>本产品为净值型产品，业绩表现将随市场情况波动，具有不确定性。当监管政策、市场环境、产品性质等因素发生变化，导致理财产品的业绩比较基准需要调整时，产品管理人将至少于调整日之前</w:t>
            </w:r>
            <w:r>
              <w:rPr>
                <w:rFonts w:hint="eastAsia"/>
                <w:b/>
              </w:rPr>
              <w:t>2</w:t>
            </w:r>
            <w:r>
              <w:rPr>
                <w:b/>
              </w:rPr>
              <w:t>个工作日通过机构官方渠道或与投资者约定的其他渠道公布调整情况和调整原因。</w:t>
            </w:r>
          </w:p>
          <w:p w:rsidR="00952162">
            <w:pPr>
              <w:spacing w:line="360" w:lineRule="auto"/>
              <w:rPr>
                <w:rFonts w:ascii="新宋体" w:eastAsia="新宋体" w:hAnsi="新宋体" w:hint="eastAsia"/>
              </w:rPr>
            </w:pPr>
            <w:r>
              <w:rPr>
                <w:rFonts w:ascii="新宋体" w:eastAsia="新宋体" w:hAnsi="新宋体" w:hint="eastAsia"/>
                <w:b/>
              </w:rPr>
              <w:t>如理财投资本金及收益未按时或足额收回，则本理财计划的到期收益可能降低，最不利情形损失部分或全部本金。对于超出</w:t>
            </w:r>
            <w:r>
              <w:rPr>
                <w:rFonts w:ascii="新宋体" w:eastAsia="新宋体" w:hAnsi="新宋体" w:hint="eastAsia"/>
                <w:b/>
              </w:rPr>
              <w:t>“</w:t>
            </w:r>
            <w:r>
              <w:rPr>
                <w:rFonts w:ascii="新宋体" w:eastAsia="新宋体" w:hAnsi="新宋体" w:hint="eastAsia"/>
                <w:b/>
              </w:rPr>
              <w:t>业绩基准</w:t>
            </w:r>
            <w:r>
              <w:rPr>
                <w:rFonts w:ascii="新宋体" w:eastAsia="新宋体" w:hAnsi="新宋体" w:hint="eastAsia"/>
                <w:b/>
              </w:rPr>
              <w:t>”</w:t>
            </w:r>
            <w:r w:rsidR="006E7BDE">
              <w:rPr>
                <w:rFonts w:ascii="新宋体" w:eastAsia="新宋体" w:hAnsi="新宋体" w:hint="eastAsia"/>
                <w:b/>
              </w:rPr>
              <w:t>上限</w:t>
            </w:r>
            <w:r>
              <w:rPr>
                <w:rFonts w:ascii="新宋体" w:eastAsia="新宋体" w:hAnsi="新宋体" w:hint="eastAsia"/>
                <w:b/>
              </w:rPr>
              <w:t>部分的投资收益，</w:t>
            </w:r>
            <w:r w:rsidR="006E7BDE">
              <w:rPr>
                <w:rFonts w:ascii="新宋体" w:eastAsia="新宋体" w:hAnsi="新宋体" w:hint="eastAsia"/>
                <w:b/>
              </w:rPr>
              <w:t>1</w:t>
            </w:r>
            <w:r w:rsidR="006E7BDE">
              <w:rPr>
                <w:rFonts w:ascii="新宋体" w:eastAsia="新宋体" w:hAnsi="新宋体"/>
                <w:b/>
              </w:rPr>
              <w:t>00</w:t>
            </w:r>
            <w:r w:rsidR="006E7BDE">
              <w:rPr>
                <w:rFonts w:ascii="新宋体" w:eastAsia="新宋体" w:hAnsi="新宋体" w:hint="eastAsia"/>
                <w:b/>
              </w:rPr>
              <w:t>%归于投资者</w:t>
            </w:r>
            <w:r>
              <w:rPr>
                <w:rFonts w:ascii="新宋体" w:eastAsia="新宋体" w:hAnsi="新宋体" w:hint="eastAsia"/>
                <w:b/>
              </w:rPr>
              <w:t>。</w:t>
            </w:r>
          </w:p>
        </w:tc>
      </w:tr>
      <w:tr>
        <w:tblPrEx>
          <w:tblW w:w="0" w:type="auto"/>
          <w:tblInd w:w="108" w:type="dxa"/>
          <w:tblLayout w:type="fixed"/>
          <w:tblLook w:val="0000"/>
        </w:tblPrEx>
        <w:trPr>
          <w:trHeight w:val="247"/>
        </w:trPr>
        <w:tc>
          <w:tcPr>
            <w:tcW w:w="1783" w:type="dxa"/>
            <w:vAlign w:val="center"/>
          </w:tcPr>
          <w:p w:rsidR="00952162">
            <w:pPr>
              <w:spacing w:line="360" w:lineRule="auto"/>
              <w:jc w:val="center"/>
              <w:rPr>
                <w:rFonts w:ascii="新宋体" w:eastAsia="新宋体" w:hAnsi="新宋体" w:hint="eastAsia"/>
                <w:szCs w:val="21"/>
              </w:rPr>
            </w:pPr>
            <w:r>
              <w:rPr>
                <w:rFonts w:ascii="新宋体" w:eastAsia="新宋体" w:hAnsi="新宋体" w:hint="eastAsia"/>
                <w:szCs w:val="21"/>
              </w:rPr>
              <w:t>产品托管费</w:t>
            </w:r>
          </w:p>
        </w:tc>
        <w:tc>
          <w:tcPr>
            <w:tcW w:w="7523" w:type="dxa"/>
            <w:vAlign w:val="center"/>
          </w:tcPr>
          <w:p w:rsidR="00952162">
            <w:pPr>
              <w:spacing w:line="360" w:lineRule="auto"/>
              <w:rPr>
                <w:rFonts w:ascii="新宋体" w:eastAsia="新宋体" w:hAnsi="新宋体" w:hint="eastAsia"/>
              </w:rPr>
            </w:pPr>
            <w:r>
              <w:rPr>
                <w:rFonts w:ascii="新宋体" w:eastAsia="新宋体" w:hAnsi="新宋体" w:hint="eastAsia"/>
                <w:szCs w:val="21"/>
              </w:rPr>
              <w:t>本理财计划的托管费率（年化）为0.01%</w:t>
            </w:r>
          </w:p>
        </w:tc>
      </w:tr>
      <w:tr>
        <w:tblPrEx>
          <w:tblW w:w="0" w:type="auto"/>
          <w:tblInd w:w="108" w:type="dxa"/>
          <w:tblLayout w:type="fixed"/>
          <w:tblLook w:val="0000"/>
        </w:tblPrEx>
        <w:trPr>
          <w:trHeight w:val="208"/>
        </w:trPr>
        <w:tc>
          <w:tcPr>
            <w:tcW w:w="1783" w:type="dxa"/>
            <w:vAlign w:val="center"/>
          </w:tcPr>
          <w:p w:rsidR="00952162">
            <w:pPr>
              <w:spacing w:line="360" w:lineRule="auto"/>
              <w:jc w:val="center"/>
              <w:rPr>
                <w:rFonts w:ascii="新宋体" w:eastAsia="新宋体" w:hAnsi="新宋体" w:hint="eastAsia"/>
                <w:szCs w:val="21"/>
              </w:rPr>
            </w:pPr>
            <w:r>
              <w:rPr>
                <w:rFonts w:ascii="新宋体" w:eastAsia="新宋体" w:hAnsi="新宋体" w:hint="eastAsia"/>
                <w:szCs w:val="21"/>
              </w:rPr>
              <w:t>产品管理费</w:t>
            </w:r>
          </w:p>
        </w:tc>
        <w:tc>
          <w:tcPr>
            <w:tcW w:w="7523" w:type="dxa"/>
            <w:vAlign w:val="center"/>
          </w:tcPr>
          <w:p w:rsidR="00952162">
            <w:pPr>
              <w:spacing w:line="360" w:lineRule="auto"/>
              <w:rPr>
                <w:rFonts w:ascii="新宋体" w:eastAsia="新宋体" w:hAnsi="新宋体" w:hint="eastAsia"/>
                <w:szCs w:val="21"/>
              </w:rPr>
            </w:pPr>
            <w:r>
              <w:rPr>
                <w:rFonts w:ascii="新宋体" w:eastAsia="新宋体" w:hAnsi="新宋体" w:hint="eastAsia"/>
                <w:szCs w:val="21"/>
              </w:rPr>
              <w:t>本理财计划费用包括固定管理费和业绩报酬。其中，</w:t>
            </w:r>
            <w:r>
              <w:rPr>
                <w:rFonts w:ascii="新宋体" w:eastAsia="新宋体" w:hAnsi="新宋体" w:hint="eastAsia"/>
                <w:b/>
                <w:bCs/>
                <w:szCs w:val="21"/>
              </w:rPr>
              <w:t>A份额固定管理费率（年化）为0.30%；B份额固定管理费率（年化）为0.20%</w:t>
            </w:r>
            <w:r>
              <w:rPr>
                <w:rFonts w:ascii="新宋体" w:eastAsia="新宋体" w:hAnsi="新宋体" w:hint="eastAsia"/>
                <w:szCs w:val="21"/>
              </w:rPr>
              <w:t>，由理财管理人按日计提收取；在扣除各项费用后，如果本理财到期资产投资运作收益大于</w:t>
            </w:r>
            <w:r>
              <w:rPr>
                <w:rFonts w:ascii="新宋体" w:eastAsia="新宋体" w:hAnsi="新宋体" w:hint="eastAsia"/>
                <w:szCs w:val="21"/>
              </w:rPr>
              <w:t>“</w:t>
            </w:r>
            <w:r>
              <w:rPr>
                <w:rFonts w:ascii="新宋体" w:eastAsia="新宋体" w:hAnsi="新宋体" w:hint="eastAsia"/>
                <w:szCs w:val="21"/>
              </w:rPr>
              <w:t>业绩比较基准</w:t>
            </w:r>
            <w:r>
              <w:rPr>
                <w:rFonts w:ascii="新宋体" w:eastAsia="新宋体" w:hAnsi="新宋体" w:hint="eastAsia"/>
                <w:szCs w:val="21"/>
              </w:rPr>
              <w:t>”</w:t>
            </w:r>
            <w:r>
              <w:rPr>
                <w:rFonts w:ascii="新宋体" w:eastAsia="新宋体" w:hAnsi="新宋体" w:hint="eastAsia"/>
                <w:szCs w:val="21"/>
              </w:rPr>
              <w:t>（A份额1.65%-2.45%、B份额1.75%-2.55%），则超出</w:t>
            </w:r>
            <w:r w:rsidR="006E7BDE">
              <w:rPr>
                <w:rFonts w:ascii="新宋体" w:eastAsia="新宋体" w:hAnsi="新宋体" w:hint="eastAsia"/>
                <w:szCs w:val="21"/>
              </w:rPr>
              <w:t>上限的</w:t>
            </w:r>
            <w:r>
              <w:rPr>
                <w:rFonts w:ascii="新宋体" w:eastAsia="新宋体" w:hAnsi="新宋体" w:hint="eastAsia"/>
                <w:szCs w:val="21"/>
              </w:rPr>
              <w:t>部分</w:t>
            </w:r>
            <w:r w:rsidR="006E7BDE">
              <w:rPr>
                <w:rFonts w:ascii="新宋体" w:eastAsia="新宋体" w:hAnsi="新宋体" w:hint="eastAsia"/>
                <w:szCs w:val="21"/>
              </w:rPr>
              <w:t>，</w:t>
            </w:r>
            <w:r w:rsidRPr="006E7BDE" w:rsidR="006E7BDE">
              <w:rPr>
                <w:rFonts w:ascii="新宋体" w:eastAsia="新宋体" w:hAnsi="新宋体" w:hint="eastAsia"/>
                <w:szCs w:val="21"/>
              </w:rPr>
              <w:t>100%归于投资者</w:t>
            </w:r>
            <w:r>
              <w:rPr>
                <w:rFonts w:ascii="新宋体" w:eastAsia="新宋体" w:hAnsi="新宋体" w:hint="eastAsia"/>
                <w:szCs w:val="21"/>
              </w:rPr>
              <w:t>；如果本理财到期资产投资运作收益小于等于</w:t>
            </w:r>
            <w:r>
              <w:rPr>
                <w:rFonts w:ascii="新宋体" w:eastAsia="新宋体" w:hAnsi="新宋体" w:hint="eastAsia"/>
                <w:szCs w:val="21"/>
              </w:rPr>
              <w:t>“</w:t>
            </w:r>
            <w:r>
              <w:rPr>
                <w:rFonts w:ascii="新宋体" w:eastAsia="新宋体" w:hAnsi="新宋体" w:hint="eastAsia"/>
                <w:szCs w:val="21"/>
              </w:rPr>
              <w:t>业绩基准</w:t>
            </w:r>
            <w:r>
              <w:rPr>
                <w:rFonts w:ascii="新宋体" w:eastAsia="新宋体" w:hAnsi="新宋体" w:hint="eastAsia"/>
                <w:szCs w:val="21"/>
              </w:rPr>
              <w:t>”</w:t>
            </w:r>
            <w:r>
              <w:rPr>
                <w:rFonts w:ascii="新宋体" w:eastAsia="新宋体" w:hAnsi="新宋体" w:hint="eastAsia"/>
                <w:szCs w:val="21"/>
              </w:rPr>
              <w:t>，则本理财计划的业绩报酬为0。当本理财到期资产投资运作收益小于</w:t>
            </w:r>
            <w:r>
              <w:rPr>
                <w:rFonts w:ascii="新宋体" w:eastAsia="新宋体" w:hAnsi="新宋体" w:hint="eastAsia"/>
                <w:szCs w:val="21"/>
              </w:rPr>
              <w:t>“</w:t>
            </w:r>
            <w:r>
              <w:rPr>
                <w:rFonts w:ascii="新宋体" w:eastAsia="新宋体" w:hAnsi="新宋体" w:hint="eastAsia"/>
                <w:szCs w:val="21"/>
              </w:rPr>
              <w:t>业绩比较基准</w:t>
            </w:r>
            <w:r>
              <w:rPr>
                <w:rFonts w:ascii="新宋体" w:eastAsia="新宋体" w:hAnsi="新宋体" w:hint="eastAsia"/>
                <w:szCs w:val="21"/>
              </w:rPr>
              <w:t>”</w:t>
            </w:r>
            <w:r w:rsidR="006E7BDE">
              <w:rPr>
                <w:rFonts w:ascii="新宋体" w:eastAsia="新宋体" w:hAnsi="新宋体" w:hint="eastAsia"/>
                <w:szCs w:val="21"/>
              </w:rPr>
              <w:t>下限</w:t>
            </w:r>
            <w:r>
              <w:rPr>
                <w:rFonts w:ascii="新宋体" w:eastAsia="新宋体" w:hAnsi="新宋体" w:hint="eastAsia"/>
                <w:szCs w:val="21"/>
              </w:rPr>
              <w:t>时，管理人将放弃计提的固定管理费，最高为已计提的全部固定管理费。</w:t>
            </w:r>
          </w:p>
        </w:tc>
      </w:tr>
      <w:tr>
        <w:tblPrEx>
          <w:tblW w:w="0" w:type="auto"/>
          <w:tblInd w:w="108" w:type="dxa"/>
          <w:tblLayout w:type="fixed"/>
          <w:tblLook w:val="0000"/>
        </w:tblPrEx>
        <w:trPr>
          <w:trHeight w:val="208"/>
        </w:trPr>
        <w:tc>
          <w:tcPr>
            <w:tcW w:w="1783" w:type="dxa"/>
            <w:vAlign w:val="center"/>
          </w:tcPr>
          <w:p w:rsidR="00952162">
            <w:pPr>
              <w:spacing w:line="360" w:lineRule="auto"/>
              <w:jc w:val="center"/>
              <w:rPr>
                <w:rFonts w:ascii="新宋体" w:eastAsia="新宋体" w:hAnsi="新宋体" w:hint="eastAsia"/>
                <w:szCs w:val="21"/>
              </w:rPr>
            </w:pPr>
            <w:r>
              <w:rPr>
                <w:rFonts w:ascii="新宋体" w:eastAsia="新宋体" w:hAnsi="新宋体" w:hint="eastAsia"/>
                <w:szCs w:val="21"/>
              </w:rPr>
              <w:t>提前终止权</w:t>
            </w:r>
          </w:p>
        </w:tc>
        <w:tc>
          <w:tcPr>
            <w:tcW w:w="7523" w:type="dxa"/>
            <w:vAlign w:val="center"/>
          </w:tcPr>
          <w:p w:rsidR="00952162">
            <w:pPr>
              <w:spacing w:line="360" w:lineRule="auto"/>
              <w:rPr>
                <w:rFonts w:ascii="新宋体" w:eastAsia="新宋体" w:hAnsi="新宋体" w:hint="eastAsia"/>
                <w:szCs w:val="21"/>
              </w:rPr>
            </w:pPr>
            <w:r>
              <w:rPr>
                <w:rFonts w:ascii="新宋体" w:eastAsia="新宋体" w:hAnsi="新宋体" w:cs="新宋体" w:hint="eastAsia"/>
                <w:color w:val="000000"/>
                <w:kern w:val="0"/>
                <w:szCs w:val="21"/>
                <w:lang w:bidi="ar"/>
              </w:rPr>
              <w:t>本理财计划如遇国家金融政策重大调整等管理人无法干预的不利情形，并影响到本产品的正常运作时，为保护投资者利益，青银理财有权提前终止本产品。</w:t>
            </w:r>
          </w:p>
        </w:tc>
      </w:tr>
      <w:tr>
        <w:tblPrEx>
          <w:tblW w:w="0" w:type="auto"/>
          <w:tblInd w:w="108" w:type="dxa"/>
          <w:tblLayout w:type="fixed"/>
          <w:tblLook w:val="0000"/>
        </w:tblPrEx>
        <w:trPr>
          <w:trHeight w:val="208"/>
        </w:trPr>
        <w:tc>
          <w:tcPr>
            <w:tcW w:w="1783" w:type="dxa"/>
            <w:vAlign w:val="center"/>
          </w:tcPr>
          <w:p w:rsidR="00952162">
            <w:pPr>
              <w:spacing w:line="360" w:lineRule="auto"/>
              <w:jc w:val="center"/>
              <w:rPr>
                <w:rFonts w:ascii="新宋体" w:eastAsia="新宋体" w:hAnsi="新宋体" w:hint="eastAsia"/>
                <w:szCs w:val="21"/>
              </w:rPr>
            </w:pPr>
            <w:r>
              <w:rPr>
                <w:rFonts w:ascii="新宋体" w:eastAsia="新宋体" w:hAnsi="新宋体" w:hint="eastAsia"/>
                <w:szCs w:val="21"/>
              </w:rPr>
              <w:t>撤销及赎回</w:t>
            </w:r>
          </w:p>
        </w:tc>
        <w:tc>
          <w:tcPr>
            <w:tcW w:w="7523" w:type="dxa"/>
            <w:vAlign w:val="center"/>
          </w:tcPr>
          <w:p w:rsidR="00952162">
            <w:pPr>
              <w:widowControl/>
              <w:spacing w:line="360" w:lineRule="auto"/>
              <w:rPr>
                <w:rFonts w:ascii="新宋体" w:eastAsia="新宋体" w:hAnsi="新宋体" w:hint="eastAsia"/>
                <w:szCs w:val="21"/>
              </w:rPr>
            </w:pPr>
            <w:r>
              <w:rPr>
                <w:rFonts w:ascii="新宋体" w:eastAsia="新宋体" w:hAnsi="新宋体" w:hint="eastAsia"/>
                <w:b/>
                <w:bCs/>
                <w:szCs w:val="21"/>
              </w:rPr>
              <w:t>本理财计划仅在募集期内可以撤销。本理财计划存续期内不支持赎回（国家法律法规另有规定的除外）</w:t>
            </w:r>
          </w:p>
        </w:tc>
      </w:tr>
      <w:tr>
        <w:tblPrEx>
          <w:tblW w:w="0" w:type="auto"/>
          <w:tblInd w:w="108" w:type="dxa"/>
          <w:tblLayout w:type="fixed"/>
          <w:tblLook w:val="0000"/>
        </w:tblPrEx>
        <w:trPr>
          <w:trHeight w:val="195"/>
        </w:trPr>
        <w:tc>
          <w:tcPr>
            <w:tcW w:w="1783" w:type="dxa"/>
            <w:vAlign w:val="center"/>
          </w:tcPr>
          <w:p w:rsidR="00952162">
            <w:pPr>
              <w:spacing w:line="360" w:lineRule="auto"/>
              <w:jc w:val="center"/>
              <w:rPr>
                <w:rFonts w:ascii="新宋体" w:eastAsia="新宋体" w:hAnsi="新宋体" w:hint="eastAsia"/>
                <w:szCs w:val="21"/>
              </w:rPr>
            </w:pPr>
            <w:r>
              <w:rPr>
                <w:rFonts w:ascii="新宋体" w:eastAsia="新宋体" w:hAnsi="新宋体" w:hint="eastAsia"/>
                <w:szCs w:val="21"/>
              </w:rPr>
              <w:t>税款</w:t>
            </w:r>
          </w:p>
        </w:tc>
        <w:tc>
          <w:tcPr>
            <w:tcW w:w="7523" w:type="dxa"/>
            <w:vAlign w:val="center"/>
          </w:tcPr>
          <w:p w:rsidR="00952162">
            <w:pPr>
              <w:spacing w:line="360" w:lineRule="auto"/>
              <w:rPr>
                <w:rFonts w:ascii="新宋体" w:eastAsia="新宋体" w:hAnsi="新宋体"/>
                <w:b/>
                <w:bCs/>
                <w:szCs w:val="21"/>
              </w:rPr>
            </w:pPr>
            <w:r>
              <w:rPr>
                <w:rFonts w:ascii="新宋体" w:eastAsia="新宋体" w:hAnsi="新宋体" w:hint="eastAsia"/>
                <w:b/>
                <w:bCs/>
                <w:szCs w:val="21"/>
              </w:rPr>
              <w:t>理财收益的应纳税款由客户自行申报及缴纳。</w:t>
            </w:r>
          </w:p>
          <w:p w:rsidR="00952162">
            <w:pPr>
              <w:spacing w:line="360" w:lineRule="auto"/>
              <w:rPr>
                <w:rFonts w:ascii="新宋体" w:eastAsia="新宋体" w:hAnsi="新宋体" w:hint="eastAsia"/>
                <w:szCs w:val="21"/>
              </w:rPr>
            </w:pPr>
            <w:r>
              <w:rPr>
                <w:rFonts w:ascii="新宋体" w:eastAsia="新宋体" w:hAnsi="新宋体" w:hint="eastAsia"/>
                <w:szCs w:val="21"/>
              </w:rPr>
              <w:t>本理财计划运作过程中涉及的各纳税主体，其纳税义务按国家税收法律、法规执行。除法律法规特别要求外，投资者应缴纳的税收由投资者负责，产品管理人不承担代扣代缴或纳税的义务。理财计划运营过程中发生的应由理财计划承担的增值税应税行为，由本产品管理人申报和缴纳增值税及附加税费，该等税款直接从理财计划账户中扣付缴纳。</w:t>
            </w:r>
          </w:p>
        </w:tc>
      </w:tr>
      <w:tr>
        <w:tblPrEx>
          <w:tblW w:w="0" w:type="auto"/>
          <w:tblInd w:w="108" w:type="dxa"/>
          <w:tblLayout w:type="fixed"/>
          <w:tblLook w:val="0000"/>
        </w:tblPrEx>
        <w:trPr>
          <w:trHeight w:val="168"/>
        </w:trPr>
        <w:tc>
          <w:tcPr>
            <w:tcW w:w="1783" w:type="dxa"/>
            <w:vAlign w:val="center"/>
          </w:tcPr>
          <w:p w:rsidR="00952162">
            <w:pPr>
              <w:spacing w:line="360" w:lineRule="auto"/>
              <w:jc w:val="center"/>
              <w:rPr>
                <w:rFonts w:ascii="新宋体" w:eastAsia="新宋体" w:hAnsi="新宋体" w:hint="eastAsia"/>
                <w:szCs w:val="21"/>
              </w:rPr>
            </w:pPr>
            <w:r>
              <w:rPr>
                <w:rFonts w:ascii="新宋体" w:eastAsia="新宋体" w:hAnsi="新宋体" w:hint="eastAsia"/>
                <w:szCs w:val="21"/>
              </w:rPr>
              <w:t>理财管理人</w:t>
            </w:r>
          </w:p>
        </w:tc>
        <w:tc>
          <w:tcPr>
            <w:tcW w:w="7523" w:type="dxa"/>
            <w:vAlign w:val="center"/>
          </w:tcPr>
          <w:p w:rsidR="00952162">
            <w:pPr>
              <w:spacing w:line="360" w:lineRule="auto"/>
              <w:rPr>
                <w:rFonts w:ascii="新宋体" w:eastAsia="新宋体" w:hAnsi="新宋体" w:hint="eastAsia"/>
                <w:szCs w:val="21"/>
              </w:rPr>
            </w:pPr>
            <w:r>
              <w:rPr>
                <w:rFonts w:ascii="新宋体" w:eastAsia="新宋体" w:hAnsi="新宋体" w:cs="新宋体" w:hint="eastAsia"/>
                <w:color w:val="000000"/>
                <w:kern w:val="0"/>
                <w:szCs w:val="21"/>
                <w:lang w:bidi="ar"/>
              </w:rPr>
              <w:t>青银理财有限责任公司。</w:t>
            </w:r>
          </w:p>
        </w:tc>
      </w:tr>
      <w:tr>
        <w:tblPrEx>
          <w:tblW w:w="0" w:type="auto"/>
          <w:tblInd w:w="108" w:type="dxa"/>
          <w:tblLayout w:type="fixed"/>
          <w:tblLook w:val="0000"/>
        </w:tblPrEx>
        <w:trPr>
          <w:trHeight w:val="143"/>
        </w:trPr>
        <w:tc>
          <w:tcPr>
            <w:tcW w:w="1783" w:type="dxa"/>
            <w:vAlign w:val="center"/>
          </w:tcPr>
          <w:p w:rsidR="00952162">
            <w:pPr>
              <w:spacing w:line="360" w:lineRule="auto"/>
              <w:jc w:val="center"/>
              <w:rPr>
                <w:rFonts w:ascii="新宋体" w:eastAsia="新宋体" w:hAnsi="新宋体" w:hint="eastAsia"/>
                <w:szCs w:val="21"/>
              </w:rPr>
            </w:pPr>
            <w:r>
              <w:rPr>
                <w:rFonts w:ascii="新宋体" w:eastAsia="新宋体" w:hAnsi="新宋体" w:hint="eastAsia"/>
                <w:szCs w:val="21"/>
              </w:rPr>
              <w:t>资产托管人</w:t>
            </w:r>
          </w:p>
        </w:tc>
        <w:tc>
          <w:tcPr>
            <w:tcW w:w="7523" w:type="dxa"/>
            <w:vAlign w:val="center"/>
          </w:tcPr>
          <w:p w:rsidR="00952162">
            <w:pPr>
              <w:widowControl/>
              <w:spacing w:line="360" w:lineRule="auto"/>
              <w:rPr>
                <w:rFonts w:ascii="新宋体" w:eastAsia="新宋体" w:hAnsi="新宋体" w:cs="新宋体" w:hint="eastAsia"/>
                <w:color w:val="000000"/>
                <w:kern w:val="0"/>
                <w:szCs w:val="21"/>
                <w:lang w:bidi="ar"/>
              </w:rPr>
            </w:pPr>
            <w:r>
              <w:rPr>
                <w:rFonts w:ascii="新宋体" w:eastAsia="新宋体" w:hAnsi="新宋体" w:hint="eastAsia"/>
                <w:szCs w:val="21"/>
              </w:rPr>
              <w:t>青岛银行</w:t>
            </w:r>
          </w:p>
        </w:tc>
      </w:tr>
      <w:tr>
        <w:tblPrEx>
          <w:tblW w:w="0" w:type="auto"/>
          <w:tblInd w:w="108" w:type="dxa"/>
          <w:tblLayout w:type="fixed"/>
          <w:tblLook w:val="0000"/>
        </w:tblPrEx>
        <w:trPr>
          <w:trHeight w:val="143"/>
        </w:trPr>
        <w:tc>
          <w:tcPr>
            <w:tcW w:w="1783" w:type="dxa"/>
            <w:vAlign w:val="center"/>
          </w:tcPr>
          <w:p w:rsidR="00952162">
            <w:pPr>
              <w:spacing w:line="360" w:lineRule="auto"/>
              <w:jc w:val="center"/>
              <w:rPr>
                <w:rFonts w:ascii="新宋体" w:eastAsia="新宋体" w:hAnsi="新宋体" w:hint="eastAsia"/>
                <w:szCs w:val="21"/>
              </w:rPr>
            </w:pPr>
            <w:r>
              <w:rPr>
                <w:rFonts w:ascii="新宋体" w:eastAsia="新宋体" w:hAnsi="新宋体" w:hint="eastAsia"/>
                <w:szCs w:val="21"/>
              </w:rPr>
              <w:t>理财投资合作机构</w:t>
            </w:r>
          </w:p>
        </w:tc>
        <w:tc>
          <w:tcPr>
            <w:tcW w:w="7523" w:type="dxa"/>
            <w:vAlign w:val="center"/>
          </w:tcPr>
          <w:p w:rsidR="00952162">
            <w:pPr>
              <w:spacing w:line="400" w:lineRule="exact"/>
              <w:rPr>
                <w:rFonts w:ascii="新宋体" w:eastAsia="新宋体" w:hAnsi="新宋体"/>
                <w:szCs w:val="21"/>
              </w:rPr>
            </w:pPr>
            <w:r>
              <w:rPr>
                <w:rFonts w:ascii="新宋体" w:eastAsia="新宋体" w:hAnsi="新宋体" w:hint="eastAsia"/>
                <w:szCs w:val="21"/>
              </w:rPr>
              <w:t>本理财计划投资合作机构（如有）包括但不限于理财产品所投资资产管理产品的发行机构、根据合同约定从事理财产品受托投资的机构等。</w:t>
            </w:r>
          </w:p>
          <w:p w:rsidR="00952162">
            <w:pPr>
              <w:spacing w:line="360" w:lineRule="auto"/>
              <w:rPr>
                <w:rFonts w:ascii="新宋体" w:eastAsia="新宋体" w:hAnsi="新宋体" w:hint="eastAsia"/>
                <w:szCs w:val="21"/>
              </w:rPr>
            </w:pPr>
            <w:r>
              <w:rPr>
                <w:rFonts w:ascii="新宋体" w:eastAsia="新宋体" w:hAnsi="新宋体" w:hint="eastAsia"/>
                <w:szCs w:val="21"/>
              </w:rPr>
              <w:t>负责进行受托资金的投资管理，具体以管理人与投资合作机构签署的合同为准。</w:t>
            </w:r>
          </w:p>
        </w:tc>
      </w:tr>
    </w:tbl>
    <w:p w:rsidR="00952162">
      <w:pPr>
        <w:spacing w:line="360" w:lineRule="auto"/>
        <w:ind w:left="567"/>
        <w:jc w:val="left"/>
        <w:rPr>
          <w:rFonts w:ascii="新宋体" w:eastAsia="新宋体" w:hAnsi="新宋体" w:hint="eastAsia"/>
          <w:b/>
          <w:szCs w:val="21"/>
        </w:rPr>
      </w:pPr>
      <w:r>
        <w:rPr>
          <w:rFonts w:ascii="新宋体" w:eastAsia="新宋体" w:hAnsi="新宋体" w:hint="eastAsia"/>
          <w:b/>
          <w:szCs w:val="21"/>
        </w:rPr>
        <w:t>三、产品投资对象</w:t>
      </w:r>
    </w:p>
    <w:p w:rsidR="00952162">
      <w:pPr>
        <w:snapToGrid w:val="0"/>
        <w:spacing w:line="360" w:lineRule="auto"/>
        <w:ind w:firstLine="420" w:firstLineChars="200"/>
        <w:jc w:val="left"/>
        <w:rPr>
          <w:rFonts w:ascii="新宋体" w:eastAsia="新宋体" w:hAnsi="新宋体"/>
          <w:szCs w:val="21"/>
        </w:rPr>
      </w:pPr>
      <w:r>
        <w:rPr>
          <w:rFonts w:ascii="新宋体" w:eastAsia="新宋体" w:hAnsi="新宋体" w:hint="eastAsia"/>
          <w:szCs w:val="21"/>
        </w:rPr>
        <w:t>本理财计划由青银理财募集理财资金自行投资运作，属</w:t>
      </w:r>
      <w:r>
        <w:rPr>
          <w:rFonts w:ascii="新宋体" w:eastAsia="新宋体" w:hAnsi="新宋体" w:hint="eastAsia"/>
          <w:b/>
          <w:szCs w:val="21"/>
        </w:rPr>
        <w:t>固定收益类</w:t>
      </w:r>
      <w:r>
        <w:rPr>
          <w:rFonts w:ascii="新宋体" w:eastAsia="新宋体" w:hAnsi="新宋体" w:hint="eastAsia"/>
          <w:szCs w:val="21"/>
        </w:rPr>
        <w:t>，产品投资对象主要包括：</w:t>
      </w:r>
    </w:p>
    <w:p w:rsidR="00952162">
      <w:pPr>
        <w:snapToGrid w:val="0"/>
        <w:spacing w:line="360" w:lineRule="auto"/>
        <w:ind w:firstLine="420" w:firstLineChars="200"/>
        <w:jc w:val="left"/>
        <w:rPr>
          <w:rFonts w:ascii="新宋体" w:eastAsia="新宋体" w:hAnsi="新宋体"/>
          <w:szCs w:val="21"/>
        </w:rPr>
      </w:pPr>
      <w:r>
        <w:rPr>
          <w:rFonts w:ascii="新宋体" w:eastAsia="新宋体" w:hAnsi="新宋体" w:hint="eastAsia"/>
          <w:szCs w:val="21"/>
        </w:rPr>
        <w:t>现金及银行存款、货币市场工具、债券、理财直接融资工具、信贷资产流转项目、非标准化债权资产、权益类资产、金融衍生品、商品类资产、公募基金、私募基金、信托计划、券商资管计划、保险资管计划、基金资管计划、基金子公司资管计划、期货资管计划、FOF、MOM以及监管部门允许的其他投资工具等。</w:t>
      </w:r>
    </w:p>
    <w:tbl>
      <w:tblPr>
        <w:tblStyle w:val="TableNormal"/>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gridCol w:w="3060"/>
      </w:tblGrid>
      <w:tr>
        <w:tblPrEx>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5"/>
          <w:jc w:val="center"/>
        </w:trPr>
        <w:tc>
          <w:tcPr>
            <w:tcW w:w="3060" w:type="dxa"/>
            <w:tcBorders>
              <w:top w:val="single" w:sz="4" w:space="0" w:color="auto"/>
              <w:left w:val="single" w:sz="4" w:space="0" w:color="auto"/>
              <w:bottom w:val="single" w:sz="4" w:space="0" w:color="auto"/>
              <w:right w:val="single" w:sz="4" w:space="0" w:color="auto"/>
            </w:tcBorders>
          </w:tcPr>
          <w:p w:rsidR="00952162">
            <w:pPr>
              <w:spacing w:line="360" w:lineRule="auto"/>
              <w:jc w:val="center"/>
              <w:rPr>
                <w:rFonts w:ascii="新宋体" w:eastAsia="新宋体" w:hAnsi="新宋体"/>
                <w:szCs w:val="21"/>
              </w:rPr>
            </w:pPr>
            <w:r>
              <w:rPr>
                <w:rFonts w:ascii="新宋体" w:eastAsia="新宋体" w:hAnsi="新宋体" w:hint="eastAsia"/>
                <w:szCs w:val="21"/>
              </w:rPr>
              <w:t>货币市场工具</w:t>
            </w:r>
          </w:p>
        </w:tc>
        <w:tc>
          <w:tcPr>
            <w:tcW w:w="3060" w:type="dxa"/>
            <w:tcBorders>
              <w:top w:val="single" w:sz="4" w:space="0" w:color="auto"/>
              <w:left w:val="single" w:sz="4" w:space="0" w:color="auto"/>
              <w:bottom w:val="single" w:sz="4" w:space="0" w:color="auto"/>
              <w:right w:val="single" w:sz="4" w:space="0" w:color="auto"/>
            </w:tcBorders>
          </w:tcPr>
          <w:p w:rsidR="00952162">
            <w:pPr>
              <w:spacing w:line="360" w:lineRule="auto"/>
              <w:jc w:val="center"/>
              <w:rPr>
                <w:rFonts w:ascii="新宋体" w:eastAsia="新宋体" w:hAnsi="新宋体"/>
                <w:szCs w:val="21"/>
              </w:rPr>
            </w:pPr>
            <w:r>
              <w:rPr>
                <w:rFonts w:ascii="新宋体" w:eastAsia="新宋体" w:hAnsi="新宋体" w:hint="eastAsia"/>
                <w:szCs w:val="21"/>
              </w:rPr>
              <w:t>0-100%</w:t>
            </w:r>
          </w:p>
        </w:tc>
      </w:tr>
      <w:tr>
        <w:tblPrEx>
          <w:tblW w:w="0" w:type="auto"/>
          <w:jc w:val="center"/>
          <w:tblInd w:w="0" w:type="dxa"/>
          <w:tblLook w:val="0000"/>
        </w:tblPrEx>
        <w:trPr>
          <w:trHeight w:val="405"/>
          <w:jc w:val="center"/>
        </w:trPr>
        <w:tc>
          <w:tcPr>
            <w:tcW w:w="3060" w:type="dxa"/>
            <w:tcBorders>
              <w:top w:val="single" w:sz="4" w:space="0" w:color="auto"/>
              <w:left w:val="single" w:sz="4" w:space="0" w:color="auto"/>
              <w:bottom w:val="single" w:sz="4" w:space="0" w:color="auto"/>
              <w:right w:val="single" w:sz="4" w:space="0" w:color="auto"/>
            </w:tcBorders>
          </w:tcPr>
          <w:p w:rsidR="00952162">
            <w:pPr>
              <w:spacing w:line="360" w:lineRule="auto"/>
              <w:jc w:val="center"/>
              <w:rPr>
                <w:rFonts w:ascii="新宋体" w:eastAsia="新宋体" w:hAnsi="新宋体"/>
                <w:szCs w:val="21"/>
              </w:rPr>
            </w:pPr>
            <w:r>
              <w:rPr>
                <w:rFonts w:ascii="新宋体" w:eastAsia="新宋体" w:hAnsi="新宋体" w:hint="eastAsia"/>
                <w:szCs w:val="21"/>
              </w:rPr>
              <w:t>固定收益类资产</w:t>
            </w:r>
          </w:p>
        </w:tc>
        <w:tc>
          <w:tcPr>
            <w:tcW w:w="3060" w:type="dxa"/>
            <w:tcBorders>
              <w:top w:val="single" w:sz="4" w:space="0" w:color="auto"/>
              <w:left w:val="single" w:sz="4" w:space="0" w:color="auto"/>
              <w:bottom w:val="single" w:sz="4" w:space="0" w:color="auto"/>
              <w:right w:val="single" w:sz="4" w:space="0" w:color="auto"/>
            </w:tcBorders>
          </w:tcPr>
          <w:p w:rsidR="00952162">
            <w:pPr>
              <w:spacing w:line="360" w:lineRule="auto"/>
              <w:jc w:val="center"/>
              <w:rPr>
                <w:rFonts w:ascii="新宋体" w:eastAsia="新宋体" w:hAnsi="新宋体"/>
                <w:szCs w:val="21"/>
              </w:rPr>
            </w:pPr>
            <w:r>
              <w:rPr>
                <w:rFonts w:ascii="新宋体" w:eastAsia="新宋体" w:hAnsi="新宋体" w:hint="eastAsia"/>
                <w:szCs w:val="21"/>
              </w:rPr>
              <w:t>0-100%</w:t>
            </w:r>
          </w:p>
        </w:tc>
      </w:tr>
      <w:tr>
        <w:tblPrEx>
          <w:tblW w:w="0" w:type="auto"/>
          <w:jc w:val="center"/>
          <w:tblInd w:w="0" w:type="dxa"/>
          <w:tblLook w:val="0000"/>
        </w:tblPrEx>
        <w:trPr>
          <w:trHeight w:val="405"/>
          <w:jc w:val="center"/>
        </w:trPr>
        <w:tc>
          <w:tcPr>
            <w:tcW w:w="3060" w:type="dxa"/>
            <w:tcBorders>
              <w:top w:val="single" w:sz="4" w:space="0" w:color="auto"/>
              <w:left w:val="single" w:sz="4" w:space="0" w:color="auto"/>
              <w:bottom w:val="single" w:sz="4" w:space="0" w:color="auto"/>
              <w:right w:val="single" w:sz="4" w:space="0" w:color="auto"/>
            </w:tcBorders>
          </w:tcPr>
          <w:p w:rsidR="00952162">
            <w:pPr>
              <w:spacing w:line="360" w:lineRule="auto"/>
              <w:jc w:val="center"/>
              <w:rPr>
                <w:rFonts w:ascii="新宋体" w:eastAsia="新宋体" w:hAnsi="新宋体"/>
                <w:szCs w:val="21"/>
              </w:rPr>
            </w:pPr>
            <w:r>
              <w:rPr>
                <w:rFonts w:ascii="新宋体" w:eastAsia="新宋体" w:hAnsi="新宋体" w:hint="eastAsia"/>
                <w:szCs w:val="21"/>
              </w:rPr>
              <w:t>其他资产</w:t>
            </w:r>
          </w:p>
        </w:tc>
        <w:tc>
          <w:tcPr>
            <w:tcW w:w="3060" w:type="dxa"/>
            <w:tcBorders>
              <w:top w:val="single" w:sz="4" w:space="0" w:color="auto"/>
              <w:left w:val="single" w:sz="4" w:space="0" w:color="auto"/>
              <w:bottom w:val="single" w:sz="4" w:space="0" w:color="auto"/>
              <w:right w:val="single" w:sz="4" w:space="0" w:color="auto"/>
            </w:tcBorders>
          </w:tcPr>
          <w:p w:rsidR="00952162">
            <w:pPr>
              <w:spacing w:line="360" w:lineRule="auto"/>
              <w:jc w:val="center"/>
              <w:rPr>
                <w:rFonts w:ascii="新宋体" w:eastAsia="新宋体" w:hAnsi="新宋体"/>
                <w:szCs w:val="21"/>
              </w:rPr>
            </w:pPr>
            <w:r>
              <w:rPr>
                <w:rFonts w:ascii="新宋体" w:eastAsia="新宋体" w:hAnsi="新宋体" w:hint="eastAsia"/>
                <w:szCs w:val="21"/>
              </w:rPr>
              <w:t>0-20%</w:t>
            </w:r>
          </w:p>
        </w:tc>
      </w:tr>
    </w:tbl>
    <w:p w:rsidR="00952162">
      <w:pPr>
        <w:spacing w:line="360" w:lineRule="auto"/>
        <w:ind w:firstLine="412" w:firstLineChars="196"/>
        <w:jc w:val="left"/>
        <w:rPr>
          <w:rFonts w:ascii="新宋体" w:eastAsia="新宋体" w:hAnsi="新宋体"/>
          <w:b/>
          <w:szCs w:val="21"/>
        </w:rPr>
      </w:pPr>
      <w:r>
        <w:rPr>
          <w:rFonts w:ascii="新宋体" w:eastAsia="新宋体" w:hAnsi="新宋体" w:hint="eastAsia"/>
          <w:b/>
          <w:szCs w:val="21"/>
        </w:rPr>
        <w:t>理财产品存续期内可能因市场的重大变化导致投资比例暂时超出如上区间。</w:t>
      </w:r>
    </w:p>
    <w:p w:rsidR="00952162">
      <w:pPr>
        <w:spacing w:line="360" w:lineRule="auto"/>
        <w:ind w:firstLine="412" w:firstLineChars="196"/>
        <w:jc w:val="left"/>
        <w:rPr>
          <w:rFonts w:ascii="新宋体" w:eastAsia="新宋体" w:hAnsi="新宋体"/>
          <w:b/>
          <w:szCs w:val="21"/>
        </w:rPr>
      </w:pPr>
      <w:r>
        <w:rPr>
          <w:rFonts w:ascii="新宋体" w:eastAsia="新宋体" w:hAnsi="新宋体" w:hint="eastAsia"/>
          <w:b/>
          <w:szCs w:val="21"/>
        </w:rPr>
        <w:t>青银理财有权根据市场情况，以客户利益最大化为原则，对本理财的投资范围、投资品种和投资比例的上限进行调整。调整前，青银理财最迟提前2个工作日发布公告。</w:t>
      </w:r>
    </w:p>
    <w:p w:rsidR="00952162">
      <w:pPr>
        <w:spacing w:line="360" w:lineRule="auto"/>
        <w:ind w:left="567"/>
        <w:jc w:val="left"/>
        <w:rPr>
          <w:rFonts w:ascii="新宋体" w:eastAsia="新宋体" w:hAnsi="新宋体" w:hint="eastAsia"/>
          <w:b/>
          <w:szCs w:val="21"/>
        </w:rPr>
      </w:pPr>
      <w:r>
        <w:rPr>
          <w:rFonts w:ascii="新宋体" w:eastAsia="新宋体" w:hAnsi="新宋体" w:hint="eastAsia"/>
          <w:b/>
          <w:szCs w:val="21"/>
        </w:rPr>
        <w:t>四、产品投资限制</w:t>
      </w:r>
    </w:p>
    <w:p w:rsidR="00952162">
      <w:pPr>
        <w:spacing w:line="360" w:lineRule="auto"/>
        <w:ind w:firstLine="412" w:firstLineChars="196"/>
        <w:jc w:val="left"/>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w:t>
      </w:r>
      <w:r>
        <w:rPr>
          <w:rFonts w:ascii="新宋体" w:eastAsia="新宋体" w:hAnsi="新宋体" w:hint="eastAsia"/>
          <w:szCs w:val="21"/>
        </w:rPr>
        <w:t>本产品投资于单只证券或单只公募证券投资基金的市值不超过本产品净资产的10%。</w:t>
      </w:r>
    </w:p>
    <w:p w:rsidR="00952162">
      <w:pPr>
        <w:snapToGrid w:val="0"/>
        <w:spacing w:line="360" w:lineRule="auto"/>
        <w:ind w:firstLine="420" w:firstLineChars="200"/>
        <w:jc w:val="left"/>
        <w:rPr>
          <w:rFonts w:ascii="新宋体" w:eastAsia="新宋体" w:hAnsi="新宋体"/>
          <w:b/>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本产品投资总资产不超过净资产的2</w:t>
      </w:r>
      <w:r>
        <w:rPr>
          <w:rFonts w:ascii="新宋体" w:eastAsia="新宋体" w:hAnsi="新宋体"/>
          <w:szCs w:val="21"/>
        </w:rPr>
        <w:t>00</w:t>
      </w:r>
      <w:r>
        <w:rPr>
          <w:rFonts w:ascii="新宋体" w:eastAsia="新宋体" w:hAnsi="新宋体" w:hint="eastAsia"/>
          <w:szCs w:val="21"/>
        </w:rPr>
        <w:t>%。</w:t>
      </w:r>
    </w:p>
    <w:p w:rsidR="00952162">
      <w:pPr>
        <w:snapToGrid w:val="0"/>
        <w:spacing w:line="360" w:lineRule="auto"/>
        <w:ind w:firstLine="420" w:firstLineChars="200"/>
        <w:jc w:val="left"/>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w:t>
      </w:r>
      <w:r>
        <w:rPr>
          <w:rFonts w:ascii="新宋体" w:eastAsia="新宋体" w:hAnsi="新宋体" w:hint="eastAsia"/>
          <w:szCs w:val="21"/>
        </w:rPr>
        <w:t>非因管理人主观因素致使不符合前述比例限制的，管理人将在流动性受限资产可出售、可转让或者恢复交易</w:t>
      </w:r>
      <w:r>
        <w:rPr>
          <w:rFonts w:ascii="新宋体" w:eastAsia="新宋体" w:hAnsi="新宋体" w:hint="eastAsia"/>
          <w:b/>
          <w:szCs w:val="21"/>
        </w:rPr>
        <w:t>10</w:t>
      </w:r>
      <w:r>
        <w:rPr>
          <w:rFonts w:ascii="新宋体" w:eastAsia="新宋体" w:hAnsi="新宋体" w:hint="eastAsia"/>
          <w:szCs w:val="21"/>
        </w:rPr>
        <w:t>个交易日内调整至符合相关要求。</w:t>
      </w:r>
    </w:p>
    <w:p w:rsidR="00952162">
      <w:pPr>
        <w:snapToGrid w:val="0"/>
        <w:spacing w:line="360" w:lineRule="auto"/>
        <w:ind w:firstLine="420" w:firstLineChars="200"/>
        <w:jc w:val="left"/>
        <w:rPr>
          <w:rFonts w:ascii="新宋体" w:eastAsia="新宋体" w:hAnsi="新宋体"/>
          <w:b/>
          <w:szCs w:val="21"/>
        </w:rPr>
      </w:pPr>
      <w:r>
        <w:rPr>
          <w:rFonts w:ascii="新宋体" w:eastAsia="新宋体" w:hAnsi="新宋体" w:hint="eastAsia"/>
          <w:b/>
          <w:szCs w:val="21"/>
        </w:rPr>
        <w:t>4.以上限制，如监管有最新规定的，可参照监管规定调整。</w:t>
      </w:r>
    </w:p>
    <w:p w:rsidR="00952162">
      <w:pPr>
        <w:snapToGrid w:val="0"/>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五、理财管理人</w:t>
      </w:r>
    </w:p>
    <w:p w:rsidR="00952162">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本理财计划的投资管理人为青银理财有限责任公司。青银理财负责本理财计划的投资运作和产品管理，投资者在此授权并同意青银理财享有以下权利：</w:t>
      </w:r>
    </w:p>
    <w:p w:rsidR="00952162">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1.按照本理财计划文件的约定，管理、运用和处分理财计划资金；</w:t>
      </w:r>
    </w:p>
    <w:p w:rsidR="00952162">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2.按照本理财计划文件的约定，及时、足额获得管理费和本《产品说明书》 约定的其他费用（如有） ；</w:t>
      </w:r>
    </w:p>
    <w:p w:rsidR="00952162">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3.管理人以其固有财产先行垫付因处理本理财计划相关事务所支出的理财计划费用及税费的 ，对理财计划资金享有优先受偿的权利；</w:t>
      </w:r>
    </w:p>
    <w:p w:rsidR="00952162">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4.管理人有权根据本理财计划文件的约定提前终止或延长本理财计划的期限；</w:t>
      </w:r>
    </w:p>
    <w:p w:rsidR="00952162">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5.管理人有权单方调整本理财计划的发行规模上限/下限、认购/申购起点、认购/申购金额上限、认购/申购资金的最低金额、单笔认购上限、 单笔申购上限、 单日净申购比例上限、 单一客户持有上限、赎回上限等要素；</w:t>
      </w:r>
    </w:p>
    <w:p w:rsidR="00952162">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6.管理人有权按照法律规定和监管机构的要求将投资者的信息向有权部门或相关机构披露；</w:t>
      </w:r>
    </w:p>
    <w:p w:rsidR="00952162">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7.以理财计划投资管理人的名义，依照法律法规相关规定以及为理财计划的利益，对被投资的信托计划、资管计划、各类基金（含公募基金和私募基金）、公司/企业等行使出资人/投资者权利（包括但不限于表决投票的权利）以及行使因理财计划财产投资于证券类基础资产（含债券、股票等）或其他基础资产（包括但不限于债权类资产）所产生的相关权利。</w:t>
      </w:r>
    </w:p>
    <w:p w:rsidR="00952162">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8.以理财计划投资管理人的名义，依照法律法规相关规定以及代表理财计划份额持有人的利益行使代为追索的权利（包括但不限于提起诉讼/仲裁、申请保全/执行的权利）或者实施其他风险处置，行使、放弃、变更相关权利义务等法律行为。</w:t>
      </w:r>
    </w:p>
    <w:p w:rsidR="00952162">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9.在法律法规、监管政策允许的前提下调整估值日。</w:t>
      </w:r>
    </w:p>
    <w:p w:rsidR="00952162">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10.法律法规、监管政策和本理财计划文件约定的其他权利。</w:t>
      </w:r>
    </w:p>
    <w:p w:rsidR="00952162">
      <w:pPr>
        <w:snapToGrid w:val="0"/>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六、托管人</w:t>
      </w:r>
    </w:p>
    <w:p w:rsidR="00952162">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1.托管人基本信息</w:t>
      </w:r>
    </w:p>
    <w:p w:rsidR="00952162">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 xml:space="preserve">本理财产品的托管人为青岛银行。 </w:t>
      </w:r>
    </w:p>
    <w:p w:rsidR="00952162">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2.托管人职责</w:t>
      </w:r>
    </w:p>
    <w:p w:rsidR="00952162">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本理财产品托管人应当履行下列职责，确保实现实质性独立托管：</w:t>
      </w:r>
    </w:p>
    <w:p w:rsidR="00952162">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（1）安全保管理财产品财产；</w:t>
      </w:r>
    </w:p>
    <w:p w:rsidR="00952162">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（2）为每只理财产品开设独立的托管账户，不同托管账户中的资产应当相互独立；</w:t>
      </w:r>
    </w:p>
    <w:p w:rsidR="00952162">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（3）按照托管协议约定和理财产品管理人的投资指令，及时办理清算、交割 事宜；</w:t>
      </w:r>
    </w:p>
    <w:p w:rsidR="00952162">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（4）建立与理财产品管理人的对账机制，复核、审查理财产品资金头寸、资产账目、资产净值、认购和赎回价格等数据，及时核查认购、赎回以及投资资金的支付和到账情况；</w:t>
      </w:r>
    </w:p>
    <w:p w:rsidR="00952162">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（5）监督理财产品投资运作，发现理财产品违反法律、行政法规、规章规定或合同约定进行投资的，应当拒绝执行，及时通知理财产品管理人并报告银行业监督管理机构；</w:t>
      </w:r>
    </w:p>
    <w:p w:rsidR="00952162">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952162">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（7）理财托管业务活动的记录、账册、报表和其他相关资料保存15年以上；</w:t>
      </w:r>
    </w:p>
    <w:p w:rsidR="00952162">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（8）对理财产品投资信息和相关资料承担保密责任，除法律、行政法规、规章规定、审计要求或者合同约定外，不得向任何机构或者个人提供相关信息和资料；</w:t>
      </w:r>
    </w:p>
    <w:p w:rsidR="00952162">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（9）国务院银行业监督管理机构规定的其他职责。</w:t>
      </w:r>
    </w:p>
    <w:p w:rsidR="00952162">
      <w:pPr>
        <w:snapToGrid w:val="0"/>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七、销售服务机构</w:t>
      </w:r>
    </w:p>
    <w:p w:rsidR="00952162">
      <w:pPr>
        <w:snapToGrid w:val="0"/>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本理财产品的销售服务机构为青银理财直销及各销售服务机构。销售服务机构及其分支机构提供包括理财计划宣传推广销售、投资者风险承受能力评估和投资者适当性管理、理财计划份额认购/申购/赎回、协助管理人与投资者订立理财计划合同、协助管理人与投资者沟通及进行信息披露、接受投资者咨询和客户维护、落实反洗钱、反恐怖融资及非居民金融账户涉税信息尽职调查、</w:t>
      </w:r>
      <w:r>
        <w:rPr>
          <w:rFonts w:ascii="新宋体" w:eastAsia="新宋体" w:hAnsi="新宋体"/>
          <w:szCs w:val="21"/>
        </w:rPr>
        <w:t>完整记录和保存销售业务活动信息</w:t>
      </w:r>
      <w:r>
        <w:rPr>
          <w:rFonts w:ascii="新宋体" w:eastAsia="新宋体" w:hAnsi="新宋体" w:hint="eastAsia"/>
          <w:szCs w:val="21"/>
        </w:rPr>
        <w:t>等义务。</w:t>
      </w:r>
    </w:p>
    <w:p w:rsidR="00952162">
      <w:pPr>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八、风控措施</w:t>
      </w:r>
    </w:p>
    <w:p w:rsidR="00952162">
      <w:pPr>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1.风险管理组织架构</w:t>
      </w:r>
    </w:p>
    <w:p w:rsidR="00952162">
      <w:pPr>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管理人制定了一系列严密有效的风险控制制度，建立和完善对风险的事前防范、事中控制、事后稽查和监察的管理机制。</w:t>
      </w:r>
    </w:p>
    <w:p w:rsidR="00952162">
      <w:pPr>
        <w:spacing w:line="360" w:lineRule="auto"/>
        <w:ind w:left="420"/>
        <w:jc w:val="left"/>
        <w:rPr>
          <w:rFonts w:ascii="新宋体" w:eastAsia="新宋体" w:hAnsi="新宋体" w:hint="eastAsia"/>
          <w:szCs w:val="21"/>
        </w:rPr>
      </w:pPr>
      <w:r>
        <w:rPr>
          <w:rFonts w:ascii="新宋体" w:eastAsia="新宋体" w:hAnsi="新宋体" w:hint="eastAsia"/>
          <w:szCs w:val="21"/>
        </w:rPr>
        <w:t>2.市场风险管理</w:t>
      </w:r>
    </w:p>
    <w:p w:rsidR="00952162">
      <w:pPr>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管理人主要通过对国内外宏观经济走势及各项宏观经济政策等要素的分析来把握市场走势和选取投资品种，注重研究的运用，注重风险控制，采取有效措施防范和控制风险。</w:t>
      </w:r>
    </w:p>
    <w:p w:rsidR="00952162">
      <w:pPr>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3.流动性风险管理</w:t>
      </w:r>
    </w:p>
    <w:p w:rsidR="00952162">
      <w:pPr>
        <w:spacing w:line="360" w:lineRule="auto"/>
        <w:ind w:firstLine="420" w:firstLineChars="200"/>
        <w:jc w:val="left"/>
        <w:rPr>
          <w:rFonts w:ascii="新宋体" w:eastAsia="新宋体" w:hAnsi="新宋体" w:hint="eastAsia"/>
          <w:szCs w:val="21"/>
        </w:rPr>
      </w:pPr>
      <w:r>
        <w:rPr>
          <w:rFonts w:ascii="新宋体" w:eastAsia="新宋体" w:hAnsi="新宋体" w:hint="eastAsia"/>
          <w:szCs w:val="21"/>
        </w:rPr>
        <w:t>在本理财计划投资运作过程中，投资管理人注重优质流动性资产配置，将严格控制流动性较差的金融资产的配置比例，并对持仓债券组合的流动性进行监控，还将观察客户申购、赎回行为，对资产的流动性进行研究和监控，使未来现金流尽可能地均匀分布，防范流动性风险。</w:t>
      </w:r>
    </w:p>
    <w:p w:rsidR="00952162">
      <w:pPr>
        <w:spacing w:line="360" w:lineRule="auto"/>
        <w:ind w:firstLine="420" w:firstLineChars="200"/>
        <w:jc w:val="left"/>
        <w:rPr>
          <w:rFonts w:ascii="新宋体" w:eastAsia="新宋体" w:hAnsi="新宋体"/>
          <w:szCs w:val="21"/>
        </w:rPr>
      </w:pPr>
      <w:r>
        <w:rPr>
          <w:rFonts w:ascii="新宋体" w:eastAsia="新宋体" w:hAnsi="新宋体" w:hint="eastAsia"/>
          <w:szCs w:val="21"/>
        </w:rPr>
        <w:t>4.操作风险管理</w:t>
      </w:r>
    </w:p>
    <w:p w:rsidR="00952162">
      <w:pPr>
        <w:spacing w:line="360" w:lineRule="auto"/>
        <w:ind w:firstLine="420" w:firstLineChars="200"/>
        <w:jc w:val="left"/>
        <w:rPr>
          <w:rFonts w:ascii="新宋体" w:eastAsia="新宋体" w:hAnsi="新宋体"/>
          <w:szCs w:val="21"/>
        </w:rPr>
      </w:pPr>
      <w:r>
        <w:rPr>
          <w:rFonts w:ascii="新宋体" w:eastAsia="新宋体" w:hAnsi="新宋体" w:hint="eastAsia"/>
          <w:szCs w:val="21"/>
        </w:rPr>
        <w:t xml:space="preserve">在本理财计划的管理运作过程中，将通过严密的风险管理体系严格控制管理风险，最大可能地保护投资者利益。通过对资产管理投资业务实行分级授权管理，并明确授权人、被授权人及被授权人超越授权时的处理办法，防止出现因管理人对经济形势的判断有误、获取的信息不全等因素影响本理财计划的收益水平。管理人将加强内部控制，强化职业道德教育，严格执行交易流程，避免操作层面上出现风险。  </w:t>
      </w:r>
    </w:p>
    <w:p w:rsidR="00952162">
      <w:pPr>
        <w:spacing w:line="360" w:lineRule="auto"/>
        <w:ind w:firstLine="420" w:firstLineChars="200"/>
        <w:jc w:val="left"/>
        <w:rPr>
          <w:rFonts w:ascii="新宋体" w:eastAsia="新宋体" w:hAnsi="新宋体"/>
          <w:szCs w:val="21"/>
        </w:rPr>
      </w:pPr>
      <w:r>
        <w:rPr>
          <w:rFonts w:ascii="新宋体" w:eastAsia="新宋体" w:hAnsi="新宋体" w:hint="eastAsia"/>
          <w:b/>
          <w:szCs w:val="21"/>
        </w:rPr>
        <w:t>九、产品估值</w:t>
      </w:r>
    </w:p>
    <w:p w:rsidR="00952162">
      <w:pPr>
        <w:spacing w:line="360" w:lineRule="auto"/>
        <w:ind w:firstLine="420" w:firstLineChars="200"/>
        <w:jc w:val="left"/>
        <w:rPr>
          <w:rFonts w:ascii="新宋体" w:eastAsia="新宋体" w:hAnsi="新宋体" w:hint="eastAsia"/>
          <w:bCs/>
          <w:szCs w:val="21"/>
        </w:rPr>
      </w:pPr>
      <w:r>
        <w:rPr>
          <w:rFonts w:ascii="新宋体" w:eastAsia="新宋体" w:hAnsi="新宋体" w:hint="eastAsia"/>
          <w:bCs/>
          <w:szCs w:val="21"/>
        </w:rPr>
        <w:t>1.估值目的</w:t>
      </w:r>
    </w:p>
    <w:p w:rsidR="00952162">
      <w:pPr>
        <w:spacing w:line="360" w:lineRule="auto"/>
        <w:ind w:firstLine="420" w:firstLineChars="200"/>
        <w:jc w:val="left"/>
        <w:rPr>
          <w:rFonts w:ascii="新宋体" w:eastAsia="新宋体" w:hAnsi="新宋体" w:hint="eastAsia"/>
          <w:bCs/>
          <w:szCs w:val="21"/>
        </w:rPr>
      </w:pPr>
      <w:r>
        <w:rPr>
          <w:rFonts w:ascii="新宋体" w:eastAsia="新宋体" w:hAnsi="新宋体" w:hint="eastAsia"/>
          <w:bCs/>
          <w:szCs w:val="21"/>
        </w:rPr>
        <w:t>本产品估值的目的是客观、准确的反映理财资产价值，以及理财产品资产净值。</w:t>
      </w:r>
    </w:p>
    <w:p w:rsidR="00952162">
      <w:pPr>
        <w:spacing w:line="360" w:lineRule="auto"/>
        <w:ind w:firstLine="420" w:firstLineChars="200"/>
        <w:jc w:val="left"/>
        <w:rPr>
          <w:rFonts w:ascii="新宋体" w:eastAsia="新宋体" w:hAnsi="新宋体" w:hint="eastAsia"/>
          <w:bCs/>
          <w:szCs w:val="21"/>
        </w:rPr>
      </w:pPr>
      <w:r>
        <w:rPr>
          <w:rFonts w:ascii="新宋体" w:eastAsia="新宋体" w:hAnsi="新宋体" w:hint="eastAsia"/>
          <w:bCs/>
          <w:szCs w:val="21"/>
        </w:rPr>
        <w:t>2.估值日</w:t>
      </w:r>
    </w:p>
    <w:p w:rsidR="00952162">
      <w:pPr>
        <w:spacing w:line="360" w:lineRule="auto"/>
        <w:ind w:firstLine="420" w:firstLineChars="200"/>
        <w:jc w:val="left"/>
        <w:rPr>
          <w:rFonts w:ascii="新宋体" w:eastAsia="新宋体" w:hAnsi="新宋体" w:hint="eastAsia"/>
          <w:bCs/>
          <w:szCs w:val="21"/>
        </w:rPr>
      </w:pPr>
      <w:r>
        <w:rPr>
          <w:rFonts w:ascii="新宋体" w:eastAsia="新宋体" w:hAnsi="新宋体" w:hint="eastAsia"/>
          <w:bCs/>
          <w:szCs w:val="21"/>
        </w:rPr>
        <w:t>本产品工作日期间按周估值，管理人于估值日后两个工作日内进行披露。产品建仓期暂不估值。</w:t>
      </w:r>
    </w:p>
    <w:p w:rsidR="00952162">
      <w:pPr>
        <w:spacing w:line="360" w:lineRule="auto"/>
        <w:ind w:firstLine="420" w:firstLineChars="200"/>
        <w:jc w:val="left"/>
        <w:rPr>
          <w:rFonts w:ascii="新宋体" w:eastAsia="新宋体" w:hAnsi="新宋体" w:hint="eastAsia"/>
          <w:bCs/>
          <w:szCs w:val="21"/>
        </w:rPr>
      </w:pPr>
      <w:r>
        <w:rPr>
          <w:rFonts w:ascii="新宋体" w:eastAsia="新宋体" w:hAnsi="新宋体" w:hint="eastAsia"/>
          <w:bCs/>
          <w:szCs w:val="21"/>
        </w:rPr>
        <w:t>3.估值对象</w:t>
      </w:r>
    </w:p>
    <w:p w:rsidR="00952162">
      <w:pPr>
        <w:spacing w:line="360" w:lineRule="auto"/>
        <w:ind w:firstLine="420" w:firstLineChars="200"/>
        <w:jc w:val="left"/>
        <w:rPr>
          <w:rFonts w:ascii="新宋体" w:eastAsia="新宋体" w:hAnsi="新宋体" w:hint="eastAsia"/>
          <w:bCs/>
          <w:szCs w:val="21"/>
        </w:rPr>
      </w:pPr>
      <w:r>
        <w:rPr>
          <w:rFonts w:ascii="新宋体" w:eastAsia="新宋体" w:hAnsi="新宋体" w:hint="eastAsia"/>
          <w:bCs/>
          <w:szCs w:val="21"/>
        </w:rPr>
        <w:t>本产品持有的各类证券、银行存款、应收款项及其他投资等资产。</w:t>
      </w:r>
    </w:p>
    <w:p w:rsidR="00952162">
      <w:pPr>
        <w:spacing w:line="360" w:lineRule="auto"/>
        <w:ind w:firstLine="420" w:firstLineChars="200"/>
        <w:jc w:val="left"/>
        <w:rPr>
          <w:rFonts w:ascii="新宋体" w:eastAsia="新宋体" w:hAnsi="新宋体" w:hint="eastAsia"/>
          <w:bCs/>
          <w:szCs w:val="21"/>
        </w:rPr>
      </w:pPr>
      <w:r>
        <w:rPr>
          <w:rFonts w:ascii="新宋体" w:eastAsia="新宋体" w:hAnsi="新宋体" w:hint="eastAsia"/>
          <w:bCs/>
          <w:szCs w:val="21"/>
        </w:rPr>
        <w:t>4.估值方法</w:t>
      </w:r>
    </w:p>
    <w:p w:rsidR="00952162">
      <w:pPr>
        <w:spacing w:line="360" w:lineRule="auto"/>
        <w:ind w:firstLine="420" w:firstLineChars="200"/>
        <w:jc w:val="left"/>
        <w:rPr>
          <w:rFonts w:ascii="新宋体" w:eastAsia="新宋体" w:hAnsi="新宋体" w:hint="eastAsia"/>
          <w:bCs/>
          <w:szCs w:val="21"/>
        </w:rPr>
      </w:pPr>
      <w:r>
        <w:rPr>
          <w:rFonts w:ascii="新宋体" w:eastAsia="新宋体" w:hAnsi="新宋体" w:hint="eastAsia"/>
          <w:bCs/>
          <w:szCs w:val="21"/>
        </w:rPr>
        <w:t>本产品以公允价值计量。在满足《企业会计准则》及其他适用的法律法规、监管规定的条件下，可以摊余成本进行计量。</w:t>
      </w:r>
    </w:p>
    <w:p w:rsidR="00952162">
      <w:pPr>
        <w:spacing w:line="360" w:lineRule="auto"/>
        <w:ind w:firstLine="420" w:firstLineChars="200"/>
        <w:jc w:val="left"/>
        <w:rPr>
          <w:rFonts w:ascii="新宋体" w:eastAsia="新宋体" w:hAnsi="新宋体"/>
          <w:bCs/>
          <w:szCs w:val="21"/>
        </w:rPr>
      </w:pPr>
      <w:r>
        <w:rPr>
          <w:rFonts w:ascii="新宋体" w:eastAsia="新宋体" w:hAnsi="新宋体" w:hint="eastAsia"/>
          <w:bCs/>
          <w:szCs w:val="21"/>
        </w:rPr>
        <w:t>5.</w:t>
      </w:r>
      <w:r>
        <w:rPr>
          <w:rFonts w:ascii="新宋体" w:eastAsia="新宋体" w:hAnsi="新宋体"/>
          <w:bCs/>
          <w:szCs w:val="21"/>
        </w:rPr>
        <w:t>估值错误的处理</w:t>
      </w:r>
    </w:p>
    <w:p w:rsidR="00952162">
      <w:pPr>
        <w:spacing w:line="360" w:lineRule="auto"/>
        <w:ind w:firstLine="420" w:firstLineChars="200"/>
        <w:jc w:val="left"/>
        <w:rPr>
          <w:rFonts w:ascii="新宋体" w:eastAsia="新宋体" w:hAnsi="新宋体"/>
          <w:bCs/>
          <w:szCs w:val="21"/>
        </w:rPr>
      </w:pPr>
      <w:r>
        <w:rPr>
          <w:rFonts w:ascii="新宋体" w:eastAsia="新宋体" w:hAnsi="新宋体" w:hint="eastAsia"/>
          <w:bCs/>
          <w:szCs w:val="21"/>
        </w:rPr>
        <w:t>产品管理人和产品托管人将采取必要、适当合理的措施确保产品资产估值的准确性、及时性。当产品份额净值出现错误时，产品管理人经与产品托管人沟通一致，将采取合理措施保护投资者权益。由于本产品估值所用的价格来源中出现错误，或由于其它不可抗力原因，产品管理人和产品托管人虽然已经采取必要、适当、合理的措施进行检查，但是未能发现该错误的，由此造成的产品估值错误，产品管理人和产品托管人免除赔偿责任。产品管理人和产品托管人会积极采取必要的措施消除由此造成的影响。</w:t>
      </w:r>
    </w:p>
    <w:p w:rsidR="00952162">
      <w:pPr>
        <w:spacing w:line="360" w:lineRule="auto"/>
        <w:ind w:firstLine="420" w:firstLineChars="200"/>
        <w:jc w:val="left"/>
        <w:rPr>
          <w:rFonts w:ascii="新宋体" w:eastAsia="新宋体" w:hAnsi="新宋体" w:hint="eastAsia"/>
          <w:bCs/>
          <w:szCs w:val="21"/>
        </w:rPr>
      </w:pPr>
      <w:r>
        <w:rPr>
          <w:rFonts w:ascii="新宋体" w:eastAsia="新宋体" w:hAnsi="新宋体"/>
          <w:bCs/>
          <w:szCs w:val="21"/>
        </w:rPr>
        <w:t>6</w:t>
      </w:r>
      <w:r>
        <w:rPr>
          <w:rFonts w:ascii="新宋体" w:eastAsia="新宋体" w:hAnsi="新宋体" w:hint="eastAsia"/>
          <w:bCs/>
          <w:szCs w:val="21"/>
        </w:rPr>
        <w:t>.暂停估值</w:t>
      </w:r>
    </w:p>
    <w:p w:rsidR="00952162">
      <w:pPr>
        <w:spacing w:line="360" w:lineRule="auto"/>
        <w:ind w:firstLine="420" w:firstLineChars="200"/>
        <w:jc w:val="left"/>
        <w:rPr>
          <w:rFonts w:ascii="新宋体" w:eastAsia="新宋体" w:hAnsi="新宋体"/>
          <w:bCs/>
          <w:szCs w:val="21"/>
        </w:rPr>
      </w:pPr>
      <w:r>
        <w:rPr>
          <w:rFonts w:ascii="新宋体" w:eastAsia="新宋体" w:hAnsi="新宋体" w:hint="eastAsia"/>
          <w:bCs/>
          <w:szCs w:val="21"/>
        </w:rPr>
        <w:t>如遇法定节假日调整或其他原因暂停营业时，或因任何不可抗力导致无法准确估值时，管理人可暂停估值，并于2个工作日内披露相关信息及处理措施。</w:t>
      </w:r>
    </w:p>
    <w:p w:rsidR="00952162">
      <w:pPr>
        <w:spacing w:line="360" w:lineRule="auto"/>
        <w:ind w:left="482"/>
        <w:jc w:val="left"/>
        <w:rPr>
          <w:rFonts w:ascii="新宋体" w:eastAsia="新宋体" w:hAnsi="新宋体" w:hint="eastAsia"/>
          <w:b/>
          <w:szCs w:val="21"/>
        </w:rPr>
      </w:pPr>
      <w:r>
        <w:rPr>
          <w:rFonts w:ascii="新宋体" w:eastAsia="新宋体" w:hAnsi="新宋体" w:hint="eastAsia"/>
          <w:b/>
          <w:szCs w:val="21"/>
        </w:rPr>
        <w:t>十、投资者理财收益测算</w:t>
      </w:r>
    </w:p>
    <w:p w:rsidR="00952162">
      <w:pPr>
        <w:pStyle w:val="NormalWeb"/>
        <w:spacing w:before="0" w:beforeAutospacing="0" w:after="0" w:afterAutospacing="0" w:line="360" w:lineRule="auto"/>
        <w:ind w:firstLine="420" w:firstLineChars="200"/>
        <w:rPr>
          <w:rFonts w:ascii="新宋体" w:eastAsia="新宋体" w:hAnsi="新宋体"/>
          <w:b/>
          <w:sz w:val="21"/>
          <w:szCs w:val="21"/>
        </w:rPr>
      </w:pPr>
      <w:r>
        <w:rPr>
          <w:rFonts w:ascii="新宋体" w:eastAsia="新宋体" w:hAnsi="新宋体"/>
          <w:b/>
          <w:sz w:val="21"/>
          <w:szCs w:val="21"/>
        </w:rPr>
        <w:t>1.</w:t>
      </w:r>
      <w:r>
        <w:rPr>
          <w:rFonts w:ascii="新宋体" w:eastAsia="新宋体" w:hAnsi="新宋体" w:hint="eastAsia"/>
          <w:b/>
          <w:sz w:val="21"/>
          <w:szCs w:val="21"/>
        </w:rPr>
        <w:t>本理财计划单位净值测算依据及方法</w:t>
      </w:r>
      <w:r>
        <w:rPr>
          <w:rFonts w:ascii="新宋体" w:eastAsia="新宋体" w:hAnsi="新宋体"/>
          <w:b/>
          <w:sz w:val="21"/>
          <w:szCs w:val="21"/>
        </w:rPr>
        <w:t xml:space="preserve"> </w:t>
      </w:r>
    </w:p>
    <w:p w:rsidR="00952162">
      <w:pPr>
        <w:pStyle w:val="NormalWeb"/>
        <w:spacing w:before="0" w:beforeAutospacing="0" w:after="0" w:afterAutospacing="0" w:line="360" w:lineRule="auto"/>
        <w:ind w:firstLine="420" w:firstLineChars="200"/>
        <w:rPr>
          <w:rFonts w:ascii="新宋体" w:eastAsia="新宋体" w:hAnsi="新宋体" w:hint="eastAsia"/>
          <w:sz w:val="21"/>
          <w:szCs w:val="21"/>
        </w:rPr>
      </w:pPr>
      <w:r>
        <w:rPr>
          <w:rFonts w:ascii="新宋体" w:eastAsia="新宋体" w:hAnsi="新宋体" w:hint="eastAsia"/>
          <w:sz w:val="21"/>
          <w:szCs w:val="21"/>
        </w:rPr>
        <w:t>本理财计划以单位净值报价，单位净值=本理财计划总净值</w:t>
      </w:r>
      <w:r>
        <w:rPr>
          <w:rFonts w:ascii="新宋体" w:eastAsia="新宋体" w:hAnsi="新宋体" w:hint="eastAsia"/>
          <w:sz w:val="21"/>
          <w:szCs w:val="21"/>
        </w:rPr>
        <w:t>÷</w:t>
      </w:r>
      <w:r>
        <w:rPr>
          <w:rFonts w:ascii="新宋体" w:eastAsia="新宋体" w:hAnsi="新宋体" w:hint="eastAsia"/>
          <w:sz w:val="21"/>
          <w:szCs w:val="21"/>
        </w:rPr>
        <w:t>本理财计划总份额。其中，总净值为扣除产品托管费、产品管理费、销售服务费（如有）等相关费用后的本理财计划资产市值。本理财计划单位净值根据青银理财实际投资运作的情况变化。</w:t>
      </w:r>
    </w:p>
    <w:p w:rsidR="00952162">
      <w:pPr>
        <w:pStyle w:val="NormalWeb"/>
        <w:spacing w:before="0" w:beforeAutospacing="0" w:after="0" w:afterAutospacing="0" w:line="360" w:lineRule="auto"/>
        <w:ind w:firstLine="420" w:firstLineChars="200"/>
        <w:rPr>
          <w:rFonts w:ascii="新宋体" w:eastAsia="新宋体" w:hAnsi="新宋体"/>
          <w:b/>
          <w:szCs w:val="21"/>
        </w:rPr>
      </w:pPr>
      <w:r>
        <w:rPr>
          <w:rFonts w:ascii="新宋体" w:eastAsia="新宋体" w:hAnsi="新宋体" w:hint="eastAsia"/>
          <w:b/>
          <w:sz w:val="21"/>
          <w:szCs w:val="21"/>
        </w:rPr>
        <w:t xml:space="preserve"> 2.投资者理财产品市值及收益的测算</w:t>
      </w:r>
    </w:p>
    <w:p w:rsidR="00952162">
      <w:pPr>
        <w:pStyle w:val="Default"/>
        <w:spacing w:line="360" w:lineRule="auto"/>
        <w:ind w:firstLine="420" w:firstLineChars="200"/>
        <w:rPr>
          <w:rFonts w:ascii="新宋体" w:eastAsia="新宋体" w:hAnsi="新宋体" w:hint="eastAsia"/>
          <w:color w:val="auto"/>
          <w:sz w:val="21"/>
          <w:szCs w:val="21"/>
        </w:rPr>
      </w:pPr>
      <w:r>
        <w:rPr>
          <w:rFonts w:ascii="新宋体" w:eastAsia="新宋体" w:hAnsi="新宋体" w:hint="eastAsia"/>
          <w:color w:val="auto"/>
          <w:sz w:val="21"/>
          <w:szCs w:val="21"/>
        </w:rPr>
        <w:t>本理财计划为非保本浮动收益型，投资者的投资收益是所持理财份额对应的产品市值扣除对应投资本金的余额。投资者的理财产品市值=持有理财产品总份额</w:t>
      </w:r>
      <w:r>
        <w:rPr>
          <w:rFonts w:ascii="新宋体" w:eastAsia="新宋体" w:hAnsi="新宋体" w:hint="eastAsia"/>
          <w:color w:val="auto"/>
          <w:sz w:val="21"/>
          <w:szCs w:val="21"/>
        </w:rPr>
        <w:t>×</w:t>
      </w:r>
      <w:r>
        <w:rPr>
          <w:rFonts w:ascii="新宋体" w:eastAsia="新宋体" w:hAnsi="新宋体" w:hint="eastAsia"/>
          <w:color w:val="auto"/>
          <w:sz w:val="21"/>
          <w:szCs w:val="21"/>
        </w:rPr>
        <w:t>单位净值，持有理财产品总份额以青银理财系统清算登记份额数据为准。</w:t>
      </w:r>
    </w:p>
    <w:p w:rsidR="00952162">
      <w:pPr>
        <w:pStyle w:val="Default"/>
        <w:spacing w:line="360" w:lineRule="auto"/>
        <w:ind w:firstLine="420" w:firstLineChars="200"/>
        <w:rPr>
          <w:rFonts w:ascii="新宋体" w:eastAsia="新宋体" w:hAnsi="新宋体" w:hint="eastAsia"/>
          <w:b/>
          <w:color w:val="auto"/>
          <w:sz w:val="21"/>
          <w:szCs w:val="21"/>
        </w:rPr>
      </w:pPr>
      <w:r>
        <w:rPr>
          <w:rFonts w:ascii="新宋体" w:eastAsia="新宋体" w:hAnsi="新宋体" w:hint="eastAsia"/>
          <w:b/>
          <w:color w:val="auto"/>
          <w:sz w:val="21"/>
          <w:szCs w:val="21"/>
        </w:rPr>
        <w:t>如投资运作出现盈利（或亏损），对应产品单位净值将上升（或下降），对应产品市值可能大于（或小于）投资本金。最不利的情况下，投资者可能损失全部本金。</w:t>
      </w:r>
    </w:p>
    <w:p w:rsidR="00952162">
      <w:pPr>
        <w:pStyle w:val="Default"/>
        <w:spacing w:line="360" w:lineRule="auto"/>
        <w:ind w:firstLine="420" w:firstLineChars="200"/>
        <w:rPr>
          <w:rFonts w:ascii="新宋体" w:eastAsia="新宋体" w:hAnsi="新宋体" w:hint="eastAsia"/>
          <w:b/>
          <w:color w:val="auto"/>
          <w:sz w:val="21"/>
          <w:szCs w:val="21"/>
        </w:rPr>
      </w:pPr>
      <w:r>
        <w:rPr>
          <w:rFonts w:ascii="新宋体" w:eastAsia="新宋体" w:hAnsi="新宋体" w:hint="eastAsia"/>
          <w:b/>
          <w:color w:val="auto"/>
          <w:sz w:val="21"/>
          <w:szCs w:val="21"/>
        </w:rPr>
        <w:t>投资者理财市值及收益测算示例：</w:t>
      </w:r>
    </w:p>
    <w:p w:rsidR="00952162">
      <w:pPr>
        <w:pStyle w:val="Default"/>
        <w:spacing w:line="360" w:lineRule="auto"/>
        <w:ind w:firstLine="420" w:firstLineChars="200"/>
        <w:rPr>
          <w:rFonts w:ascii="新宋体" w:eastAsia="新宋体" w:hAnsi="新宋体" w:hint="eastAsia"/>
          <w:color w:val="auto"/>
          <w:sz w:val="21"/>
          <w:szCs w:val="21"/>
        </w:rPr>
      </w:pPr>
      <w:r>
        <w:rPr>
          <w:rFonts w:ascii="新宋体" w:eastAsia="新宋体" w:hAnsi="新宋体" w:hint="eastAsia"/>
          <w:color w:val="auto"/>
          <w:sz w:val="21"/>
          <w:szCs w:val="21"/>
        </w:rPr>
        <w:t>假设：20</w:t>
      </w:r>
      <w:r>
        <w:rPr>
          <w:rFonts w:ascii="新宋体" w:eastAsia="新宋体" w:hAnsi="新宋体"/>
          <w:color w:val="auto"/>
          <w:sz w:val="21"/>
          <w:szCs w:val="21"/>
        </w:rPr>
        <w:t>20</w:t>
      </w:r>
      <w:r>
        <w:rPr>
          <w:rFonts w:ascii="新宋体" w:eastAsia="新宋体" w:hAnsi="新宋体" w:hint="eastAsia"/>
          <w:color w:val="auto"/>
          <w:sz w:val="21"/>
          <w:szCs w:val="21"/>
        </w:rPr>
        <w:t>年11月5日（工作日）、20</w:t>
      </w:r>
      <w:r>
        <w:rPr>
          <w:rFonts w:ascii="新宋体" w:eastAsia="新宋体" w:hAnsi="新宋体"/>
          <w:color w:val="auto"/>
          <w:sz w:val="21"/>
          <w:szCs w:val="21"/>
        </w:rPr>
        <w:t>2</w:t>
      </w:r>
      <w:r>
        <w:rPr>
          <w:rFonts w:ascii="新宋体" w:eastAsia="新宋体" w:hAnsi="新宋体" w:hint="eastAsia"/>
          <w:color w:val="auto"/>
          <w:sz w:val="21"/>
          <w:szCs w:val="21"/>
        </w:rPr>
        <w:t>1年1月4日（工作日）为该产品起息日和到期日，该产品业绩基准年化5.1%，投资者在20</w:t>
      </w:r>
      <w:r>
        <w:rPr>
          <w:rFonts w:ascii="新宋体" w:eastAsia="新宋体" w:hAnsi="新宋体"/>
          <w:color w:val="auto"/>
          <w:sz w:val="21"/>
          <w:szCs w:val="21"/>
        </w:rPr>
        <w:t>20</w:t>
      </w:r>
      <w:r>
        <w:rPr>
          <w:rFonts w:ascii="新宋体" w:eastAsia="新宋体" w:hAnsi="新宋体" w:hint="eastAsia"/>
          <w:color w:val="auto"/>
          <w:sz w:val="21"/>
          <w:szCs w:val="21"/>
        </w:rPr>
        <w:t>年11月5日系统登记的已持有产品份额5万份，20</w:t>
      </w:r>
      <w:r>
        <w:rPr>
          <w:rFonts w:ascii="新宋体" w:eastAsia="新宋体" w:hAnsi="新宋体"/>
          <w:color w:val="auto"/>
          <w:sz w:val="21"/>
          <w:szCs w:val="21"/>
        </w:rPr>
        <w:t>20</w:t>
      </w:r>
      <w:r>
        <w:rPr>
          <w:rFonts w:ascii="新宋体" w:eastAsia="新宋体" w:hAnsi="新宋体" w:hint="eastAsia"/>
          <w:color w:val="auto"/>
          <w:sz w:val="21"/>
          <w:szCs w:val="21"/>
        </w:rPr>
        <w:t>年11月5日青银理财发布产品单位净值为1.000000元/份。则截止20</w:t>
      </w:r>
      <w:r>
        <w:rPr>
          <w:rFonts w:ascii="新宋体" w:eastAsia="新宋体" w:hAnsi="新宋体"/>
          <w:color w:val="auto"/>
          <w:sz w:val="21"/>
          <w:szCs w:val="21"/>
        </w:rPr>
        <w:t>20</w:t>
      </w:r>
      <w:r>
        <w:rPr>
          <w:rFonts w:ascii="新宋体" w:eastAsia="新宋体" w:hAnsi="新宋体" w:hint="eastAsia"/>
          <w:color w:val="auto"/>
          <w:sz w:val="21"/>
          <w:szCs w:val="21"/>
        </w:rPr>
        <w:t>年11月5日，该投资者持有理财的产品市值为50000</w:t>
      </w:r>
      <w:r>
        <w:rPr>
          <w:rFonts w:ascii="新宋体" w:eastAsia="新宋体" w:hAnsi="新宋体" w:hint="eastAsia"/>
          <w:color w:val="auto"/>
          <w:sz w:val="21"/>
          <w:szCs w:val="21"/>
        </w:rPr>
        <w:t>×</w:t>
      </w:r>
      <w:r>
        <w:rPr>
          <w:rFonts w:ascii="新宋体" w:eastAsia="新宋体" w:hAnsi="新宋体" w:hint="eastAsia"/>
          <w:color w:val="auto"/>
          <w:sz w:val="21"/>
          <w:szCs w:val="21"/>
        </w:rPr>
        <w:t>1.000000=50000.00元。</w:t>
      </w:r>
    </w:p>
    <w:p w:rsidR="00952162">
      <w:pPr>
        <w:pStyle w:val="Default"/>
        <w:spacing w:line="360" w:lineRule="auto"/>
        <w:ind w:firstLine="420" w:firstLineChars="200"/>
        <w:rPr>
          <w:rFonts w:ascii="新宋体" w:eastAsia="新宋体" w:hAnsi="新宋体" w:hint="eastAsia"/>
          <w:color w:val="auto"/>
          <w:sz w:val="21"/>
          <w:szCs w:val="21"/>
        </w:rPr>
      </w:pPr>
      <w:r>
        <w:rPr>
          <w:rFonts w:ascii="新宋体" w:eastAsia="新宋体" w:hAnsi="新宋体" w:hint="eastAsia"/>
          <w:color w:val="auto"/>
          <w:sz w:val="21"/>
          <w:szCs w:val="21"/>
        </w:rPr>
        <w:t>场景一：在20</w:t>
      </w:r>
      <w:r>
        <w:rPr>
          <w:rFonts w:ascii="新宋体" w:eastAsia="新宋体" w:hAnsi="新宋体"/>
          <w:color w:val="auto"/>
          <w:sz w:val="21"/>
          <w:szCs w:val="21"/>
        </w:rPr>
        <w:t>2</w:t>
      </w:r>
      <w:r>
        <w:rPr>
          <w:rFonts w:ascii="新宋体" w:eastAsia="新宋体" w:hAnsi="新宋体" w:hint="eastAsia"/>
          <w:color w:val="auto"/>
          <w:sz w:val="21"/>
          <w:szCs w:val="21"/>
        </w:rPr>
        <w:t>1年1月4日青银理财发布产品单位净值为1.012715元/份，则截止20</w:t>
      </w:r>
      <w:r>
        <w:rPr>
          <w:rFonts w:ascii="新宋体" w:eastAsia="新宋体" w:hAnsi="新宋体"/>
          <w:color w:val="auto"/>
          <w:sz w:val="21"/>
          <w:szCs w:val="21"/>
        </w:rPr>
        <w:t>2</w:t>
      </w:r>
      <w:r>
        <w:rPr>
          <w:rFonts w:ascii="新宋体" w:eastAsia="新宋体" w:hAnsi="新宋体" w:hint="eastAsia"/>
          <w:color w:val="auto"/>
          <w:sz w:val="21"/>
          <w:szCs w:val="21"/>
        </w:rPr>
        <w:t>1年1月4日，该投资者持有理财的产品市值为50000</w:t>
      </w:r>
      <w:r>
        <w:rPr>
          <w:rFonts w:ascii="新宋体" w:eastAsia="新宋体" w:hAnsi="新宋体" w:hint="eastAsia"/>
          <w:color w:val="auto"/>
          <w:sz w:val="21"/>
          <w:szCs w:val="21"/>
        </w:rPr>
        <w:t>×</w:t>
      </w:r>
      <w:r>
        <w:rPr>
          <w:rFonts w:ascii="新宋体" w:eastAsia="新宋体" w:hAnsi="新宋体" w:hint="eastAsia"/>
          <w:color w:val="auto"/>
          <w:sz w:val="21"/>
          <w:szCs w:val="21"/>
        </w:rPr>
        <w:t>1.012715=50635.75元。该投资者的账面理财收益是50635.75-50000.00=</w:t>
      </w:r>
      <w:r>
        <w:rPr>
          <w:rFonts w:ascii="新宋体" w:eastAsia="新宋体" w:hAnsi="新宋体"/>
          <w:color w:val="auto"/>
          <w:sz w:val="21"/>
          <w:szCs w:val="21"/>
        </w:rPr>
        <w:t>635.75</w:t>
      </w:r>
      <w:r>
        <w:rPr>
          <w:rFonts w:ascii="新宋体" w:eastAsia="新宋体" w:hAnsi="新宋体" w:hint="eastAsia"/>
          <w:color w:val="auto"/>
          <w:sz w:val="21"/>
          <w:szCs w:val="21"/>
        </w:rPr>
        <w:t>元（盈利）。</w:t>
      </w:r>
    </w:p>
    <w:p w:rsidR="00952162">
      <w:pPr>
        <w:pStyle w:val="Default"/>
        <w:spacing w:line="360" w:lineRule="auto"/>
        <w:ind w:firstLine="420" w:firstLineChars="200"/>
        <w:rPr>
          <w:rFonts w:ascii="新宋体" w:eastAsia="新宋体" w:hAnsi="新宋体" w:hint="eastAsia"/>
          <w:color w:val="auto"/>
          <w:sz w:val="21"/>
          <w:szCs w:val="21"/>
        </w:rPr>
      </w:pPr>
      <w:r>
        <w:rPr>
          <w:rFonts w:ascii="新宋体" w:eastAsia="新宋体" w:hAnsi="新宋体" w:hint="eastAsia"/>
          <w:color w:val="auto"/>
          <w:sz w:val="21"/>
          <w:szCs w:val="21"/>
        </w:rPr>
        <w:t>场景二：在20</w:t>
      </w:r>
      <w:r>
        <w:rPr>
          <w:rFonts w:ascii="新宋体" w:eastAsia="新宋体" w:hAnsi="新宋体"/>
          <w:color w:val="auto"/>
          <w:sz w:val="21"/>
          <w:szCs w:val="21"/>
        </w:rPr>
        <w:t>2</w:t>
      </w:r>
      <w:r>
        <w:rPr>
          <w:rFonts w:ascii="新宋体" w:eastAsia="新宋体" w:hAnsi="新宋体" w:hint="eastAsia"/>
          <w:color w:val="auto"/>
          <w:sz w:val="21"/>
          <w:szCs w:val="21"/>
        </w:rPr>
        <w:t>1年1月4日青银理财发布产品单位净值为0.999000元/份，则截止20</w:t>
      </w:r>
      <w:r>
        <w:rPr>
          <w:rFonts w:ascii="新宋体" w:eastAsia="新宋体" w:hAnsi="新宋体"/>
          <w:color w:val="auto"/>
          <w:sz w:val="21"/>
          <w:szCs w:val="21"/>
        </w:rPr>
        <w:t>2</w:t>
      </w:r>
      <w:r>
        <w:rPr>
          <w:rFonts w:ascii="新宋体" w:eastAsia="新宋体" w:hAnsi="新宋体" w:hint="eastAsia"/>
          <w:color w:val="auto"/>
          <w:sz w:val="21"/>
          <w:szCs w:val="21"/>
        </w:rPr>
        <w:t>1年1月4日，该投资者持有理财的产品市值为50000</w:t>
      </w:r>
      <w:r>
        <w:rPr>
          <w:rFonts w:ascii="新宋体" w:eastAsia="新宋体" w:hAnsi="新宋体" w:hint="eastAsia"/>
          <w:color w:val="auto"/>
          <w:sz w:val="21"/>
          <w:szCs w:val="21"/>
        </w:rPr>
        <w:t>×</w:t>
      </w:r>
      <w:r>
        <w:rPr>
          <w:rFonts w:ascii="新宋体" w:eastAsia="新宋体" w:hAnsi="新宋体" w:hint="eastAsia"/>
          <w:color w:val="auto"/>
          <w:sz w:val="21"/>
          <w:szCs w:val="21"/>
        </w:rPr>
        <w:t>0.999000=49950.00元。该投资者的账面理财收益是49950.00-50000.00=-50.00元（亏损）。</w:t>
      </w:r>
    </w:p>
    <w:p w:rsidR="00952162">
      <w:pPr>
        <w:pStyle w:val="Default"/>
        <w:spacing w:line="360" w:lineRule="auto"/>
        <w:ind w:firstLine="420" w:firstLineChars="200"/>
        <w:rPr>
          <w:rFonts w:ascii="新宋体" w:eastAsia="新宋体" w:hAnsi="新宋体" w:hint="eastAsia"/>
          <w:b/>
          <w:color w:val="auto"/>
          <w:sz w:val="21"/>
          <w:szCs w:val="21"/>
        </w:rPr>
      </w:pPr>
      <w:r>
        <w:rPr>
          <w:rFonts w:ascii="新宋体" w:eastAsia="新宋体" w:hAnsi="新宋体" w:hint="eastAsia"/>
          <w:b/>
          <w:color w:val="auto"/>
          <w:sz w:val="21"/>
          <w:szCs w:val="21"/>
        </w:rPr>
        <w:t>（上述示例采用假设数据计算，测算收益不等于实际收益，投资须谨慎</w:t>
      </w:r>
      <w:r>
        <w:rPr>
          <w:rFonts w:ascii="新宋体" w:eastAsia="新宋体" w:hAnsi="新宋体"/>
          <w:b/>
          <w:color w:val="auto"/>
          <w:sz w:val="21"/>
          <w:szCs w:val="21"/>
        </w:rPr>
        <w:t xml:space="preserve"> </w:t>
      </w:r>
      <w:r>
        <w:rPr>
          <w:rFonts w:ascii="新宋体" w:eastAsia="新宋体" w:hAnsi="新宋体" w:hint="eastAsia"/>
          <w:b/>
          <w:color w:val="auto"/>
          <w:sz w:val="21"/>
          <w:szCs w:val="21"/>
        </w:rPr>
        <w:t>）</w:t>
      </w:r>
    </w:p>
    <w:p w:rsidR="00952162">
      <w:pPr>
        <w:widowControl/>
        <w:spacing w:line="360" w:lineRule="auto"/>
        <w:ind w:firstLine="420" w:firstLineChars="200"/>
        <w:jc w:val="left"/>
        <w:rPr>
          <w:rFonts w:ascii="新宋体" w:eastAsia="新宋体" w:hAnsi="新宋体"/>
          <w:color w:val="000000"/>
          <w:szCs w:val="21"/>
        </w:rPr>
      </w:pPr>
      <w:r>
        <w:rPr>
          <w:rFonts w:ascii="新宋体" w:eastAsia="新宋体" w:hAnsi="新宋体" w:cs="新宋体" w:hint="eastAsia"/>
          <w:b/>
          <w:color w:val="000000"/>
          <w:kern w:val="0"/>
          <w:szCs w:val="21"/>
          <w:lang w:bidi="ar"/>
        </w:rPr>
        <w:t>十一、产品费用</w:t>
      </w:r>
    </w:p>
    <w:p w:rsidR="00952162">
      <w:pPr>
        <w:pStyle w:val="NormalWeb"/>
        <w:spacing w:before="0" w:beforeAutospacing="0" w:after="0" w:afterAutospacing="0" w:line="360" w:lineRule="auto"/>
        <w:ind w:firstLine="420"/>
        <w:rPr>
          <w:rFonts w:ascii="新宋体" w:eastAsia="新宋体" w:hAnsi="新宋体" w:cs="新宋体" w:hint="eastAsia"/>
          <w:sz w:val="21"/>
          <w:szCs w:val="21"/>
        </w:rPr>
      </w:pPr>
      <w:r>
        <w:rPr>
          <w:rFonts w:ascii="新宋体" w:eastAsia="新宋体" w:hAnsi="新宋体" w:cs="新宋体" w:hint="eastAsia"/>
          <w:sz w:val="21"/>
          <w:szCs w:val="21"/>
        </w:rPr>
        <w:t>本理财计划所承担的费用包括产品固定管理费（</w:t>
      </w:r>
      <w:r>
        <w:rPr>
          <w:rFonts w:ascii="新宋体" w:eastAsia="新宋体" w:hAnsi="新宋体" w:cs="新宋体" w:hint="eastAsia"/>
          <w:b/>
          <w:bCs/>
          <w:sz w:val="21"/>
          <w:szCs w:val="21"/>
        </w:rPr>
        <w:t>A份额年化费率为0.30%，B份额年化费率为0.20%</w:t>
      </w:r>
      <w:r>
        <w:rPr>
          <w:rFonts w:ascii="新宋体" w:eastAsia="新宋体" w:hAnsi="新宋体" w:cs="新宋体" w:hint="eastAsia"/>
          <w:sz w:val="21"/>
          <w:szCs w:val="21"/>
        </w:rPr>
        <w:t>），托管费（年化费率为</w:t>
      </w:r>
      <w:r>
        <w:rPr>
          <w:rFonts w:ascii="新宋体" w:eastAsia="新宋体" w:hAnsi="新宋体" w:cs="新宋体"/>
          <w:sz w:val="21"/>
          <w:szCs w:val="21"/>
        </w:rPr>
        <w:t>0.01%</w:t>
      </w:r>
      <w:r>
        <w:rPr>
          <w:rFonts w:ascii="新宋体" w:eastAsia="新宋体" w:hAnsi="新宋体" w:cs="新宋体" w:hint="eastAsia"/>
          <w:sz w:val="21"/>
          <w:szCs w:val="21"/>
        </w:rPr>
        <w:t>）、业绩报酬、增值税及附加税费等费用，以及其他应由理财产品资产承担的费用，包括但不限于产品开户费用、账户维护费用、银行划款费用、交易费用、验资费、审计费、律师费、诉讼费、信息披露费、清算费、执行费等相关费用，按照法律法规规定在本理财产品资产中列支。</w:t>
      </w:r>
    </w:p>
    <w:p w:rsidR="00952162">
      <w:pPr>
        <w:pStyle w:val="NormalWeb"/>
        <w:spacing w:before="0" w:beforeAutospacing="0" w:after="0" w:afterAutospacing="0" w:line="360" w:lineRule="auto"/>
        <w:ind w:firstLine="420"/>
        <w:rPr>
          <w:rFonts w:ascii="新宋体" w:eastAsia="新宋体" w:hAnsi="新宋体" w:hint="eastAsia"/>
          <w:color w:val="000000"/>
          <w:sz w:val="27"/>
          <w:szCs w:val="27"/>
        </w:rPr>
      </w:pPr>
      <w:r>
        <w:rPr>
          <w:rFonts w:ascii="新宋体" w:eastAsia="新宋体" w:hAnsi="新宋体" w:cs="新宋体" w:hint="eastAsia"/>
          <w:sz w:val="21"/>
          <w:szCs w:val="21"/>
        </w:rPr>
        <w:t>1.产品管理人的固定管理费</w:t>
      </w:r>
    </w:p>
    <w:p w:rsidR="00952162">
      <w:pPr>
        <w:pStyle w:val="NormalWeb"/>
        <w:spacing w:before="0" w:beforeAutospacing="0" w:after="0" w:afterAutospacing="0" w:line="360" w:lineRule="auto"/>
        <w:ind w:firstLine="420"/>
        <w:rPr>
          <w:rFonts w:ascii="新宋体" w:eastAsia="新宋体" w:hAnsi="新宋体" w:hint="eastAsia"/>
          <w:color w:val="000000"/>
          <w:sz w:val="27"/>
          <w:szCs w:val="27"/>
        </w:rPr>
      </w:pPr>
      <w:r>
        <w:rPr>
          <w:rFonts w:ascii="新宋体" w:eastAsia="新宋体" w:hAnsi="新宋体" w:cs="新宋体" w:hint="eastAsia"/>
          <w:sz w:val="21"/>
          <w:szCs w:val="21"/>
        </w:rPr>
        <w:t>固定管理费按当日本理财计划存续份额的</w:t>
      </w:r>
      <w:r>
        <w:rPr>
          <w:rFonts w:ascii="新宋体" w:eastAsia="新宋体" w:hAnsi="新宋体" w:cs="新宋体"/>
          <w:b/>
          <w:bCs/>
          <w:sz w:val="21"/>
          <w:szCs w:val="21"/>
        </w:rPr>
        <w:t>A份额【0.30】%，B份额【0.20】%</w:t>
      </w:r>
      <w:r>
        <w:rPr>
          <w:rFonts w:ascii="新宋体" w:eastAsia="新宋体" w:hAnsi="新宋体" w:cs="新宋体" w:hint="eastAsia"/>
          <w:sz w:val="21"/>
          <w:szCs w:val="21"/>
        </w:rPr>
        <w:t>年费率计提，由理财管理人收取。以A份额为例，计算方法如下：</w:t>
      </w:r>
    </w:p>
    <w:p w:rsidR="00952162">
      <w:pPr>
        <w:pStyle w:val="NormalWeb"/>
        <w:spacing w:before="0" w:beforeAutospacing="0" w:after="0" w:afterAutospacing="0" w:line="360" w:lineRule="auto"/>
        <w:ind w:firstLine="420"/>
        <w:rPr>
          <w:rFonts w:ascii="新宋体" w:eastAsia="新宋体" w:hAnsi="新宋体" w:hint="eastAsia"/>
          <w:color w:val="000000"/>
          <w:sz w:val="27"/>
          <w:szCs w:val="27"/>
        </w:rPr>
      </w:pPr>
      <w:r>
        <w:rPr>
          <w:rFonts w:ascii="新宋体" w:eastAsia="新宋体" w:hAnsi="新宋体" w:cs="新宋体" w:hint="eastAsia"/>
          <w:sz w:val="21"/>
          <w:szCs w:val="21"/>
        </w:rPr>
        <w:t>H＝E</w:t>
      </w:r>
      <w:r>
        <w:rPr>
          <w:rFonts w:ascii="新宋体" w:eastAsia="新宋体" w:hAnsi="新宋体" w:cs="新宋体" w:hint="eastAsia"/>
          <w:sz w:val="21"/>
          <w:szCs w:val="21"/>
        </w:rPr>
        <w:t>×</w:t>
      </w:r>
      <w:r>
        <w:rPr>
          <w:rFonts w:ascii="新宋体" w:eastAsia="新宋体" w:hAnsi="新宋体" w:cs="新宋体"/>
          <w:sz w:val="21"/>
          <w:szCs w:val="21"/>
        </w:rPr>
        <w:t>0.30%</w:t>
      </w:r>
      <w:r>
        <w:rPr>
          <w:rFonts w:ascii="新宋体" w:eastAsia="新宋体" w:hAnsi="新宋体" w:cs="新宋体" w:hint="eastAsia"/>
          <w:sz w:val="21"/>
          <w:szCs w:val="21"/>
        </w:rPr>
        <w:t>÷</w:t>
      </w:r>
      <w:r>
        <w:rPr>
          <w:rFonts w:ascii="新宋体" w:eastAsia="新宋体" w:hAnsi="新宋体" w:cs="新宋体" w:hint="eastAsia"/>
          <w:sz w:val="21"/>
          <w:szCs w:val="21"/>
        </w:rPr>
        <w:t>365</w:t>
      </w:r>
    </w:p>
    <w:p w:rsidR="00952162">
      <w:pPr>
        <w:pStyle w:val="NormalWeb"/>
        <w:spacing w:before="0" w:beforeAutospacing="0" w:after="0" w:afterAutospacing="0" w:line="360" w:lineRule="auto"/>
        <w:ind w:firstLine="420"/>
        <w:rPr>
          <w:rFonts w:ascii="新宋体" w:eastAsia="新宋体" w:hAnsi="新宋体" w:hint="eastAsia"/>
          <w:color w:val="000000"/>
          <w:sz w:val="27"/>
          <w:szCs w:val="27"/>
        </w:rPr>
      </w:pPr>
      <w:r>
        <w:rPr>
          <w:rFonts w:ascii="新宋体" w:eastAsia="新宋体" w:hAnsi="新宋体" w:cs="新宋体" w:hint="eastAsia"/>
          <w:sz w:val="21"/>
          <w:szCs w:val="21"/>
        </w:rPr>
        <w:t>H为每日应计提的产品管理费</w:t>
      </w:r>
    </w:p>
    <w:p w:rsidR="00952162">
      <w:pPr>
        <w:pStyle w:val="NormalWeb"/>
        <w:spacing w:before="0" w:beforeAutospacing="0" w:after="0" w:afterAutospacing="0" w:line="360" w:lineRule="auto"/>
        <w:ind w:firstLine="420"/>
        <w:rPr>
          <w:rFonts w:ascii="新宋体" w:eastAsia="新宋体" w:hAnsi="新宋体" w:cs="新宋体"/>
          <w:sz w:val="21"/>
          <w:szCs w:val="21"/>
        </w:rPr>
      </w:pPr>
      <w:r>
        <w:rPr>
          <w:rFonts w:ascii="新宋体" w:eastAsia="新宋体" w:hAnsi="新宋体" w:cs="新宋体" w:hint="eastAsia"/>
          <w:sz w:val="21"/>
          <w:szCs w:val="21"/>
        </w:rPr>
        <w:t>E为当日本理财计划存续份额</w:t>
        <w:br/>
        <w:tab/>
        <w:t>当本理财到期资产投资运作收益小于</w:t>
      </w:r>
      <w:r>
        <w:rPr>
          <w:rFonts w:ascii="新宋体" w:eastAsia="新宋体" w:hAnsi="新宋体" w:cs="新宋体" w:hint="eastAsia"/>
          <w:sz w:val="21"/>
          <w:szCs w:val="21"/>
        </w:rPr>
        <w:t>“</w:t>
      </w:r>
      <w:r>
        <w:rPr>
          <w:rFonts w:ascii="新宋体" w:eastAsia="新宋体" w:hAnsi="新宋体" w:cs="新宋体" w:hint="eastAsia"/>
          <w:sz w:val="21"/>
          <w:szCs w:val="21"/>
        </w:rPr>
        <w:t>业绩比较基准</w:t>
      </w:r>
      <w:r>
        <w:rPr>
          <w:rFonts w:ascii="新宋体" w:eastAsia="新宋体" w:hAnsi="新宋体" w:cs="新宋体" w:hint="eastAsia"/>
          <w:sz w:val="21"/>
          <w:szCs w:val="21"/>
        </w:rPr>
        <w:t>”</w:t>
      </w:r>
      <w:r w:rsidR="006E7BDE">
        <w:rPr>
          <w:rFonts w:ascii="新宋体" w:eastAsia="新宋体" w:hAnsi="新宋体" w:cs="新宋体" w:hint="eastAsia"/>
          <w:sz w:val="21"/>
          <w:szCs w:val="21"/>
        </w:rPr>
        <w:t>下限</w:t>
      </w:r>
      <w:r>
        <w:rPr>
          <w:rFonts w:ascii="新宋体" w:eastAsia="新宋体" w:hAnsi="新宋体" w:cs="新宋体" w:hint="eastAsia"/>
          <w:sz w:val="21"/>
          <w:szCs w:val="21"/>
        </w:rPr>
        <w:t>时，管理人将放弃计提的固定管理费，最高为已计提的全部固定管理费。</w:t>
      </w:r>
    </w:p>
    <w:p w:rsidR="00952162">
      <w:pPr>
        <w:pStyle w:val="NormalWeb"/>
        <w:spacing w:before="0" w:beforeAutospacing="0" w:after="0" w:afterAutospacing="0" w:line="360" w:lineRule="auto"/>
        <w:ind w:firstLine="420"/>
        <w:rPr>
          <w:rFonts w:ascii="新宋体" w:eastAsia="新宋体" w:hAnsi="新宋体" w:hint="eastAsia"/>
          <w:color w:val="000000"/>
          <w:sz w:val="27"/>
          <w:szCs w:val="27"/>
        </w:rPr>
      </w:pPr>
      <w:r>
        <w:rPr>
          <w:rFonts w:ascii="新宋体" w:eastAsia="新宋体" w:hAnsi="新宋体" w:cs="新宋体" w:hint="eastAsia"/>
          <w:sz w:val="21"/>
          <w:szCs w:val="21"/>
        </w:rPr>
        <w:t>2.产品托管人的托管费</w:t>
      </w:r>
    </w:p>
    <w:p w:rsidR="00952162">
      <w:pPr>
        <w:pStyle w:val="NormalWeb"/>
        <w:spacing w:before="0" w:beforeAutospacing="0" w:after="0" w:afterAutospacing="0" w:line="360" w:lineRule="auto"/>
        <w:ind w:firstLine="420"/>
        <w:rPr>
          <w:rFonts w:ascii="新宋体" w:eastAsia="新宋体" w:hAnsi="新宋体" w:hint="eastAsia"/>
          <w:color w:val="000000"/>
          <w:sz w:val="27"/>
          <w:szCs w:val="27"/>
        </w:rPr>
      </w:pPr>
      <w:r>
        <w:rPr>
          <w:rFonts w:ascii="新宋体" w:eastAsia="新宋体" w:hAnsi="新宋体" w:cs="新宋体" w:hint="eastAsia"/>
          <w:sz w:val="21"/>
          <w:szCs w:val="21"/>
        </w:rPr>
        <w:t>托管费按当日本理财计划存续份额的</w:t>
      </w:r>
      <w:r>
        <w:rPr>
          <w:rFonts w:ascii="新宋体" w:eastAsia="新宋体" w:hAnsi="新宋体" w:cs="新宋体"/>
          <w:sz w:val="21"/>
          <w:szCs w:val="21"/>
        </w:rPr>
        <w:t>0.01%</w:t>
      </w:r>
      <w:r>
        <w:rPr>
          <w:rFonts w:ascii="新宋体" w:eastAsia="新宋体" w:hAnsi="新宋体" w:cs="新宋体" w:hint="eastAsia"/>
          <w:sz w:val="21"/>
          <w:szCs w:val="21"/>
        </w:rPr>
        <w:t>年费率计提，由理财资产托管人收取。计算方法如下：</w:t>
      </w:r>
    </w:p>
    <w:p w:rsidR="00952162">
      <w:pPr>
        <w:pStyle w:val="NormalWeb"/>
        <w:spacing w:before="0" w:beforeAutospacing="0" w:after="0" w:afterAutospacing="0" w:line="360" w:lineRule="auto"/>
        <w:ind w:firstLine="420"/>
        <w:rPr>
          <w:rFonts w:ascii="新宋体" w:eastAsia="新宋体" w:hAnsi="新宋体" w:hint="eastAsia"/>
          <w:color w:val="000000"/>
          <w:sz w:val="27"/>
          <w:szCs w:val="27"/>
        </w:rPr>
      </w:pPr>
      <w:r>
        <w:rPr>
          <w:rFonts w:ascii="新宋体" w:eastAsia="新宋体" w:hAnsi="新宋体" w:cs="新宋体" w:hint="eastAsia"/>
          <w:sz w:val="21"/>
          <w:szCs w:val="21"/>
        </w:rPr>
        <w:t>H＝E</w:t>
      </w:r>
      <w:r>
        <w:rPr>
          <w:rFonts w:ascii="新宋体" w:eastAsia="新宋体" w:hAnsi="新宋体" w:cs="新宋体" w:hint="eastAsia"/>
          <w:sz w:val="21"/>
          <w:szCs w:val="21"/>
        </w:rPr>
        <w:t>×</w:t>
      </w:r>
      <w:r>
        <w:rPr>
          <w:rFonts w:ascii="新宋体" w:eastAsia="新宋体" w:hAnsi="新宋体" w:cs="新宋体"/>
          <w:sz w:val="21"/>
          <w:szCs w:val="21"/>
        </w:rPr>
        <w:t>0.01%</w:t>
      </w:r>
      <w:r>
        <w:rPr>
          <w:rFonts w:ascii="新宋体" w:eastAsia="新宋体" w:hAnsi="新宋体" w:cs="新宋体" w:hint="eastAsia"/>
          <w:sz w:val="21"/>
          <w:szCs w:val="21"/>
        </w:rPr>
        <w:t>÷</w:t>
      </w:r>
      <w:r>
        <w:rPr>
          <w:rFonts w:ascii="新宋体" w:eastAsia="新宋体" w:hAnsi="新宋体" w:cs="新宋体" w:hint="eastAsia"/>
          <w:sz w:val="21"/>
          <w:szCs w:val="21"/>
        </w:rPr>
        <w:t>365</w:t>
      </w:r>
    </w:p>
    <w:p w:rsidR="00952162">
      <w:pPr>
        <w:pStyle w:val="NormalWeb"/>
        <w:spacing w:before="0" w:beforeAutospacing="0" w:after="0" w:afterAutospacing="0" w:line="360" w:lineRule="auto"/>
        <w:ind w:firstLine="420"/>
        <w:rPr>
          <w:rFonts w:ascii="新宋体" w:eastAsia="新宋体" w:hAnsi="新宋体" w:hint="eastAsia"/>
          <w:color w:val="000000"/>
          <w:sz w:val="27"/>
          <w:szCs w:val="27"/>
        </w:rPr>
      </w:pPr>
      <w:r>
        <w:rPr>
          <w:rFonts w:ascii="新宋体" w:eastAsia="新宋体" w:hAnsi="新宋体" w:cs="新宋体" w:hint="eastAsia"/>
          <w:sz w:val="21"/>
          <w:szCs w:val="21"/>
        </w:rPr>
        <w:t>H为每日应计提的产品托管费</w:t>
      </w:r>
    </w:p>
    <w:p w:rsidR="00952162">
      <w:pPr>
        <w:pStyle w:val="NormalWeb"/>
        <w:spacing w:before="0" w:beforeAutospacing="0" w:after="0" w:afterAutospacing="0" w:line="360" w:lineRule="auto"/>
        <w:ind w:firstLine="420"/>
        <w:rPr>
          <w:rFonts w:ascii="新宋体" w:eastAsia="新宋体" w:hAnsi="新宋体" w:hint="eastAsia"/>
          <w:color w:val="000000"/>
          <w:sz w:val="27"/>
          <w:szCs w:val="27"/>
        </w:rPr>
      </w:pPr>
      <w:r>
        <w:rPr>
          <w:rFonts w:ascii="新宋体" w:eastAsia="新宋体" w:hAnsi="新宋体" w:cs="新宋体" w:hint="eastAsia"/>
          <w:sz w:val="21"/>
          <w:szCs w:val="21"/>
        </w:rPr>
        <w:t>E为当日本理财计划存续份额</w:t>
      </w:r>
    </w:p>
    <w:p w:rsidR="00952162">
      <w:pPr>
        <w:pStyle w:val="NormalWeb"/>
        <w:spacing w:before="0" w:beforeAutospacing="0" w:after="0" w:afterAutospacing="0" w:line="360" w:lineRule="auto"/>
        <w:ind w:firstLine="420"/>
        <w:rPr>
          <w:rFonts w:ascii="新宋体" w:eastAsia="新宋体" w:hAnsi="新宋体" w:hint="eastAsia"/>
          <w:color w:val="000000"/>
          <w:sz w:val="27"/>
          <w:szCs w:val="27"/>
        </w:rPr>
      </w:pPr>
      <w:r>
        <w:rPr>
          <w:rFonts w:ascii="新宋体" w:eastAsia="新宋体" w:hAnsi="新宋体" w:cs="新宋体"/>
          <w:sz w:val="21"/>
          <w:szCs w:val="21"/>
        </w:rPr>
        <w:t>3</w:t>
      </w:r>
      <w:r>
        <w:rPr>
          <w:rFonts w:ascii="新宋体" w:eastAsia="新宋体" w:hAnsi="新宋体" w:cs="新宋体" w:hint="eastAsia"/>
          <w:sz w:val="21"/>
          <w:szCs w:val="21"/>
        </w:rPr>
        <w:t>.业绩报酬</w:t>
      </w:r>
    </w:p>
    <w:p w:rsidR="00952162">
      <w:pPr>
        <w:pStyle w:val="NormalWeb"/>
        <w:spacing w:before="0" w:beforeAutospacing="0" w:after="0" w:afterAutospacing="0" w:line="360" w:lineRule="auto"/>
        <w:ind w:firstLine="420"/>
        <w:rPr>
          <w:rFonts w:ascii="新宋体" w:eastAsia="新宋体" w:hAnsi="新宋体" w:hint="eastAsia"/>
          <w:color w:val="000000"/>
          <w:sz w:val="27"/>
          <w:szCs w:val="27"/>
        </w:rPr>
      </w:pPr>
      <w:r>
        <w:rPr>
          <w:rFonts w:ascii="新宋体" w:eastAsia="新宋体" w:hAnsi="新宋体" w:cs="新宋体" w:hint="eastAsia"/>
          <w:sz w:val="21"/>
          <w:szCs w:val="21"/>
        </w:rPr>
        <w:t>在本理财计划到期日（到期日包括提前终止到期日和延期终止到期日），在扣除产品固定管理费、产品托管费等费用后，</w:t>
      </w:r>
      <w:r>
        <w:rPr>
          <w:rFonts w:ascii="新宋体" w:eastAsia="新宋体" w:hAnsi="新宋体" w:cs="新宋体" w:hint="eastAsia"/>
          <w:b/>
          <w:sz w:val="21"/>
          <w:szCs w:val="21"/>
        </w:rPr>
        <w:t>本理财计划项下资产组合收益超出本理财计划业绩基准（A份额1.65%-2.45%、B份额1.75%-2.55%）</w:t>
      </w:r>
      <w:r w:rsidR="006E7BDE">
        <w:rPr>
          <w:rFonts w:ascii="新宋体" w:eastAsia="新宋体" w:hAnsi="新宋体" w:cs="新宋体" w:hint="eastAsia"/>
          <w:b/>
          <w:sz w:val="21"/>
          <w:szCs w:val="21"/>
        </w:rPr>
        <w:t>上限</w:t>
      </w:r>
      <w:r>
        <w:rPr>
          <w:rFonts w:ascii="新宋体" w:eastAsia="新宋体" w:hAnsi="新宋体" w:cs="新宋体" w:hint="eastAsia"/>
          <w:b/>
          <w:sz w:val="21"/>
          <w:szCs w:val="21"/>
        </w:rPr>
        <w:t>的部分，</w:t>
      </w:r>
      <w:r w:rsidRPr="006E7BDE" w:rsidR="006E7BDE">
        <w:rPr>
          <w:rFonts w:ascii="新宋体" w:eastAsia="新宋体" w:hAnsi="新宋体" w:cs="新宋体" w:hint="eastAsia"/>
          <w:b/>
          <w:sz w:val="21"/>
          <w:szCs w:val="21"/>
        </w:rPr>
        <w:t>100%归于投资者</w:t>
      </w:r>
      <w:r>
        <w:rPr>
          <w:rFonts w:ascii="新宋体" w:eastAsia="新宋体" w:hAnsi="新宋体" w:cs="新宋体" w:hint="eastAsia"/>
          <w:b/>
          <w:sz w:val="21"/>
          <w:szCs w:val="21"/>
        </w:rPr>
        <w:t>。业绩基准并不代表产品实际投资收益。</w:t>
      </w:r>
    </w:p>
    <w:p w:rsidR="00952162">
      <w:pPr>
        <w:widowControl/>
        <w:spacing w:line="360" w:lineRule="auto"/>
        <w:ind w:firstLine="413"/>
        <w:jc w:val="left"/>
        <w:rPr>
          <w:rFonts w:ascii="新宋体" w:eastAsia="新宋体" w:hAnsi="新宋体" w:cs="新宋体" w:hint="eastAsia"/>
          <w:b/>
          <w:color w:val="000000"/>
          <w:kern w:val="0"/>
          <w:szCs w:val="21"/>
          <w:lang w:bidi="ar"/>
        </w:rPr>
      </w:pPr>
      <w:r>
        <w:rPr>
          <w:rFonts w:ascii="新宋体" w:eastAsia="新宋体" w:hAnsi="新宋体" w:cs="新宋体" w:hint="eastAsia"/>
          <w:b/>
          <w:color w:val="000000"/>
          <w:kern w:val="0"/>
          <w:szCs w:val="21"/>
          <w:lang w:bidi="ar"/>
        </w:rPr>
        <w:t>青银理财有权根据相关法律和国家政策的规定，对本理财计划的收费项目、条件、标准和方式进行调整。</w:t>
      </w:r>
    </w:p>
    <w:p w:rsidR="00952162">
      <w:pPr>
        <w:snapToGrid w:val="0"/>
        <w:spacing w:line="360" w:lineRule="auto"/>
        <w:ind w:firstLine="420" w:firstLineChars="200"/>
        <w:jc w:val="left"/>
        <w:rPr>
          <w:rFonts w:ascii="新宋体" w:eastAsia="新宋体" w:hAnsi="新宋体"/>
          <w:b/>
          <w:szCs w:val="21"/>
        </w:rPr>
      </w:pPr>
      <w:r>
        <w:rPr>
          <w:rFonts w:ascii="新宋体" w:eastAsia="新宋体" w:hAnsi="新宋体" w:hint="eastAsia"/>
          <w:b/>
        </w:rPr>
        <w:t>十二、产品到期终止</w:t>
      </w:r>
    </w:p>
    <w:p w:rsidR="00952162">
      <w:pPr>
        <w:snapToGrid w:val="0"/>
        <w:spacing w:line="360" w:lineRule="auto"/>
        <w:ind w:firstLine="420" w:firstLineChars="200"/>
        <w:jc w:val="left"/>
        <w:rPr>
          <w:rFonts w:ascii="新宋体" w:eastAsia="新宋体" w:hAnsi="新宋体"/>
          <w:b/>
          <w:szCs w:val="21"/>
        </w:rPr>
      </w:pPr>
      <w:r>
        <w:rPr>
          <w:rFonts w:ascii="新宋体" w:eastAsia="新宋体" w:hAnsi="新宋体" w:cs="宋体" w:hint="eastAsia"/>
          <w:kern w:val="0"/>
          <w:szCs w:val="21"/>
        </w:rPr>
        <w:t>如本理财计划到期(包括提前和延期终止到期)，青银理财</w:t>
      </w:r>
      <w:r>
        <w:rPr>
          <w:rFonts w:ascii="新宋体" w:eastAsia="新宋体" w:hAnsi="新宋体" w:hint="eastAsia"/>
          <w:szCs w:val="21"/>
        </w:rPr>
        <w:t>将在产品到期日起5个工作日内公告本理财计划到期信息。</w:t>
      </w:r>
      <w:r>
        <w:rPr>
          <w:rFonts w:ascii="新宋体" w:eastAsia="新宋体" w:hAnsi="新宋体" w:hint="eastAsia"/>
          <w:b/>
          <w:szCs w:val="21"/>
        </w:rPr>
        <w:t>正常情况下，青银理财将投资者的到期资金（如有，下同）于产品到期日（遇非工作日顺延到下一工作日）后2个工作日内划转至投资者指定账户中，该资金在产品到期日（含）至资金到账日期间不计付利息。</w:t>
      </w:r>
    </w:p>
    <w:p w:rsidR="00952162">
      <w:pPr>
        <w:snapToGrid w:val="0"/>
        <w:spacing w:line="360" w:lineRule="auto"/>
        <w:ind w:firstLine="420" w:firstLineChars="200"/>
        <w:jc w:val="left"/>
        <w:rPr>
          <w:rFonts w:ascii="新宋体" w:eastAsia="新宋体" w:hAnsi="新宋体"/>
          <w:szCs w:val="21"/>
        </w:rPr>
      </w:pPr>
      <w:r>
        <w:rPr>
          <w:rFonts w:ascii="新宋体" w:eastAsia="新宋体" w:hAnsi="新宋体" w:hint="eastAsia"/>
          <w:b/>
          <w:szCs w:val="21"/>
        </w:rPr>
        <w:t>在理财产品投资运作期间内，投资者无权要求提前终止该理财产品；</w:t>
      </w:r>
      <w:r>
        <w:rPr>
          <w:rFonts w:ascii="新宋体" w:eastAsia="新宋体" w:hAnsi="新宋体" w:hint="eastAsia"/>
          <w:szCs w:val="21"/>
        </w:rPr>
        <w:t>当国家金融政策重大调整等管理人无法干预的不利情形，并影响到本产品的正常运作时，为保护投资者利益，青银理财有权部分或全部提前终止该款该期理财产品。当青银理财决定提前终止本产品时，将在提前终止日前两个工作日通过青银理财官方网站（www.bqd-wm.com）或青银理财认为适当的其他方式进行公告。提前终止日后将投资者理财资金及理财收益（如有）划入投资者理财账户。提前终止日（含当日）至资金实际到账日之间，投资者资金不计息。</w:t>
      </w:r>
    </w:p>
    <w:p w:rsidR="00952162">
      <w:pPr>
        <w:spacing w:line="360" w:lineRule="auto"/>
        <w:ind w:firstLine="420" w:firstLineChars="200"/>
        <w:rPr>
          <w:rFonts w:ascii="新宋体" w:eastAsia="新宋体" w:hAnsi="新宋体" w:cs="宋体" w:hint="eastAsia"/>
          <w:kern w:val="0"/>
          <w:szCs w:val="21"/>
        </w:rPr>
      </w:pPr>
      <w:r>
        <w:rPr>
          <w:rFonts w:ascii="新宋体" w:eastAsia="新宋体" w:hAnsi="新宋体" w:cs="宋体" w:hint="eastAsia"/>
          <w:kern w:val="0"/>
          <w:szCs w:val="21"/>
        </w:rPr>
        <w:t>如出现如下情况，理财管理人有权延期终止本理财产品：</w:t>
      </w:r>
    </w:p>
    <w:p w:rsidR="00952162">
      <w:pPr>
        <w:spacing w:line="360" w:lineRule="auto"/>
        <w:ind w:firstLine="420" w:firstLineChars="200"/>
        <w:rPr>
          <w:rFonts w:ascii="新宋体" w:eastAsia="新宋体" w:hAnsi="新宋体" w:cs="宋体"/>
          <w:kern w:val="0"/>
          <w:szCs w:val="21"/>
        </w:rPr>
      </w:pPr>
      <w:r>
        <w:rPr>
          <w:rFonts w:ascii="新宋体" w:eastAsia="新宋体" w:hAnsi="新宋体" w:cs="宋体" w:hint="eastAsia"/>
          <w:kern w:val="0"/>
          <w:szCs w:val="21"/>
        </w:rPr>
        <w:t>1.产品到期日遇非工作日顺延，投资期限将相应调整；</w:t>
      </w:r>
    </w:p>
    <w:p w:rsidR="00952162">
      <w:pPr>
        <w:spacing w:line="360" w:lineRule="auto"/>
        <w:ind w:firstLine="420" w:firstLineChars="200"/>
        <w:rPr>
          <w:rFonts w:ascii="新宋体" w:eastAsia="新宋体" w:hAnsi="新宋体" w:cs="宋体"/>
          <w:kern w:val="0"/>
          <w:szCs w:val="21"/>
        </w:rPr>
      </w:pPr>
      <w:r>
        <w:rPr>
          <w:rFonts w:ascii="新宋体" w:eastAsia="新宋体" w:hAnsi="新宋体" w:cs="宋体"/>
          <w:kern w:val="0"/>
          <w:szCs w:val="21"/>
        </w:rPr>
        <w:t>2.</w:t>
      </w:r>
      <w:r>
        <w:rPr>
          <w:rFonts w:ascii="新宋体" w:eastAsia="新宋体" w:hAnsi="新宋体" w:cs="宋体" w:hint="eastAsia"/>
          <w:kern w:val="0"/>
          <w:szCs w:val="21"/>
        </w:rPr>
        <w:t>预计在本产品到期日，本理财产品所投资的资产因市场风险、信用风险以及其他原因（包括但不限于资产限制赎回、暂停交易、缺乏交易对手）无法全部变现；</w:t>
      </w:r>
    </w:p>
    <w:p w:rsidR="00952162">
      <w:pPr>
        <w:spacing w:line="360" w:lineRule="auto"/>
        <w:ind w:firstLine="420" w:firstLineChars="200"/>
        <w:rPr>
          <w:rFonts w:ascii="新宋体" w:eastAsia="新宋体" w:hAnsi="新宋体" w:cs="宋体"/>
          <w:kern w:val="0"/>
          <w:szCs w:val="21"/>
        </w:rPr>
      </w:pPr>
      <w:r>
        <w:rPr>
          <w:rFonts w:ascii="新宋体" w:eastAsia="新宋体" w:hAnsi="新宋体" w:cs="宋体" w:hint="eastAsia"/>
          <w:kern w:val="0"/>
          <w:szCs w:val="21"/>
        </w:rPr>
        <w:t>3</w:t>
      </w:r>
      <w:r>
        <w:rPr>
          <w:rFonts w:ascii="新宋体" w:eastAsia="新宋体" w:hAnsi="新宋体" w:cs="宋体"/>
          <w:kern w:val="0"/>
          <w:szCs w:val="21"/>
        </w:rPr>
        <w:t>.</w:t>
      </w:r>
      <w:r>
        <w:rPr>
          <w:rFonts w:ascii="新宋体" w:eastAsia="新宋体" w:hAnsi="新宋体" w:cs="宋体" w:hint="eastAsia"/>
          <w:kern w:val="0"/>
          <w:szCs w:val="21"/>
        </w:rPr>
        <w:t>本产品涉及诉讼或仲裁，且预计诉讼或仲裁及执行程序在本产品到期日尚未终结；</w:t>
      </w:r>
    </w:p>
    <w:p w:rsidR="00952162">
      <w:pPr>
        <w:spacing w:line="360" w:lineRule="auto"/>
        <w:ind w:firstLine="420" w:firstLineChars="200"/>
        <w:rPr>
          <w:rFonts w:ascii="新宋体" w:eastAsia="新宋体" w:hAnsi="新宋体" w:cs="宋体"/>
          <w:kern w:val="0"/>
          <w:szCs w:val="21"/>
        </w:rPr>
      </w:pPr>
      <w:r>
        <w:rPr>
          <w:rFonts w:ascii="新宋体" w:eastAsia="新宋体" w:hAnsi="新宋体" w:cs="宋体" w:hint="eastAsia"/>
          <w:kern w:val="0"/>
          <w:szCs w:val="21"/>
        </w:rPr>
        <w:t>4</w:t>
      </w:r>
      <w:r>
        <w:rPr>
          <w:rFonts w:ascii="新宋体" w:eastAsia="新宋体" w:hAnsi="新宋体" w:cs="宋体"/>
          <w:kern w:val="0"/>
          <w:szCs w:val="21"/>
        </w:rPr>
        <w:t>.</w:t>
      </w:r>
      <w:r>
        <w:rPr>
          <w:rFonts w:ascii="新宋体" w:eastAsia="新宋体" w:hAnsi="新宋体" w:cs="宋体" w:hint="eastAsia"/>
          <w:kern w:val="0"/>
          <w:szCs w:val="21"/>
        </w:rPr>
        <w:t>法律法规规定的或管理人根据实际情况合理判断有必要延期的其他情形。</w:t>
      </w:r>
    </w:p>
    <w:p w:rsidR="00952162">
      <w:pPr>
        <w:snapToGrid w:val="0"/>
        <w:spacing w:line="360" w:lineRule="auto"/>
        <w:ind w:firstLine="420" w:firstLineChars="200"/>
        <w:jc w:val="left"/>
        <w:rPr>
          <w:rFonts w:ascii="新宋体" w:eastAsia="新宋体" w:hAnsi="新宋体" w:hint="eastAsia"/>
          <w:b/>
          <w:szCs w:val="21"/>
        </w:rPr>
      </w:pPr>
      <w:r>
        <w:rPr>
          <w:rFonts w:ascii="新宋体" w:eastAsia="新宋体" w:hAnsi="新宋体" w:cs="宋体" w:hint="eastAsia"/>
          <w:kern w:val="0"/>
          <w:szCs w:val="21"/>
        </w:rPr>
        <w:t>当青银理财决定延期终止本产品时，将在延期终止日前两个工作日通过青银理财官方网站（</w:t>
      </w:r>
      <w:r>
        <w:rPr>
          <w:rFonts w:ascii="新宋体" w:eastAsia="新宋体" w:hAnsi="新宋体" w:cs="宋体"/>
          <w:kern w:val="0"/>
          <w:szCs w:val="21"/>
        </w:rPr>
        <w:t>www.bqd-wm.com）或青银理财认为适当的其他方式进行公告。</w:t>
      </w:r>
      <w:r>
        <w:rPr>
          <w:rFonts w:ascii="新宋体" w:eastAsia="新宋体" w:hAnsi="新宋体" w:cs="宋体" w:hint="eastAsia"/>
          <w:kern w:val="0"/>
          <w:szCs w:val="21"/>
        </w:rPr>
        <w:t>延期</w:t>
      </w:r>
      <w:r>
        <w:rPr>
          <w:rFonts w:ascii="新宋体" w:eastAsia="新宋体" w:hAnsi="新宋体" w:cs="宋体"/>
          <w:kern w:val="0"/>
          <w:szCs w:val="21"/>
        </w:rPr>
        <w:t>终止日后将投资者理财资金及理财收益（如有）划入投资者理财账户。</w:t>
      </w:r>
      <w:r>
        <w:rPr>
          <w:rFonts w:ascii="新宋体" w:eastAsia="新宋体" w:hAnsi="新宋体" w:cs="宋体" w:hint="eastAsia"/>
          <w:kern w:val="0"/>
          <w:szCs w:val="21"/>
        </w:rPr>
        <w:t>延期</w:t>
      </w:r>
      <w:r>
        <w:rPr>
          <w:rFonts w:ascii="新宋体" w:eastAsia="新宋体" w:hAnsi="新宋体" w:cs="宋体"/>
          <w:kern w:val="0"/>
          <w:szCs w:val="21"/>
        </w:rPr>
        <w:t>终止日（含当日）至资金实际到账日之间，投资者资金不计息。</w:t>
      </w:r>
    </w:p>
    <w:p w:rsidR="00952162">
      <w:pPr>
        <w:snapToGrid w:val="0"/>
        <w:spacing w:line="360" w:lineRule="auto"/>
        <w:ind w:left="397"/>
        <w:jc w:val="left"/>
        <w:rPr>
          <w:rFonts w:ascii="新宋体" w:eastAsia="新宋体" w:hAnsi="新宋体"/>
          <w:b/>
          <w:szCs w:val="21"/>
        </w:rPr>
      </w:pPr>
      <w:r>
        <w:rPr>
          <w:rFonts w:ascii="新宋体" w:eastAsia="新宋体" w:hAnsi="新宋体" w:hint="eastAsia"/>
          <w:b/>
          <w:szCs w:val="21"/>
        </w:rPr>
        <w:t>十三、信息披露</w:t>
      </w:r>
    </w:p>
    <w:p w:rsidR="00952162">
      <w:pPr>
        <w:snapToGrid w:val="0"/>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1.信息披露渠道</w:t>
      </w:r>
    </w:p>
    <w:p w:rsidR="00952162">
      <w:pPr>
        <w:snapToGrid w:val="0"/>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本理财计划信息将通过产品管理人官方网站（www.bqd-wm.com）、中国理财网（www.chinawealth.com.cn）和青银理财直销APP或代销机构平台等进行披露，具体披露信息各披露渠道会有所差异，请投资者及时关注。以上相关信息自披露之日即视为已送达投资者，也视为销售服务机构已适当披露代销理财计划相关信息。</w:t>
      </w:r>
      <w:r>
        <w:rPr>
          <w:b/>
        </w:rPr>
        <w:t>投资者同意，产品管理人或销售机构通过</w:t>
      </w:r>
      <w:r>
        <w:rPr>
          <w:rFonts w:hint="eastAsia"/>
          <w:b/>
        </w:rPr>
        <w:t>本协议约定的</w:t>
      </w:r>
      <w:r>
        <w:rPr>
          <w:b/>
        </w:rPr>
        <w:t>方式及频率进行信息披露，视为完全履行信息披露义务，</w:t>
      </w:r>
      <w:r>
        <w:rPr>
          <w:rFonts w:ascii="新宋体" w:eastAsia="新宋体" w:hAnsi="新宋体" w:hint="eastAsia"/>
          <w:b/>
          <w:szCs w:val="21"/>
        </w:rPr>
        <w:t>如果投资者未及时查询，或由于通讯故障、非青银理财的系统故障以及其他不可抗力等因素的影响使得投资者无法及时了解产品信息，因此而产生的（包括但不限于因未及时获知信息而错过资金使用和再投资的机会等）责任和风险，不由青银理财方承担。</w:t>
      </w:r>
    </w:p>
    <w:p w:rsidR="00952162">
      <w:pPr>
        <w:snapToGrid w:val="0"/>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2.理财产品运作信息披露</w:t>
      </w:r>
    </w:p>
    <w:p w:rsidR="00952162">
      <w:pPr>
        <w:snapToGrid w:val="0"/>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（1）发行公告：本产品成立后5个工作日内，披露本产品成立公告，包括理财产品成立日期和募集规模等信息。</w:t>
      </w:r>
    </w:p>
    <w:p w:rsidR="00952162">
      <w:pPr>
        <w:snapToGrid w:val="0"/>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2）定期公告：本产品在每个季度结束之日起15个工作日内、上半年结束之日起60个工作日内、每年结束之日起90个工作日内，披露本产品季度、半年和年度报告等定期报告。产品成立不足90个工作日或者剩余存续期不超过90个工作日的，将不编制本产品当期的季度、半年和年度报告。</w:t>
      </w:r>
    </w:p>
    <w:p w:rsidR="00952162">
      <w:pPr>
        <w:snapToGrid w:val="0"/>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（3）到期公告：本产品在终止后5个工作日内，披露本产品到期公告，包括理财产品的存续期限、终止日期、收费情况和收益分配情况等信息。</w:t>
      </w:r>
    </w:p>
    <w:p w:rsidR="00952162">
      <w:pPr>
        <w:snapToGrid w:val="0"/>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（4）净值公告：本产品每周公布一次产品净值，建仓期除外，遇节假日顺延。</w:t>
      </w:r>
    </w:p>
    <w:p w:rsidR="00952162">
      <w:pPr>
        <w:snapToGrid w:val="0"/>
        <w:spacing w:line="360" w:lineRule="auto"/>
        <w:ind w:firstLine="420" w:firstLineChars="200"/>
        <w:jc w:val="left"/>
        <w:rPr>
          <w:rFonts w:ascii="新宋体" w:eastAsia="新宋体" w:hAnsi="新宋体"/>
          <w:b/>
          <w:szCs w:val="21"/>
        </w:rPr>
      </w:pPr>
      <w:r>
        <w:rPr>
          <w:rFonts w:ascii="新宋体" w:eastAsia="新宋体" w:hAnsi="新宋体" w:hint="eastAsia"/>
          <w:b/>
          <w:szCs w:val="21"/>
        </w:rPr>
        <w:t>（5）临时公告：理财产品在运作管理过程中，发生可能对理财产品投资者权益产生影响的事项时，管理人将根据法律法规规定及时进行临时信息披露。</w:t>
      </w:r>
    </w:p>
    <w:p w:rsidR="00952162">
      <w:pPr>
        <w:snapToGrid w:val="0"/>
        <w:spacing w:line="360" w:lineRule="auto"/>
        <w:ind w:firstLine="420" w:firstLineChars="200"/>
        <w:jc w:val="left"/>
        <w:rPr>
          <w:b/>
        </w:rPr>
      </w:pPr>
      <w:r>
        <w:rPr>
          <w:rFonts w:hint="eastAsia"/>
          <w:b/>
        </w:rPr>
        <w:t>（6）</w:t>
      </w:r>
      <w:r>
        <w:rPr>
          <w:b/>
        </w:rPr>
        <w:t>重大事项公告</w:t>
      </w:r>
      <w:r>
        <w:rPr>
          <w:rFonts w:hint="eastAsia"/>
          <w:b/>
        </w:rPr>
        <w:t>。</w:t>
      </w:r>
    </w:p>
    <w:p w:rsidR="00952162">
      <w:pPr>
        <w:snapToGrid w:val="0"/>
        <w:spacing w:line="360" w:lineRule="auto"/>
        <w:ind w:firstLine="420" w:firstLineChars="200"/>
        <w:jc w:val="left"/>
        <w:rPr>
          <w:b/>
        </w:rPr>
      </w:pPr>
      <w:r>
        <w:rPr>
          <w:rFonts w:hint="eastAsia"/>
          <w:b/>
        </w:rPr>
        <w:t>（</w:t>
      </w:r>
      <w:r>
        <w:rPr>
          <w:b/>
        </w:rPr>
        <w:t>7</w:t>
      </w:r>
      <w:r>
        <w:rPr>
          <w:rFonts w:hint="eastAsia"/>
          <w:b/>
        </w:rPr>
        <w:t>）</w:t>
      </w:r>
      <w:r>
        <w:rPr>
          <w:b/>
        </w:rPr>
        <w:t>国务院银行业监督管理机构规定的其他信息</w:t>
      </w:r>
      <w:r>
        <w:rPr>
          <w:rFonts w:hint="eastAsia"/>
          <w:b/>
        </w:rPr>
        <w:t>。</w:t>
      </w:r>
    </w:p>
    <w:p w:rsidR="00952162">
      <w:pPr>
        <w:snapToGrid w:val="0"/>
        <w:spacing w:line="360" w:lineRule="auto"/>
        <w:ind w:firstLine="420" w:firstLineChars="200"/>
        <w:jc w:val="left"/>
        <w:rPr>
          <w:rFonts w:ascii="新宋体" w:eastAsia="新宋体" w:hAnsi="新宋体" w:hint="eastAsia"/>
          <w:b/>
          <w:szCs w:val="21"/>
        </w:rPr>
      </w:pPr>
      <w:r>
        <w:rPr>
          <w:rFonts w:hint="eastAsia"/>
          <w:b/>
        </w:rPr>
        <w:t>（</w:t>
      </w:r>
      <w:r>
        <w:rPr>
          <w:b/>
        </w:rPr>
        <w:t>8</w:t>
      </w:r>
      <w:r>
        <w:rPr>
          <w:rFonts w:hint="eastAsia"/>
          <w:b/>
        </w:rPr>
        <w:t>）</w:t>
      </w:r>
      <w:r>
        <w:rPr>
          <w:b/>
        </w:rPr>
        <w:t>产品管理人认为需要披露的其他信息。</w:t>
      </w:r>
    </w:p>
    <w:p w:rsidR="00952162">
      <w:pPr>
        <w:snapToGrid w:val="0"/>
        <w:spacing w:line="360" w:lineRule="auto"/>
        <w:ind w:firstLine="420" w:firstLineChars="200"/>
        <w:jc w:val="left"/>
        <w:rPr>
          <w:rFonts w:ascii="新宋体" w:eastAsia="新宋体" w:hAnsi="新宋体" w:hint="eastAsia"/>
          <w:b/>
          <w:szCs w:val="21"/>
        </w:rPr>
      </w:pPr>
      <w:r>
        <w:rPr>
          <w:rFonts w:ascii="新宋体" w:eastAsia="新宋体" w:hAnsi="新宋体" w:hint="eastAsia"/>
          <w:b/>
          <w:szCs w:val="21"/>
        </w:rPr>
        <w:t>3.存续期内，如因国家法律法规发生变化，或是出于维持本理财计划正常运作需要，在不损害投资者利益的前提下，青银理财将提前以公告的形式，对本产品说明书条款进行补充、说明和修改。投资者在此同意，修订后的理财产品说明书对投资者具有法律约束力。请投资者及时通过相关渠道获知有关本理财计划相关信息。如投资者不接受调整，则应及时通过销售服务机构营业网点或网上销售平台赎回本产品（高风险类型的理财产品超出比例范围投资较低风险资产的情况除外），若本产品投资者未赎回本产品，则视为本理财产品投资者对相关调整无异议并同意继续持有本理财产品。</w:t>
      </w:r>
    </w:p>
    <w:p w:rsidR="00952162">
      <w:pPr>
        <w:snapToGrid w:val="0"/>
        <w:spacing w:line="360" w:lineRule="auto"/>
        <w:ind w:firstLine="420" w:firstLineChars="200"/>
        <w:jc w:val="left"/>
        <w:rPr>
          <w:rFonts w:ascii="新宋体" w:eastAsia="新宋体" w:hAnsi="新宋体"/>
          <w:b/>
          <w:szCs w:val="21"/>
        </w:rPr>
      </w:pPr>
      <w:r>
        <w:rPr>
          <w:rFonts w:ascii="新宋体" w:eastAsia="新宋体" w:hAnsi="新宋体" w:hint="eastAsia"/>
          <w:b/>
          <w:szCs w:val="21"/>
        </w:rPr>
        <w:t>4.青银理财认为对理财运作或者客户权益有重大影响而需要公布的重要信息，将以公告形式予以通知发布，同时可视情况辅以其它一种或多种方式发布信息，如短信、电话、网点公告等。如投资者不接受调整，则应及时通过销售服务机构营业网点或网上销售平台赎回本产品（高风险类型的理财产品超出比例范围投资较低风险资产的情况除外），若本产品投资者未赎回本产品，则视为本理财产品投资者对相关调整无异议并同意继续持有本理财产品。</w:t>
      </w:r>
    </w:p>
    <w:p w:rsidR="00952162">
      <w:pPr>
        <w:snapToGrid w:val="0"/>
        <w:spacing w:line="360" w:lineRule="auto"/>
        <w:ind w:left="397"/>
        <w:jc w:val="left"/>
        <w:rPr>
          <w:rFonts w:ascii="新宋体" w:eastAsia="新宋体" w:hAnsi="新宋体"/>
          <w:b/>
          <w:szCs w:val="21"/>
        </w:rPr>
      </w:pPr>
      <w:r>
        <w:rPr>
          <w:rFonts w:ascii="新宋体" w:eastAsia="新宋体" w:hAnsi="新宋体" w:hint="eastAsia"/>
          <w:b/>
          <w:szCs w:val="21"/>
        </w:rPr>
        <w:t>十四、重要提示</w:t>
      </w:r>
    </w:p>
    <w:p w:rsidR="00952162">
      <w:pPr>
        <w:snapToGrid w:val="0"/>
        <w:spacing w:line="360" w:lineRule="auto"/>
        <w:ind w:firstLine="420" w:firstLineChars="200"/>
        <w:jc w:val="left"/>
        <w:rPr>
          <w:rFonts w:ascii="新宋体" w:eastAsia="新宋体" w:hAnsi="新宋体"/>
          <w:b/>
          <w:szCs w:val="21"/>
        </w:rPr>
      </w:pPr>
      <w:r>
        <w:rPr>
          <w:rFonts w:ascii="新宋体" w:eastAsia="新宋体" w:hAnsi="新宋体" w:hint="eastAsia"/>
          <w:b/>
          <w:szCs w:val="21"/>
        </w:rPr>
        <w:t>1.请投资者购买本理财计划前一定仔细阅读本理财计划销售文件，包括但不限于：本理财计划对应的销售协议书、理财计划说明书、风险揭示书、投资者权益须知等，了解理财计划具体情况，关注投资风险，自主决定是否投资。</w:t>
      </w:r>
    </w:p>
    <w:p w:rsidR="00952162">
      <w:pPr>
        <w:snapToGrid w:val="0"/>
        <w:spacing w:line="360" w:lineRule="auto"/>
        <w:ind w:firstLine="420" w:firstLineChars="200"/>
        <w:jc w:val="left"/>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w:t>
      </w:r>
      <w:r>
        <w:rPr>
          <w:rFonts w:ascii="新宋体" w:eastAsia="新宋体" w:hAnsi="新宋体" w:hint="eastAsia"/>
          <w:b/>
          <w:szCs w:val="21"/>
        </w:rPr>
        <w:t>管理人有权按照法律法规和监管要求获知（包括但不限于直接获知、从代销机构获知等）并根据法律法规规定和有权机关之要求提供或报送投资者身份、持有理财计划、理财计划交易等信息。投资者特此授权并同意，在合法、合理、必要原则的基础上，管理人可按照法律法规、有权机关要求和理财业务需要，收集、存储、共享或合理使用投资者身份、持有理财计划、理财计划交易等信息，并要求其他机构履行投资者信息保密义务。</w:t>
      </w:r>
    </w:p>
    <w:p w:rsidR="00952162">
      <w:pPr>
        <w:widowControl/>
        <w:spacing w:line="360" w:lineRule="auto"/>
        <w:ind w:firstLine="422"/>
        <w:jc w:val="left"/>
        <w:rPr>
          <w:rStyle w:val="fontstyle01"/>
          <w:rFonts w:hint="default"/>
          <w:b/>
          <w:sz w:val="21"/>
          <w:szCs w:val="21"/>
        </w:rPr>
      </w:pPr>
      <w:r>
        <w:rPr>
          <w:rFonts w:ascii="新宋体" w:eastAsia="新宋体" w:hAnsi="新宋体"/>
          <w:b/>
          <w:szCs w:val="21"/>
        </w:rPr>
        <w:t>3</w:t>
      </w:r>
      <w:r>
        <w:rPr>
          <w:rFonts w:ascii="新宋体" w:eastAsia="新宋体" w:hAnsi="新宋体" w:hint="eastAsia"/>
          <w:b/>
          <w:szCs w:val="21"/>
        </w:rPr>
        <w:t>.</w:t>
      </w:r>
      <w:r>
        <w:rPr>
          <w:rStyle w:val="fontstyle01"/>
          <w:rFonts w:hint="default"/>
          <w:b/>
          <w:sz w:val="21"/>
          <w:szCs w:val="21"/>
        </w:rPr>
        <w:t>本理财计划说明书在法律许可的范围内由管理人负责解释。如投资者对本理财产品说明书内容有任何异议或意见，请向青银理财机构及各销售渠道进行咨询。青银理财客服热线4000879666。</w:t>
      </w:r>
    </w:p>
    <w:sectPr>
      <w:footerReference w:type="even" r:id="rId4"/>
      <w:footerReference w:type="default" r:id="rId5"/>
      <w:pgSz w:w="11906" w:h="16838"/>
      <w:pgMar w:top="1440" w:right="1286" w:bottom="1440" w:left="126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pitch w:val="default"/>
    <w:sig w:usb0="00000001" w:usb1="080E0000" w:usb2="00000010" w:usb3="00000000" w:csb0="00040000" w:csb1="00000000"/>
  </w:font>
  <w:font w:name="Cambria Math">
    <w:panose1 w:val="02040503050406030204"/>
    <w:charset w:val="01"/>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162">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fldChar w:fldCharType="end"/>
    </w:r>
  </w:p>
  <w:p w:rsidR="009521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162">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noProof/>
      </w:rPr>
      <w:t>1</w:t>
    </w:r>
    <w:r>
      <w:fldChar w:fldCharType="end"/>
    </w:r>
  </w:p>
  <w:p w:rsidR="00952162">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420"/>
  <w:drawingGridVerticalSpacing w:val="156"/>
  <w:noPunctuationKerning/>
  <w:characterSpacingControl w:val="compressPunctuation"/>
  <w:noLineBreaksAfter w:lang="en-US" w:val="([{·‘“〈《「『【〔〖（．［｛￡￥"/>
  <w:noLineBreaksBefore w:lang="en-US" w:val="!),.:;?]}¨·ˇˉ―‖’”…∶、。〃々〉》」』】〕〗！＂＇），．：；？］｀｜｝～￠"/>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D35EE"/>
    <w:rsid w:val="BFFFBA5F"/>
    <w:rsid w:val="E1F774C3"/>
    <w:rsid w:val="ED660058"/>
    <w:rsid w:val="FCF32B8F"/>
    <w:rsid w:val="FDFED000"/>
    <w:rsid w:val="FFE6C15D"/>
    <w:rsid w:val="00001ED3"/>
    <w:rsid w:val="00002350"/>
    <w:rsid w:val="0000288C"/>
    <w:rsid w:val="00002C32"/>
    <w:rsid w:val="00003AB9"/>
    <w:rsid w:val="00004A83"/>
    <w:rsid w:val="00005C3E"/>
    <w:rsid w:val="000071B2"/>
    <w:rsid w:val="000078E8"/>
    <w:rsid w:val="00007954"/>
    <w:rsid w:val="00010596"/>
    <w:rsid w:val="00010625"/>
    <w:rsid w:val="0001072F"/>
    <w:rsid w:val="00011242"/>
    <w:rsid w:val="0001134D"/>
    <w:rsid w:val="00011BCD"/>
    <w:rsid w:val="00011CFD"/>
    <w:rsid w:val="00012D68"/>
    <w:rsid w:val="000133D0"/>
    <w:rsid w:val="000144B5"/>
    <w:rsid w:val="00014C0F"/>
    <w:rsid w:val="0001509D"/>
    <w:rsid w:val="0001535B"/>
    <w:rsid w:val="00015D9F"/>
    <w:rsid w:val="00016017"/>
    <w:rsid w:val="000161EC"/>
    <w:rsid w:val="0001712B"/>
    <w:rsid w:val="00020864"/>
    <w:rsid w:val="0002125E"/>
    <w:rsid w:val="00022A7D"/>
    <w:rsid w:val="000234F5"/>
    <w:rsid w:val="00023AE0"/>
    <w:rsid w:val="00024552"/>
    <w:rsid w:val="00024B1D"/>
    <w:rsid w:val="00024D5F"/>
    <w:rsid w:val="000261B6"/>
    <w:rsid w:val="000271E9"/>
    <w:rsid w:val="000307F0"/>
    <w:rsid w:val="00031076"/>
    <w:rsid w:val="00031A2F"/>
    <w:rsid w:val="00032983"/>
    <w:rsid w:val="00032A52"/>
    <w:rsid w:val="00033F1D"/>
    <w:rsid w:val="0003754E"/>
    <w:rsid w:val="000378AD"/>
    <w:rsid w:val="00040DFE"/>
    <w:rsid w:val="00041661"/>
    <w:rsid w:val="00042EB0"/>
    <w:rsid w:val="000431B0"/>
    <w:rsid w:val="00043872"/>
    <w:rsid w:val="0004459C"/>
    <w:rsid w:val="0004465C"/>
    <w:rsid w:val="0004537A"/>
    <w:rsid w:val="00045BF3"/>
    <w:rsid w:val="00045F46"/>
    <w:rsid w:val="000461B6"/>
    <w:rsid w:val="00046BF8"/>
    <w:rsid w:val="00046E00"/>
    <w:rsid w:val="00046F6B"/>
    <w:rsid w:val="000472EE"/>
    <w:rsid w:val="000477FC"/>
    <w:rsid w:val="00050317"/>
    <w:rsid w:val="0005125C"/>
    <w:rsid w:val="0005173B"/>
    <w:rsid w:val="00052353"/>
    <w:rsid w:val="00053737"/>
    <w:rsid w:val="00054C3F"/>
    <w:rsid w:val="000557D1"/>
    <w:rsid w:val="000558F3"/>
    <w:rsid w:val="00056061"/>
    <w:rsid w:val="00056E7B"/>
    <w:rsid w:val="00057830"/>
    <w:rsid w:val="00057894"/>
    <w:rsid w:val="0006007F"/>
    <w:rsid w:val="00060EFA"/>
    <w:rsid w:val="000618DE"/>
    <w:rsid w:val="00061B80"/>
    <w:rsid w:val="0006202C"/>
    <w:rsid w:val="00062C4B"/>
    <w:rsid w:val="00063BB4"/>
    <w:rsid w:val="000654C7"/>
    <w:rsid w:val="0006551B"/>
    <w:rsid w:val="00065D55"/>
    <w:rsid w:val="000660AB"/>
    <w:rsid w:val="00066D12"/>
    <w:rsid w:val="0007018A"/>
    <w:rsid w:val="00070621"/>
    <w:rsid w:val="00070A68"/>
    <w:rsid w:val="00070F05"/>
    <w:rsid w:val="000730FC"/>
    <w:rsid w:val="0007377D"/>
    <w:rsid w:val="00074566"/>
    <w:rsid w:val="000748CD"/>
    <w:rsid w:val="00075288"/>
    <w:rsid w:val="00075445"/>
    <w:rsid w:val="00075BC5"/>
    <w:rsid w:val="000765E9"/>
    <w:rsid w:val="00076D60"/>
    <w:rsid w:val="00077283"/>
    <w:rsid w:val="000774B6"/>
    <w:rsid w:val="0008100F"/>
    <w:rsid w:val="00083AFE"/>
    <w:rsid w:val="0008410E"/>
    <w:rsid w:val="000852DE"/>
    <w:rsid w:val="000854EF"/>
    <w:rsid w:val="00085DF3"/>
    <w:rsid w:val="000873CB"/>
    <w:rsid w:val="0009042B"/>
    <w:rsid w:val="00090707"/>
    <w:rsid w:val="0009127F"/>
    <w:rsid w:val="000915E6"/>
    <w:rsid w:val="00092971"/>
    <w:rsid w:val="00093C92"/>
    <w:rsid w:val="00094ACE"/>
    <w:rsid w:val="00094ACF"/>
    <w:rsid w:val="00094C53"/>
    <w:rsid w:val="000956D6"/>
    <w:rsid w:val="00096112"/>
    <w:rsid w:val="00097100"/>
    <w:rsid w:val="00097BF5"/>
    <w:rsid w:val="00097CB7"/>
    <w:rsid w:val="000A16C9"/>
    <w:rsid w:val="000A34D6"/>
    <w:rsid w:val="000A3C5A"/>
    <w:rsid w:val="000A3F50"/>
    <w:rsid w:val="000A4CA7"/>
    <w:rsid w:val="000A6B3D"/>
    <w:rsid w:val="000A6E54"/>
    <w:rsid w:val="000A795D"/>
    <w:rsid w:val="000B0F43"/>
    <w:rsid w:val="000B156B"/>
    <w:rsid w:val="000B19C2"/>
    <w:rsid w:val="000B1B69"/>
    <w:rsid w:val="000B4554"/>
    <w:rsid w:val="000C114E"/>
    <w:rsid w:val="000C19A9"/>
    <w:rsid w:val="000C2E31"/>
    <w:rsid w:val="000C31DF"/>
    <w:rsid w:val="000C33CB"/>
    <w:rsid w:val="000C36FD"/>
    <w:rsid w:val="000C4EB7"/>
    <w:rsid w:val="000C5692"/>
    <w:rsid w:val="000C6F5C"/>
    <w:rsid w:val="000C6FC3"/>
    <w:rsid w:val="000D00CD"/>
    <w:rsid w:val="000D0FF3"/>
    <w:rsid w:val="000D2FED"/>
    <w:rsid w:val="000D35EE"/>
    <w:rsid w:val="000D3651"/>
    <w:rsid w:val="000D433E"/>
    <w:rsid w:val="000D5245"/>
    <w:rsid w:val="000E0C8D"/>
    <w:rsid w:val="000E226C"/>
    <w:rsid w:val="000E490D"/>
    <w:rsid w:val="000E642A"/>
    <w:rsid w:val="000E6510"/>
    <w:rsid w:val="000E696E"/>
    <w:rsid w:val="000E6AC8"/>
    <w:rsid w:val="000E6AF5"/>
    <w:rsid w:val="000E6F26"/>
    <w:rsid w:val="000E7E00"/>
    <w:rsid w:val="000F0D66"/>
    <w:rsid w:val="000F0F51"/>
    <w:rsid w:val="000F1BA3"/>
    <w:rsid w:val="000F2374"/>
    <w:rsid w:val="000F312D"/>
    <w:rsid w:val="000F453A"/>
    <w:rsid w:val="000F4EDA"/>
    <w:rsid w:val="000F532F"/>
    <w:rsid w:val="000F6AFB"/>
    <w:rsid w:val="00101400"/>
    <w:rsid w:val="001017F1"/>
    <w:rsid w:val="0010269A"/>
    <w:rsid w:val="00102BC0"/>
    <w:rsid w:val="00103C11"/>
    <w:rsid w:val="00104F7A"/>
    <w:rsid w:val="00105743"/>
    <w:rsid w:val="00105CB0"/>
    <w:rsid w:val="001062E0"/>
    <w:rsid w:val="00106A4C"/>
    <w:rsid w:val="00106A56"/>
    <w:rsid w:val="00107057"/>
    <w:rsid w:val="0011084E"/>
    <w:rsid w:val="00110C89"/>
    <w:rsid w:val="00110FDD"/>
    <w:rsid w:val="001115AB"/>
    <w:rsid w:val="00111C75"/>
    <w:rsid w:val="00113214"/>
    <w:rsid w:val="0011471A"/>
    <w:rsid w:val="00114A0F"/>
    <w:rsid w:val="001154A5"/>
    <w:rsid w:val="001169D8"/>
    <w:rsid w:val="00116EDD"/>
    <w:rsid w:val="00117855"/>
    <w:rsid w:val="0012101B"/>
    <w:rsid w:val="00122572"/>
    <w:rsid w:val="00122E9F"/>
    <w:rsid w:val="00124241"/>
    <w:rsid w:val="0012576F"/>
    <w:rsid w:val="00127150"/>
    <w:rsid w:val="00131FEE"/>
    <w:rsid w:val="001322EE"/>
    <w:rsid w:val="00132447"/>
    <w:rsid w:val="00132D19"/>
    <w:rsid w:val="0013335E"/>
    <w:rsid w:val="001333D5"/>
    <w:rsid w:val="00133B2C"/>
    <w:rsid w:val="00133C8A"/>
    <w:rsid w:val="00134603"/>
    <w:rsid w:val="00134D6A"/>
    <w:rsid w:val="00135B0C"/>
    <w:rsid w:val="00137D0D"/>
    <w:rsid w:val="001409DF"/>
    <w:rsid w:val="001413B7"/>
    <w:rsid w:val="00142829"/>
    <w:rsid w:val="00145B40"/>
    <w:rsid w:val="00145CCE"/>
    <w:rsid w:val="00146FD1"/>
    <w:rsid w:val="001477BC"/>
    <w:rsid w:val="00147D10"/>
    <w:rsid w:val="00151357"/>
    <w:rsid w:val="00152E6A"/>
    <w:rsid w:val="0015385C"/>
    <w:rsid w:val="00153A5C"/>
    <w:rsid w:val="00153DBA"/>
    <w:rsid w:val="00154027"/>
    <w:rsid w:val="0015463A"/>
    <w:rsid w:val="00155CC1"/>
    <w:rsid w:val="00156B8B"/>
    <w:rsid w:val="001575D3"/>
    <w:rsid w:val="0016091D"/>
    <w:rsid w:val="001609A2"/>
    <w:rsid w:val="00162709"/>
    <w:rsid w:val="0016291D"/>
    <w:rsid w:val="001631A5"/>
    <w:rsid w:val="001642D3"/>
    <w:rsid w:val="00165300"/>
    <w:rsid w:val="001656CA"/>
    <w:rsid w:val="001667FC"/>
    <w:rsid w:val="00166E60"/>
    <w:rsid w:val="0016762E"/>
    <w:rsid w:val="00170A98"/>
    <w:rsid w:val="00170F61"/>
    <w:rsid w:val="0017131A"/>
    <w:rsid w:val="00171937"/>
    <w:rsid w:val="00172F4D"/>
    <w:rsid w:val="0017308C"/>
    <w:rsid w:val="001738C3"/>
    <w:rsid w:val="001751F4"/>
    <w:rsid w:val="0017550D"/>
    <w:rsid w:val="00175782"/>
    <w:rsid w:val="00175DDE"/>
    <w:rsid w:val="00175E9A"/>
    <w:rsid w:val="001763C5"/>
    <w:rsid w:val="001773B2"/>
    <w:rsid w:val="001810DA"/>
    <w:rsid w:val="0018318A"/>
    <w:rsid w:val="001846FA"/>
    <w:rsid w:val="00184BF0"/>
    <w:rsid w:val="00185C58"/>
    <w:rsid w:val="0018614B"/>
    <w:rsid w:val="001864B1"/>
    <w:rsid w:val="001867D0"/>
    <w:rsid w:val="0018704D"/>
    <w:rsid w:val="00187169"/>
    <w:rsid w:val="00187A34"/>
    <w:rsid w:val="001903BB"/>
    <w:rsid w:val="00191CF5"/>
    <w:rsid w:val="00191DD3"/>
    <w:rsid w:val="00191E6F"/>
    <w:rsid w:val="00192943"/>
    <w:rsid w:val="00192C7A"/>
    <w:rsid w:val="00192EBC"/>
    <w:rsid w:val="00192FDB"/>
    <w:rsid w:val="001931C4"/>
    <w:rsid w:val="00193610"/>
    <w:rsid w:val="0019386F"/>
    <w:rsid w:val="00194DCC"/>
    <w:rsid w:val="00194E75"/>
    <w:rsid w:val="001951BA"/>
    <w:rsid w:val="00195528"/>
    <w:rsid w:val="001967CF"/>
    <w:rsid w:val="00197D4B"/>
    <w:rsid w:val="001A07C0"/>
    <w:rsid w:val="001A1B5F"/>
    <w:rsid w:val="001A2399"/>
    <w:rsid w:val="001A26C1"/>
    <w:rsid w:val="001A2B6A"/>
    <w:rsid w:val="001A3D0A"/>
    <w:rsid w:val="001A4194"/>
    <w:rsid w:val="001A506C"/>
    <w:rsid w:val="001A589F"/>
    <w:rsid w:val="001A58B1"/>
    <w:rsid w:val="001A5AD2"/>
    <w:rsid w:val="001A5DFF"/>
    <w:rsid w:val="001A6046"/>
    <w:rsid w:val="001B030F"/>
    <w:rsid w:val="001B040E"/>
    <w:rsid w:val="001B09F5"/>
    <w:rsid w:val="001B149F"/>
    <w:rsid w:val="001B179C"/>
    <w:rsid w:val="001B17A1"/>
    <w:rsid w:val="001B362B"/>
    <w:rsid w:val="001B3AFC"/>
    <w:rsid w:val="001B3BC7"/>
    <w:rsid w:val="001B3C1B"/>
    <w:rsid w:val="001B4882"/>
    <w:rsid w:val="001B4FAB"/>
    <w:rsid w:val="001B6E46"/>
    <w:rsid w:val="001B76D0"/>
    <w:rsid w:val="001B7D55"/>
    <w:rsid w:val="001C1919"/>
    <w:rsid w:val="001C1E7B"/>
    <w:rsid w:val="001C2057"/>
    <w:rsid w:val="001C278B"/>
    <w:rsid w:val="001C3181"/>
    <w:rsid w:val="001C393C"/>
    <w:rsid w:val="001C39BD"/>
    <w:rsid w:val="001C52F8"/>
    <w:rsid w:val="001C5761"/>
    <w:rsid w:val="001C689D"/>
    <w:rsid w:val="001C6C05"/>
    <w:rsid w:val="001D07DC"/>
    <w:rsid w:val="001D1622"/>
    <w:rsid w:val="001D228C"/>
    <w:rsid w:val="001D2316"/>
    <w:rsid w:val="001D23B3"/>
    <w:rsid w:val="001D36B4"/>
    <w:rsid w:val="001D3C21"/>
    <w:rsid w:val="001D55DD"/>
    <w:rsid w:val="001D7C8C"/>
    <w:rsid w:val="001E0089"/>
    <w:rsid w:val="001E1974"/>
    <w:rsid w:val="001E2351"/>
    <w:rsid w:val="001E33D4"/>
    <w:rsid w:val="001E3DC4"/>
    <w:rsid w:val="001E3EE8"/>
    <w:rsid w:val="001E4D23"/>
    <w:rsid w:val="001E66C7"/>
    <w:rsid w:val="001E7014"/>
    <w:rsid w:val="001E7731"/>
    <w:rsid w:val="001E7D03"/>
    <w:rsid w:val="001F1102"/>
    <w:rsid w:val="001F183D"/>
    <w:rsid w:val="001F1ABB"/>
    <w:rsid w:val="001F1F53"/>
    <w:rsid w:val="001F2165"/>
    <w:rsid w:val="001F3F4F"/>
    <w:rsid w:val="001F46DD"/>
    <w:rsid w:val="001F4886"/>
    <w:rsid w:val="001F667E"/>
    <w:rsid w:val="001F66CE"/>
    <w:rsid w:val="001F68AC"/>
    <w:rsid w:val="00200EEC"/>
    <w:rsid w:val="0020107A"/>
    <w:rsid w:val="002015CD"/>
    <w:rsid w:val="00201962"/>
    <w:rsid w:val="00203086"/>
    <w:rsid w:val="00204203"/>
    <w:rsid w:val="002042D8"/>
    <w:rsid w:val="002061C5"/>
    <w:rsid w:val="00206A61"/>
    <w:rsid w:val="00207978"/>
    <w:rsid w:val="00210270"/>
    <w:rsid w:val="00210AF1"/>
    <w:rsid w:val="00210C57"/>
    <w:rsid w:val="002115B8"/>
    <w:rsid w:val="002115DE"/>
    <w:rsid w:val="00212393"/>
    <w:rsid w:val="00212722"/>
    <w:rsid w:val="00212BEE"/>
    <w:rsid w:val="00213F56"/>
    <w:rsid w:val="00213FC0"/>
    <w:rsid w:val="00214AB9"/>
    <w:rsid w:val="002153BC"/>
    <w:rsid w:val="00215800"/>
    <w:rsid w:val="002158A0"/>
    <w:rsid w:val="00216AF8"/>
    <w:rsid w:val="00216C88"/>
    <w:rsid w:val="00216CB2"/>
    <w:rsid w:val="002174C6"/>
    <w:rsid w:val="0022075E"/>
    <w:rsid w:val="00220B6D"/>
    <w:rsid w:val="00221686"/>
    <w:rsid w:val="002235C2"/>
    <w:rsid w:val="00223750"/>
    <w:rsid w:val="00223CC3"/>
    <w:rsid w:val="002255BE"/>
    <w:rsid w:val="002255C2"/>
    <w:rsid w:val="00225EA0"/>
    <w:rsid w:val="00226C0F"/>
    <w:rsid w:val="00230B44"/>
    <w:rsid w:val="002321EC"/>
    <w:rsid w:val="002336AF"/>
    <w:rsid w:val="0023433B"/>
    <w:rsid w:val="002353BB"/>
    <w:rsid w:val="00236B9A"/>
    <w:rsid w:val="002372CA"/>
    <w:rsid w:val="00237401"/>
    <w:rsid w:val="00237D9D"/>
    <w:rsid w:val="002400EF"/>
    <w:rsid w:val="002406E5"/>
    <w:rsid w:val="00240957"/>
    <w:rsid w:val="002409A6"/>
    <w:rsid w:val="00241B07"/>
    <w:rsid w:val="00243D56"/>
    <w:rsid w:val="00244740"/>
    <w:rsid w:val="0024551D"/>
    <w:rsid w:val="00245ECC"/>
    <w:rsid w:val="002460DE"/>
    <w:rsid w:val="00246548"/>
    <w:rsid w:val="00246DD2"/>
    <w:rsid w:val="00247CBB"/>
    <w:rsid w:val="00247EF4"/>
    <w:rsid w:val="00250F96"/>
    <w:rsid w:val="00251943"/>
    <w:rsid w:val="00252462"/>
    <w:rsid w:val="002526D6"/>
    <w:rsid w:val="00252763"/>
    <w:rsid w:val="002527CB"/>
    <w:rsid w:val="002535EB"/>
    <w:rsid w:val="00254634"/>
    <w:rsid w:val="0025519A"/>
    <w:rsid w:val="00255739"/>
    <w:rsid w:val="00255C87"/>
    <w:rsid w:val="002610E2"/>
    <w:rsid w:val="002616BE"/>
    <w:rsid w:val="00261776"/>
    <w:rsid w:val="0026328F"/>
    <w:rsid w:val="002634AD"/>
    <w:rsid w:val="002640D9"/>
    <w:rsid w:val="002659F9"/>
    <w:rsid w:val="00265E8A"/>
    <w:rsid w:val="00266210"/>
    <w:rsid w:val="00267284"/>
    <w:rsid w:val="0027030E"/>
    <w:rsid w:val="00270439"/>
    <w:rsid w:val="002704DE"/>
    <w:rsid w:val="00270CCF"/>
    <w:rsid w:val="00273831"/>
    <w:rsid w:val="00273F7C"/>
    <w:rsid w:val="00274316"/>
    <w:rsid w:val="002746FF"/>
    <w:rsid w:val="00275E65"/>
    <w:rsid w:val="00276CBD"/>
    <w:rsid w:val="0027703D"/>
    <w:rsid w:val="002805CE"/>
    <w:rsid w:val="00280A70"/>
    <w:rsid w:val="00280EAA"/>
    <w:rsid w:val="002815B7"/>
    <w:rsid w:val="002818E4"/>
    <w:rsid w:val="00281B57"/>
    <w:rsid w:val="00282EAD"/>
    <w:rsid w:val="002845C0"/>
    <w:rsid w:val="00285E9C"/>
    <w:rsid w:val="00286CB9"/>
    <w:rsid w:val="00287212"/>
    <w:rsid w:val="0028782A"/>
    <w:rsid w:val="00287EF1"/>
    <w:rsid w:val="002907DC"/>
    <w:rsid w:val="00291247"/>
    <w:rsid w:val="002920DD"/>
    <w:rsid w:val="00292821"/>
    <w:rsid w:val="002963BF"/>
    <w:rsid w:val="00296621"/>
    <w:rsid w:val="00297DD2"/>
    <w:rsid w:val="002A1690"/>
    <w:rsid w:val="002A24E1"/>
    <w:rsid w:val="002A2878"/>
    <w:rsid w:val="002A2FC7"/>
    <w:rsid w:val="002A648C"/>
    <w:rsid w:val="002A6B23"/>
    <w:rsid w:val="002A7F30"/>
    <w:rsid w:val="002B00C4"/>
    <w:rsid w:val="002B1982"/>
    <w:rsid w:val="002B29B7"/>
    <w:rsid w:val="002B2B03"/>
    <w:rsid w:val="002B33B0"/>
    <w:rsid w:val="002B3426"/>
    <w:rsid w:val="002B4679"/>
    <w:rsid w:val="002B5FE8"/>
    <w:rsid w:val="002B7221"/>
    <w:rsid w:val="002B753E"/>
    <w:rsid w:val="002B76EF"/>
    <w:rsid w:val="002B7799"/>
    <w:rsid w:val="002B7BFC"/>
    <w:rsid w:val="002C0735"/>
    <w:rsid w:val="002C0CFA"/>
    <w:rsid w:val="002C132C"/>
    <w:rsid w:val="002C16B5"/>
    <w:rsid w:val="002C22E0"/>
    <w:rsid w:val="002C30BA"/>
    <w:rsid w:val="002C3D6A"/>
    <w:rsid w:val="002C48C0"/>
    <w:rsid w:val="002C4C43"/>
    <w:rsid w:val="002C4F34"/>
    <w:rsid w:val="002C54DA"/>
    <w:rsid w:val="002C5E3B"/>
    <w:rsid w:val="002C759B"/>
    <w:rsid w:val="002D223D"/>
    <w:rsid w:val="002D2944"/>
    <w:rsid w:val="002D365B"/>
    <w:rsid w:val="002D4DA0"/>
    <w:rsid w:val="002D4DB0"/>
    <w:rsid w:val="002D51C6"/>
    <w:rsid w:val="002D5CA6"/>
    <w:rsid w:val="002D6D27"/>
    <w:rsid w:val="002D77B4"/>
    <w:rsid w:val="002E0D94"/>
    <w:rsid w:val="002E10FD"/>
    <w:rsid w:val="002E232D"/>
    <w:rsid w:val="002E299F"/>
    <w:rsid w:val="002E29EA"/>
    <w:rsid w:val="002E2D4E"/>
    <w:rsid w:val="002E48B9"/>
    <w:rsid w:val="002E4D28"/>
    <w:rsid w:val="002E55DB"/>
    <w:rsid w:val="002E5604"/>
    <w:rsid w:val="002E5647"/>
    <w:rsid w:val="002E68BA"/>
    <w:rsid w:val="002F040F"/>
    <w:rsid w:val="002F0575"/>
    <w:rsid w:val="002F0C1B"/>
    <w:rsid w:val="002F0E2E"/>
    <w:rsid w:val="002F0F77"/>
    <w:rsid w:val="002F2232"/>
    <w:rsid w:val="002F2D8D"/>
    <w:rsid w:val="002F2E58"/>
    <w:rsid w:val="002F4A39"/>
    <w:rsid w:val="002F4E0C"/>
    <w:rsid w:val="002F5A54"/>
    <w:rsid w:val="002F6408"/>
    <w:rsid w:val="002F6DE5"/>
    <w:rsid w:val="002F7C6C"/>
    <w:rsid w:val="002F7D18"/>
    <w:rsid w:val="002F7F33"/>
    <w:rsid w:val="0030166D"/>
    <w:rsid w:val="00303279"/>
    <w:rsid w:val="003038BF"/>
    <w:rsid w:val="0030572B"/>
    <w:rsid w:val="003059E5"/>
    <w:rsid w:val="0030675E"/>
    <w:rsid w:val="00306E33"/>
    <w:rsid w:val="00306F73"/>
    <w:rsid w:val="003071CA"/>
    <w:rsid w:val="00307BFE"/>
    <w:rsid w:val="00307E6C"/>
    <w:rsid w:val="00310519"/>
    <w:rsid w:val="00310660"/>
    <w:rsid w:val="00310DA1"/>
    <w:rsid w:val="0031155D"/>
    <w:rsid w:val="003119F5"/>
    <w:rsid w:val="00312651"/>
    <w:rsid w:val="0031396C"/>
    <w:rsid w:val="00315A63"/>
    <w:rsid w:val="00316025"/>
    <w:rsid w:val="003166E8"/>
    <w:rsid w:val="00317BE4"/>
    <w:rsid w:val="003212FE"/>
    <w:rsid w:val="0032169A"/>
    <w:rsid w:val="003225F4"/>
    <w:rsid w:val="00322D1C"/>
    <w:rsid w:val="0032348B"/>
    <w:rsid w:val="003234FE"/>
    <w:rsid w:val="00323DE9"/>
    <w:rsid w:val="00324010"/>
    <w:rsid w:val="0032439F"/>
    <w:rsid w:val="003252F1"/>
    <w:rsid w:val="00325A46"/>
    <w:rsid w:val="00325FDC"/>
    <w:rsid w:val="0032699C"/>
    <w:rsid w:val="00327F32"/>
    <w:rsid w:val="00327FFE"/>
    <w:rsid w:val="00330AE4"/>
    <w:rsid w:val="00330CDA"/>
    <w:rsid w:val="00331828"/>
    <w:rsid w:val="00331E3E"/>
    <w:rsid w:val="003321BC"/>
    <w:rsid w:val="00333CA7"/>
    <w:rsid w:val="00333EAB"/>
    <w:rsid w:val="00334E6D"/>
    <w:rsid w:val="003358E1"/>
    <w:rsid w:val="00336464"/>
    <w:rsid w:val="00337072"/>
    <w:rsid w:val="00337084"/>
    <w:rsid w:val="00337DF2"/>
    <w:rsid w:val="00340623"/>
    <w:rsid w:val="00340FC6"/>
    <w:rsid w:val="0034261D"/>
    <w:rsid w:val="003429D8"/>
    <w:rsid w:val="00342C8A"/>
    <w:rsid w:val="00342E09"/>
    <w:rsid w:val="00344395"/>
    <w:rsid w:val="0034448F"/>
    <w:rsid w:val="003445CE"/>
    <w:rsid w:val="00345015"/>
    <w:rsid w:val="003455CE"/>
    <w:rsid w:val="003460E4"/>
    <w:rsid w:val="00346805"/>
    <w:rsid w:val="0035089B"/>
    <w:rsid w:val="003508E1"/>
    <w:rsid w:val="003523E8"/>
    <w:rsid w:val="00352BFB"/>
    <w:rsid w:val="00353B39"/>
    <w:rsid w:val="003544BB"/>
    <w:rsid w:val="0035462C"/>
    <w:rsid w:val="00355154"/>
    <w:rsid w:val="00355A42"/>
    <w:rsid w:val="0035754A"/>
    <w:rsid w:val="00360E24"/>
    <w:rsid w:val="00360E36"/>
    <w:rsid w:val="003614F0"/>
    <w:rsid w:val="0036190C"/>
    <w:rsid w:val="00361941"/>
    <w:rsid w:val="00362489"/>
    <w:rsid w:val="003625EA"/>
    <w:rsid w:val="0036272D"/>
    <w:rsid w:val="003628DE"/>
    <w:rsid w:val="00362937"/>
    <w:rsid w:val="00363097"/>
    <w:rsid w:val="0036383B"/>
    <w:rsid w:val="003640D0"/>
    <w:rsid w:val="003642ED"/>
    <w:rsid w:val="00365062"/>
    <w:rsid w:val="00365108"/>
    <w:rsid w:val="00365F08"/>
    <w:rsid w:val="003668FB"/>
    <w:rsid w:val="003707ED"/>
    <w:rsid w:val="00371603"/>
    <w:rsid w:val="00371C9C"/>
    <w:rsid w:val="00371F7D"/>
    <w:rsid w:val="00372190"/>
    <w:rsid w:val="0037305D"/>
    <w:rsid w:val="00373531"/>
    <w:rsid w:val="00373BE4"/>
    <w:rsid w:val="00373E5D"/>
    <w:rsid w:val="00374ADD"/>
    <w:rsid w:val="00375103"/>
    <w:rsid w:val="00375608"/>
    <w:rsid w:val="00376888"/>
    <w:rsid w:val="003776D4"/>
    <w:rsid w:val="00377E7E"/>
    <w:rsid w:val="00380782"/>
    <w:rsid w:val="00380CF7"/>
    <w:rsid w:val="0038209F"/>
    <w:rsid w:val="00383AA8"/>
    <w:rsid w:val="00383E52"/>
    <w:rsid w:val="00385360"/>
    <w:rsid w:val="0038569C"/>
    <w:rsid w:val="00385F59"/>
    <w:rsid w:val="00386314"/>
    <w:rsid w:val="003863AF"/>
    <w:rsid w:val="00386BCB"/>
    <w:rsid w:val="00387019"/>
    <w:rsid w:val="00387FF4"/>
    <w:rsid w:val="00391D20"/>
    <w:rsid w:val="00391F53"/>
    <w:rsid w:val="00392B5C"/>
    <w:rsid w:val="00392ECC"/>
    <w:rsid w:val="00392FC3"/>
    <w:rsid w:val="003935BB"/>
    <w:rsid w:val="003936BF"/>
    <w:rsid w:val="003945E3"/>
    <w:rsid w:val="00395492"/>
    <w:rsid w:val="00396BC3"/>
    <w:rsid w:val="003A1BC1"/>
    <w:rsid w:val="003A1DBB"/>
    <w:rsid w:val="003A2AE5"/>
    <w:rsid w:val="003A2E5E"/>
    <w:rsid w:val="003A5212"/>
    <w:rsid w:val="003A55AC"/>
    <w:rsid w:val="003A6615"/>
    <w:rsid w:val="003A6F72"/>
    <w:rsid w:val="003A7B88"/>
    <w:rsid w:val="003B0126"/>
    <w:rsid w:val="003B1300"/>
    <w:rsid w:val="003B2077"/>
    <w:rsid w:val="003B30E6"/>
    <w:rsid w:val="003B3382"/>
    <w:rsid w:val="003B3695"/>
    <w:rsid w:val="003B37BE"/>
    <w:rsid w:val="003B3B53"/>
    <w:rsid w:val="003B3E3C"/>
    <w:rsid w:val="003B4174"/>
    <w:rsid w:val="003B75DF"/>
    <w:rsid w:val="003B7BE5"/>
    <w:rsid w:val="003C0018"/>
    <w:rsid w:val="003C0305"/>
    <w:rsid w:val="003C1145"/>
    <w:rsid w:val="003C167D"/>
    <w:rsid w:val="003C25AE"/>
    <w:rsid w:val="003C299F"/>
    <w:rsid w:val="003C319B"/>
    <w:rsid w:val="003C357D"/>
    <w:rsid w:val="003C3622"/>
    <w:rsid w:val="003C3BBD"/>
    <w:rsid w:val="003C568A"/>
    <w:rsid w:val="003C7261"/>
    <w:rsid w:val="003C7953"/>
    <w:rsid w:val="003C79BE"/>
    <w:rsid w:val="003D0C6A"/>
    <w:rsid w:val="003D1248"/>
    <w:rsid w:val="003D13A0"/>
    <w:rsid w:val="003D1773"/>
    <w:rsid w:val="003D1E0B"/>
    <w:rsid w:val="003D2757"/>
    <w:rsid w:val="003D2C2C"/>
    <w:rsid w:val="003D2D3A"/>
    <w:rsid w:val="003D3233"/>
    <w:rsid w:val="003D3E5D"/>
    <w:rsid w:val="003D42C7"/>
    <w:rsid w:val="003D4D36"/>
    <w:rsid w:val="003D5821"/>
    <w:rsid w:val="003D6948"/>
    <w:rsid w:val="003D6EE5"/>
    <w:rsid w:val="003D7237"/>
    <w:rsid w:val="003D72DF"/>
    <w:rsid w:val="003E014D"/>
    <w:rsid w:val="003E01FE"/>
    <w:rsid w:val="003E3740"/>
    <w:rsid w:val="003E3B85"/>
    <w:rsid w:val="003E41EB"/>
    <w:rsid w:val="003E4667"/>
    <w:rsid w:val="003E5AD1"/>
    <w:rsid w:val="003E61A8"/>
    <w:rsid w:val="003E7653"/>
    <w:rsid w:val="003E7804"/>
    <w:rsid w:val="003E7B9C"/>
    <w:rsid w:val="003F0842"/>
    <w:rsid w:val="003F1562"/>
    <w:rsid w:val="003F40F7"/>
    <w:rsid w:val="003F447A"/>
    <w:rsid w:val="003F4F58"/>
    <w:rsid w:val="003F5220"/>
    <w:rsid w:val="003F5500"/>
    <w:rsid w:val="003F58F1"/>
    <w:rsid w:val="003F5E7A"/>
    <w:rsid w:val="003F60EE"/>
    <w:rsid w:val="00402E3C"/>
    <w:rsid w:val="00402E7C"/>
    <w:rsid w:val="004040B8"/>
    <w:rsid w:val="004041E0"/>
    <w:rsid w:val="004048DA"/>
    <w:rsid w:val="00405A00"/>
    <w:rsid w:val="00405B54"/>
    <w:rsid w:val="00406C8C"/>
    <w:rsid w:val="0040707A"/>
    <w:rsid w:val="0041118D"/>
    <w:rsid w:val="004115A7"/>
    <w:rsid w:val="0041321E"/>
    <w:rsid w:val="00413754"/>
    <w:rsid w:val="00413D88"/>
    <w:rsid w:val="00414985"/>
    <w:rsid w:val="004166D2"/>
    <w:rsid w:val="00420398"/>
    <w:rsid w:val="0042042A"/>
    <w:rsid w:val="00420C0B"/>
    <w:rsid w:val="00421632"/>
    <w:rsid w:val="00422B15"/>
    <w:rsid w:val="004230DB"/>
    <w:rsid w:val="0042312E"/>
    <w:rsid w:val="00424AE1"/>
    <w:rsid w:val="00424EA1"/>
    <w:rsid w:val="0042518C"/>
    <w:rsid w:val="004251D7"/>
    <w:rsid w:val="00425FB1"/>
    <w:rsid w:val="0042623C"/>
    <w:rsid w:val="00426A44"/>
    <w:rsid w:val="00426FD8"/>
    <w:rsid w:val="00427D6E"/>
    <w:rsid w:val="004307C4"/>
    <w:rsid w:val="00432045"/>
    <w:rsid w:val="0043261F"/>
    <w:rsid w:val="00432B6F"/>
    <w:rsid w:val="0043358F"/>
    <w:rsid w:val="00433CE5"/>
    <w:rsid w:val="00434652"/>
    <w:rsid w:val="00434B30"/>
    <w:rsid w:val="00434D25"/>
    <w:rsid w:val="00435A9C"/>
    <w:rsid w:val="0043770E"/>
    <w:rsid w:val="00437B5B"/>
    <w:rsid w:val="00440CB9"/>
    <w:rsid w:val="004424C1"/>
    <w:rsid w:val="00443806"/>
    <w:rsid w:val="00443DC7"/>
    <w:rsid w:val="00444844"/>
    <w:rsid w:val="004459FC"/>
    <w:rsid w:val="004468D2"/>
    <w:rsid w:val="00446C7F"/>
    <w:rsid w:val="00447A44"/>
    <w:rsid w:val="00447A67"/>
    <w:rsid w:val="0045015E"/>
    <w:rsid w:val="0045058A"/>
    <w:rsid w:val="004518D0"/>
    <w:rsid w:val="0045209F"/>
    <w:rsid w:val="00452196"/>
    <w:rsid w:val="004522FC"/>
    <w:rsid w:val="0045292F"/>
    <w:rsid w:val="00454631"/>
    <w:rsid w:val="00454959"/>
    <w:rsid w:val="0045650A"/>
    <w:rsid w:val="00457745"/>
    <w:rsid w:val="0045794C"/>
    <w:rsid w:val="0046254C"/>
    <w:rsid w:val="004627D8"/>
    <w:rsid w:val="004644B7"/>
    <w:rsid w:val="00464926"/>
    <w:rsid w:val="00465DCC"/>
    <w:rsid w:val="00466F4E"/>
    <w:rsid w:val="00467F74"/>
    <w:rsid w:val="0047146C"/>
    <w:rsid w:val="00471D29"/>
    <w:rsid w:val="00472842"/>
    <w:rsid w:val="004731C9"/>
    <w:rsid w:val="00473568"/>
    <w:rsid w:val="004735A8"/>
    <w:rsid w:val="00473DA9"/>
    <w:rsid w:val="0047469B"/>
    <w:rsid w:val="00474759"/>
    <w:rsid w:val="004753AC"/>
    <w:rsid w:val="00475689"/>
    <w:rsid w:val="004758E8"/>
    <w:rsid w:val="00476932"/>
    <w:rsid w:val="00476D94"/>
    <w:rsid w:val="0048050B"/>
    <w:rsid w:val="00481DB1"/>
    <w:rsid w:val="00482328"/>
    <w:rsid w:val="00482CD7"/>
    <w:rsid w:val="004839B6"/>
    <w:rsid w:val="00484D19"/>
    <w:rsid w:val="0048699E"/>
    <w:rsid w:val="00486B18"/>
    <w:rsid w:val="004875C3"/>
    <w:rsid w:val="00494F9F"/>
    <w:rsid w:val="0049558D"/>
    <w:rsid w:val="00496753"/>
    <w:rsid w:val="004A0066"/>
    <w:rsid w:val="004A0871"/>
    <w:rsid w:val="004A0FEF"/>
    <w:rsid w:val="004A10BF"/>
    <w:rsid w:val="004A14A0"/>
    <w:rsid w:val="004A40D8"/>
    <w:rsid w:val="004A4C7F"/>
    <w:rsid w:val="004A5D16"/>
    <w:rsid w:val="004A66D5"/>
    <w:rsid w:val="004B1987"/>
    <w:rsid w:val="004B21B4"/>
    <w:rsid w:val="004B3D9A"/>
    <w:rsid w:val="004B40B1"/>
    <w:rsid w:val="004B5CAB"/>
    <w:rsid w:val="004B5DA8"/>
    <w:rsid w:val="004C1D0E"/>
    <w:rsid w:val="004C2F39"/>
    <w:rsid w:val="004C317C"/>
    <w:rsid w:val="004C33B9"/>
    <w:rsid w:val="004C3E7E"/>
    <w:rsid w:val="004C445D"/>
    <w:rsid w:val="004C4BA6"/>
    <w:rsid w:val="004C4C6E"/>
    <w:rsid w:val="004C73DF"/>
    <w:rsid w:val="004C7636"/>
    <w:rsid w:val="004D0677"/>
    <w:rsid w:val="004D0A95"/>
    <w:rsid w:val="004D1058"/>
    <w:rsid w:val="004D135C"/>
    <w:rsid w:val="004D14DA"/>
    <w:rsid w:val="004D2B06"/>
    <w:rsid w:val="004D337F"/>
    <w:rsid w:val="004D3EED"/>
    <w:rsid w:val="004D3F03"/>
    <w:rsid w:val="004D4537"/>
    <w:rsid w:val="004D503D"/>
    <w:rsid w:val="004D5EA8"/>
    <w:rsid w:val="004D62AE"/>
    <w:rsid w:val="004D66CC"/>
    <w:rsid w:val="004D6F5B"/>
    <w:rsid w:val="004D791E"/>
    <w:rsid w:val="004E013F"/>
    <w:rsid w:val="004E0614"/>
    <w:rsid w:val="004E0C57"/>
    <w:rsid w:val="004E262E"/>
    <w:rsid w:val="004E28B9"/>
    <w:rsid w:val="004E33CF"/>
    <w:rsid w:val="004E4AF0"/>
    <w:rsid w:val="004E57FE"/>
    <w:rsid w:val="004E5D6D"/>
    <w:rsid w:val="004E6AA6"/>
    <w:rsid w:val="004F03CB"/>
    <w:rsid w:val="004F15A2"/>
    <w:rsid w:val="004F2150"/>
    <w:rsid w:val="004F2259"/>
    <w:rsid w:val="004F3C44"/>
    <w:rsid w:val="004F4359"/>
    <w:rsid w:val="004F4FE2"/>
    <w:rsid w:val="004F5B0C"/>
    <w:rsid w:val="004F5CA1"/>
    <w:rsid w:val="004F5F81"/>
    <w:rsid w:val="004F6C5E"/>
    <w:rsid w:val="004F79D7"/>
    <w:rsid w:val="004F7BDE"/>
    <w:rsid w:val="00500168"/>
    <w:rsid w:val="00500304"/>
    <w:rsid w:val="0050245D"/>
    <w:rsid w:val="00502839"/>
    <w:rsid w:val="00502B18"/>
    <w:rsid w:val="005030A1"/>
    <w:rsid w:val="005031E4"/>
    <w:rsid w:val="005035EC"/>
    <w:rsid w:val="00504DE0"/>
    <w:rsid w:val="00505449"/>
    <w:rsid w:val="00505D52"/>
    <w:rsid w:val="005062AD"/>
    <w:rsid w:val="00506632"/>
    <w:rsid w:val="00506C37"/>
    <w:rsid w:val="00507284"/>
    <w:rsid w:val="00511B5D"/>
    <w:rsid w:val="0051340C"/>
    <w:rsid w:val="00514143"/>
    <w:rsid w:val="00514276"/>
    <w:rsid w:val="00514FFB"/>
    <w:rsid w:val="00515B03"/>
    <w:rsid w:val="00517BC0"/>
    <w:rsid w:val="00517CDF"/>
    <w:rsid w:val="0052060E"/>
    <w:rsid w:val="00520C8D"/>
    <w:rsid w:val="0052105D"/>
    <w:rsid w:val="00521A5F"/>
    <w:rsid w:val="00522443"/>
    <w:rsid w:val="005224E6"/>
    <w:rsid w:val="00522FD2"/>
    <w:rsid w:val="00523920"/>
    <w:rsid w:val="005245B1"/>
    <w:rsid w:val="005246C0"/>
    <w:rsid w:val="00524A94"/>
    <w:rsid w:val="00524BFA"/>
    <w:rsid w:val="00524D92"/>
    <w:rsid w:val="0052537A"/>
    <w:rsid w:val="0052545C"/>
    <w:rsid w:val="00525DEF"/>
    <w:rsid w:val="00526899"/>
    <w:rsid w:val="005279C9"/>
    <w:rsid w:val="00527AC3"/>
    <w:rsid w:val="0053004F"/>
    <w:rsid w:val="00530487"/>
    <w:rsid w:val="00530B54"/>
    <w:rsid w:val="00530C1B"/>
    <w:rsid w:val="005311B0"/>
    <w:rsid w:val="005317B8"/>
    <w:rsid w:val="00532B50"/>
    <w:rsid w:val="00533E20"/>
    <w:rsid w:val="00536431"/>
    <w:rsid w:val="0054083E"/>
    <w:rsid w:val="0054116D"/>
    <w:rsid w:val="00541569"/>
    <w:rsid w:val="0054195D"/>
    <w:rsid w:val="00542302"/>
    <w:rsid w:val="0054238C"/>
    <w:rsid w:val="005429A3"/>
    <w:rsid w:val="00545E17"/>
    <w:rsid w:val="00547177"/>
    <w:rsid w:val="00547FA8"/>
    <w:rsid w:val="005501E4"/>
    <w:rsid w:val="00550DA7"/>
    <w:rsid w:val="005514F6"/>
    <w:rsid w:val="00551989"/>
    <w:rsid w:val="00551BCA"/>
    <w:rsid w:val="00554716"/>
    <w:rsid w:val="00554CD3"/>
    <w:rsid w:val="005557A7"/>
    <w:rsid w:val="0055597C"/>
    <w:rsid w:val="00556E63"/>
    <w:rsid w:val="005608D3"/>
    <w:rsid w:val="0056090B"/>
    <w:rsid w:val="00562484"/>
    <w:rsid w:val="00562523"/>
    <w:rsid w:val="005629B0"/>
    <w:rsid w:val="00562B9E"/>
    <w:rsid w:val="0056395B"/>
    <w:rsid w:val="00565302"/>
    <w:rsid w:val="0056540B"/>
    <w:rsid w:val="005657F2"/>
    <w:rsid w:val="0056591F"/>
    <w:rsid w:val="00565BEB"/>
    <w:rsid w:val="00566CA0"/>
    <w:rsid w:val="0057021D"/>
    <w:rsid w:val="00571A49"/>
    <w:rsid w:val="0057214B"/>
    <w:rsid w:val="005725CA"/>
    <w:rsid w:val="00572775"/>
    <w:rsid w:val="00572B8D"/>
    <w:rsid w:val="00572E51"/>
    <w:rsid w:val="0057363B"/>
    <w:rsid w:val="0057439F"/>
    <w:rsid w:val="00575341"/>
    <w:rsid w:val="005759C9"/>
    <w:rsid w:val="00576F9D"/>
    <w:rsid w:val="00577407"/>
    <w:rsid w:val="005800C5"/>
    <w:rsid w:val="00580E14"/>
    <w:rsid w:val="00582345"/>
    <w:rsid w:val="00582402"/>
    <w:rsid w:val="005847A3"/>
    <w:rsid w:val="00584AFC"/>
    <w:rsid w:val="0058590D"/>
    <w:rsid w:val="00586046"/>
    <w:rsid w:val="00591BA2"/>
    <w:rsid w:val="00591FFC"/>
    <w:rsid w:val="00592811"/>
    <w:rsid w:val="00592D7E"/>
    <w:rsid w:val="0059367D"/>
    <w:rsid w:val="00593F05"/>
    <w:rsid w:val="005943AC"/>
    <w:rsid w:val="00594786"/>
    <w:rsid w:val="00594B51"/>
    <w:rsid w:val="00595004"/>
    <w:rsid w:val="0059503E"/>
    <w:rsid w:val="005956DB"/>
    <w:rsid w:val="005968F7"/>
    <w:rsid w:val="005977DF"/>
    <w:rsid w:val="005A1AA2"/>
    <w:rsid w:val="005A200A"/>
    <w:rsid w:val="005A28AC"/>
    <w:rsid w:val="005A381D"/>
    <w:rsid w:val="005A3CCB"/>
    <w:rsid w:val="005A3D13"/>
    <w:rsid w:val="005A42F2"/>
    <w:rsid w:val="005A4B41"/>
    <w:rsid w:val="005B0EA4"/>
    <w:rsid w:val="005B1376"/>
    <w:rsid w:val="005B1561"/>
    <w:rsid w:val="005B18E5"/>
    <w:rsid w:val="005B1984"/>
    <w:rsid w:val="005B1F3E"/>
    <w:rsid w:val="005B2288"/>
    <w:rsid w:val="005B28FD"/>
    <w:rsid w:val="005B2F28"/>
    <w:rsid w:val="005B3FD1"/>
    <w:rsid w:val="005B607F"/>
    <w:rsid w:val="005B616D"/>
    <w:rsid w:val="005B769A"/>
    <w:rsid w:val="005C0438"/>
    <w:rsid w:val="005C26C7"/>
    <w:rsid w:val="005C28B0"/>
    <w:rsid w:val="005C5E97"/>
    <w:rsid w:val="005C6521"/>
    <w:rsid w:val="005D10BD"/>
    <w:rsid w:val="005D2380"/>
    <w:rsid w:val="005D3CE8"/>
    <w:rsid w:val="005D44C0"/>
    <w:rsid w:val="005D5232"/>
    <w:rsid w:val="005D5E25"/>
    <w:rsid w:val="005D696D"/>
    <w:rsid w:val="005D6E5C"/>
    <w:rsid w:val="005D70E8"/>
    <w:rsid w:val="005D7991"/>
    <w:rsid w:val="005D7AFA"/>
    <w:rsid w:val="005E000B"/>
    <w:rsid w:val="005E0572"/>
    <w:rsid w:val="005E1CA2"/>
    <w:rsid w:val="005E25D1"/>
    <w:rsid w:val="005E2CCA"/>
    <w:rsid w:val="005E2E8C"/>
    <w:rsid w:val="005E32BF"/>
    <w:rsid w:val="005E3B56"/>
    <w:rsid w:val="005E416C"/>
    <w:rsid w:val="005E4695"/>
    <w:rsid w:val="005E4DE6"/>
    <w:rsid w:val="005E61D2"/>
    <w:rsid w:val="005E7945"/>
    <w:rsid w:val="005F0227"/>
    <w:rsid w:val="005F08A5"/>
    <w:rsid w:val="005F098E"/>
    <w:rsid w:val="005F183D"/>
    <w:rsid w:val="005F2B98"/>
    <w:rsid w:val="005F2D8B"/>
    <w:rsid w:val="005F2D94"/>
    <w:rsid w:val="005F2E38"/>
    <w:rsid w:val="005F3048"/>
    <w:rsid w:val="005F3395"/>
    <w:rsid w:val="005F3875"/>
    <w:rsid w:val="005F3EFB"/>
    <w:rsid w:val="005F4F11"/>
    <w:rsid w:val="005F500F"/>
    <w:rsid w:val="005F515D"/>
    <w:rsid w:val="005F54BE"/>
    <w:rsid w:val="005F5C1A"/>
    <w:rsid w:val="005F5F76"/>
    <w:rsid w:val="005F726C"/>
    <w:rsid w:val="005F7838"/>
    <w:rsid w:val="0060058F"/>
    <w:rsid w:val="00600DE4"/>
    <w:rsid w:val="0060175A"/>
    <w:rsid w:val="00601B49"/>
    <w:rsid w:val="00601BD9"/>
    <w:rsid w:val="006022D0"/>
    <w:rsid w:val="00603A9E"/>
    <w:rsid w:val="00605103"/>
    <w:rsid w:val="0060557C"/>
    <w:rsid w:val="00605840"/>
    <w:rsid w:val="00606A88"/>
    <w:rsid w:val="00606ABA"/>
    <w:rsid w:val="00606D41"/>
    <w:rsid w:val="006074FB"/>
    <w:rsid w:val="00610A9A"/>
    <w:rsid w:val="00610D26"/>
    <w:rsid w:val="006112F3"/>
    <w:rsid w:val="0061154F"/>
    <w:rsid w:val="006116A8"/>
    <w:rsid w:val="00612998"/>
    <w:rsid w:val="00613E6B"/>
    <w:rsid w:val="00614403"/>
    <w:rsid w:val="00615021"/>
    <w:rsid w:val="00616236"/>
    <w:rsid w:val="006175C2"/>
    <w:rsid w:val="006177F6"/>
    <w:rsid w:val="00620035"/>
    <w:rsid w:val="0062049B"/>
    <w:rsid w:val="0062060B"/>
    <w:rsid w:val="006209BE"/>
    <w:rsid w:val="00620AD3"/>
    <w:rsid w:val="00621515"/>
    <w:rsid w:val="0062198A"/>
    <w:rsid w:val="006219AB"/>
    <w:rsid w:val="00623560"/>
    <w:rsid w:val="0062434F"/>
    <w:rsid w:val="00624BF3"/>
    <w:rsid w:val="00625831"/>
    <w:rsid w:val="0062725C"/>
    <w:rsid w:val="006274DC"/>
    <w:rsid w:val="00627DD3"/>
    <w:rsid w:val="00627EB8"/>
    <w:rsid w:val="00631260"/>
    <w:rsid w:val="00631311"/>
    <w:rsid w:val="00631A62"/>
    <w:rsid w:val="00631BE4"/>
    <w:rsid w:val="00631C66"/>
    <w:rsid w:val="00632A41"/>
    <w:rsid w:val="00632A82"/>
    <w:rsid w:val="00633786"/>
    <w:rsid w:val="00633CD0"/>
    <w:rsid w:val="0063452F"/>
    <w:rsid w:val="006345F1"/>
    <w:rsid w:val="00635687"/>
    <w:rsid w:val="00636444"/>
    <w:rsid w:val="00637BBE"/>
    <w:rsid w:val="006401B7"/>
    <w:rsid w:val="0064041A"/>
    <w:rsid w:val="00640B07"/>
    <w:rsid w:val="00640B0B"/>
    <w:rsid w:val="0064166C"/>
    <w:rsid w:val="00641A15"/>
    <w:rsid w:val="00643995"/>
    <w:rsid w:val="006439D3"/>
    <w:rsid w:val="00644769"/>
    <w:rsid w:val="0064543E"/>
    <w:rsid w:val="00645FC8"/>
    <w:rsid w:val="00646294"/>
    <w:rsid w:val="006463BA"/>
    <w:rsid w:val="00646C73"/>
    <w:rsid w:val="00650D77"/>
    <w:rsid w:val="00650F77"/>
    <w:rsid w:val="00651638"/>
    <w:rsid w:val="006517D3"/>
    <w:rsid w:val="00652452"/>
    <w:rsid w:val="006525FC"/>
    <w:rsid w:val="00652B36"/>
    <w:rsid w:val="0065358B"/>
    <w:rsid w:val="00653DB7"/>
    <w:rsid w:val="00654BB5"/>
    <w:rsid w:val="00657199"/>
    <w:rsid w:val="006600EB"/>
    <w:rsid w:val="006617BD"/>
    <w:rsid w:val="006617F2"/>
    <w:rsid w:val="006628AF"/>
    <w:rsid w:val="00662BFE"/>
    <w:rsid w:val="00662E87"/>
    <w:rsid w:val="00664487"/>
    <w:rsid w:val="00664DEA"/>
    <w:rsid w:val="00665821"/>
    <w:rsid w:val="00665A7F"/>
    <w:rsid w:val="00666085"/>
    <w:rsid w:val="00666CAA"/>
    <w:rsid w:val="006670B8"/>
    <w:rsid w:val="00667976"/>
    <w:rsid w:val="00670003"/>
    <w:rsid w:val="00670033"/>
    <w:rsid w:val="00670C6B"/>
    <w:rsid w:val="006722E2"/>
    <w:rsid w:val="00672D6F"/>
    <w:rsid w:val="00672E5C"/>
    <w:rsid w:val="00673329"/>
    <w:rsid w:val="006735F2"/>
    <w:rsid w:val="00673B14"/>
    <w:rsid w:val="0067419C"/>
    <w:rsid w:val="006746CB"/>
    <w:rsid w:val="00675566"/>
    <w:rsid w:val="00676AA6"/>
    <w:rsid w:val="00677966"/>
    <w:rsid w:val="00680AF7"/>
    <w:rsid w:val="0068132B"/>
    <w:rsid w:val="00682081"/>
    <w:rsid w:val="006828F0"/>
    <w:rsid w:val="00683900"/>
    <w:rsid w:val="00683AA5"/>
    <w:rsid w:val="0068423E"/>
    <w:rsid w:val="0068486C"/>
    <w:rsid w:val="00685735"/>
    <w:rsid w:val="00686492"/>
    <w:rsid w:val="00686609"/>
    <w:rsid w:val="00686B52"/>
    <w:rsid w:val="00686C9A"/>
    <w:rsid w:val="006908D2"/>
    <w:rsid w:val="00691636"/>
    <w:rsid w:val="00691C9F"/>
    <w:rsid w:val="00691D49"/>
    <w:rsid w:val="00693AE3"/>
    <w:rsid w:val="00693D97"/>
    <w:rsid w:val="00693F99"/>
    <w:rsid w:val="00694CAE"/>
    <w:rsid w:val="00695E63"/>
    <w:rsid w:val="006A103F"/>
    <w:rsid w:val="006A13A0"/>
    <w:rsid w:val="006A1679"/>
    <w:rsid w:val="006A6624"/>
    <w:rsid w:val="006A7688"/>
    <w:rsid w:val="006A7AAC"/>
    <w:rsid w:val="006A7AAF"/>
    <w:rsid w:val="006A7E36"/>
    <w:rsid w:val="006B010D"/>
    <w:rsid w:val="006B05DA"/>
    <w:rsid w:val="006B0F46"/>
    <w:rsid w:val="006B29F6"/>
    <w:rsid w:val="006B328C"/>
    <w:rsid w:val="006B37C3"/>
    <w:rsid w:val="006B3F97"/>
    <w:rsid w:val="006B5174"/>
    <w:rsid w:val="006B594A"/>
    <w:rsid w:val="006B61AA"/>
    <w:rsid w:val="006B74C5"/>
    <w:rsid w:val="006C0A40"/>
    <w:rsid w:val="006C0E66"/>
    <w:rsid w:val="006C0E91"/>
    <w:rsid w:val="006C1F36"/>
    <w:rsid w:val="006C252C"/>
    <w:rsid w:val="006C264D"/>
    <w:rsid w:val="006C2846"/>
    <w:rsid w:val="006C2A83"/>
    <w:rsid w:val="006C3FA9"/>
    <w:rsid w:val="006C51B8"/>
    <w:rsid w:val="006C5265"/>
    <w:rsid w:val="006C5FEC"/>
    <w:rsid w:val="006C67EC"/>
    <w:rsid w:val="006C6C0A"/>
    <w:rsid w:val="006C6DBB"/>
    <w:rsid w:val="006C70C9"/>
    <w:rsid w:val="006C7389"/>
    <w:rsid w:val="006C77A8"/>
    <w:rsid w:val="006C795D"/>
    <w:rsid w:val="006C7A68"/>
    <w:rsid w:val="006D0147"/>
    <w:rsid w:val="006D0237"/>
    <w:rsid w:val="006D096A"/>
    <w:rsid w:val="006D0F44"/>
    <w:rsid w:val="006D1344"/>
    <w:rsid w:val="006D3B2E"/>
    <w:rsid w:val="006D3C46"/>
    <w:rsid w:val="006D479A"/>
    <w:rsid w:val="006D4D93"/>
    <w:rsid w:val="006D4F6E"/>
    <w:rsid w:val="006D5919"/>
    <w:rsid w:val="006D6244"/>
    <w:rsid w:val="006D7872"/>
    <w:rsid w:val="006D7B7F"/>
    <w:rsid w:val="006E014B"/>
    <w:rsid w:val="006E03D3"/>
    <w:rsid w:val="006E0736"/>
    <w:rsid w:val="006E1666"/>
    <w:rsid w:val="006E198B"/>
    <w:rsid w:val="006E25E2"/>
    <w:rsid w:val="006E330B"/>
    <w:rsid w:val="006E37E9"/>
    <w:rsid w:val="006E4DD7"/>
    <w:rsid w:val="006E518C"/>
    <w:rsid w:val="006E5F8F"/>
    <w:rsid w:val="006E6864"/>
    <w:rsid w:val="006E7BDE"/>
    <w:rsid w:val="006F043C"/>
    <w:rsid w:val="006F203A"/>
    <w:rsid w:val="006F251C"/>
    <w:rsid w:val="006F2E3A"/>
    <w:rsid w:val="006F3DFC"/>
    <w:rsid w:val="006F4069"/>
    <w:rsid w:val="006F4221"/>
    <w:rsid w:val="006F476B"/>
    <w:rsid w:val="006F4A43"/>
    <w:rsid w:val="006F5347"/>
    <w:rsid w:val="006F5867"/>
    <w:rsid w:val="006F593A"/>
    <w:rsid w:val="006F5A28"/>
    <w:rsid w:val="006F64EE"/>
    <w:rsid w:val="006F7A74"/>
    <w:rsid w:val="00700C42"/>
    <w:rsid w:val="007024D3"/>
    <w:rsid w:val="0070256B"/>
    <w:rsid w:val="00702CDF"/>
    <w:rsid w:val="00703327"/>
    <w:rsid w:val="007034B5"/>
    <w:rsid w:val="00703DC8"/>
    <w:rsid w:val="00703FB5"/>
    <w:rsid w:val="00704528"/>
    <w:rsid w:val="0070589B"/>
    <w:rsid w:val="00705DE2"/>
    <w:rsid w:val="007062F2"/>
    <w:rsid w:val="007065A4"/>
    <w:rsid w:val="00706716"/>
    <w:rsid w:val="0070685D"/>
    <w:rsid w:val="00707061"/>
    <w:rsid w:val="0071015D"/>
    <w:rsid w:val="007123DB"/>
    <w:rsid w:val="0071339B"/>
    <w:rsid w:val="007138E5"/>
    <w:rsid w:val="007140FC"/>
    <w:rsid w:val="00714EBE"/>
    <w:rsid w:val="007157C6"/>
    <w:rsid w:val="0071639C"/>
    <w:rsid w:val="0071652C"/>
    <w:rsid w:val="00716FED"/>
    <w:rsid w:val="00717DA1"/>
    <w:rsid w:val="00722040"/>
    <w:rsid w:val="0072249F"/>
    <w:rsid w:val="00723361"/>
    <w:rsid w:val="00723A85"/>
    <w:rsid w:val="00725033"/>
    <w:rsid w:val="00725E99"/>
    <w:rsid w:val="00727751"/>
    <w:rsid w:val="00730E21"/>
    <w:rsid w:val="00730FA5"/>
    <w:rsid w:val="0073136D"/>
    <w:rsid w:val="00731B17"/>
    <w:rsid w:val="00731D5B"/>
    <w:rsid w:val="00731FB7"/>
    <w:rsid w:val="00732857"/>
    <w:rsid w:val="00732C1A"/>
    <w:rsid w:val="0073391E"/>
    <w:rsid w:val="007339AE"/>
    <w:rsid w:val="0073429E"/>
    <w:rsid w:val="00734301"/>
    <w:rsid w:val="007343C5"/>
    <w:rsid w:val="007346C3"/>
    <w:rsid w:val="0073504C"/>
    <w:rsid w:val="007363CD"/>
    <w:rsid w:val="007365A7"/>
    <w:rsid w:val="0073715E"/>
    <w:rsid w:val="007377D1"/>
    <w:rsid w:val="00740410"/>
    <w:rsid w:val="00741908"/>
    <w:rsid w:val="007425C5"/>
    <w:rsid w:val="00742D24"/>
    <w:rsid w:val="00743062"/>
    <w:rsid w:val="00743438"/>
    <w:rsid w:val="007437A1"/>
    <w:rsid w:val="00744BF8"/>
    <w:rsid w:val="007464DF"/>
    <w:rsid w:val="0074696B"/>
    <w:rsid w:val="00746DFF"/>
    <w:rsid w:val="00746E06"/>
    <w:rsid w:val="007474B5"/>
    <w:rsid w:val="00747C75"/>
    <w:rsid w:val="00750614"/>
    <w:rsid w:val="00750D18"/>
    <w:rsid w:val="0075297D"/>
    <w:rsid w:val="007539A3"/>
    <w:rsid w:val="00753A8D"/>
    <w:rsid w:val="00753F01"/>
    <w:rsid w:val="00754C45"/>
    <w:rsid w:val="00754F43"/>
    <w:rsid w:val="0075572F"/>
    <w:rsid w:val="00755C4A"/>
    <w:rsid w:val="007560BE"/>
    <w:rsid w:val="00756A2C"/>
    <w:rsid w:val="00756E9F"/>
    <w:rsid w:val="00760170"/>
    <w:rsid w:val="00760ADC"/>
    <w:rsid w:val="00760E8C"/>
    <w:rsid w:val="00761716"/>
    <w:rsid w:val="00762899"/>
    <w:rsid w:val="00762F00"/>
    <w:rsid w:val="00764929"/>
    <w:rsid w:val="00764EC0"/>
    <w:rsid w:val="007658B5"/>
    <w:rsid w:val="00765ECB"/>
    <w:rsid w:val="00767050"/>
    <w:rsid w:val="00770087"/>
    <w:rsid w:val="007703DC"/>
    <w:rsid w:val="00770739"/>
    <w:rsid w:val="00770EB1"/>
    <w:rsid w:val="00771252"/>
    <w:rsid w:val="00771C08"/>
    <w:rsid w:val="00773542"/>
    <w:rsid w:val="0077436F"/>
    <w:rsid w:val="00775437"/>
    <w:rsid w:val="007776BA"/>
    <w:rsid w:val="00780A21"/>
    <w:rsid w:val="0078133E"/>
    <w:rsid w:val="007831D7"/>
    <w:rsid w:val="00784156"/>
    <w:rsid w:val="00785511"/>
    <w:rsid w:val="007855F8"/>
    <w:rsid w:val="0078688C"/>
    <w:rsid w:val="00787ED5"/>
    <w:rsid w:val="00787F9C"/>
    <w:rsid w:val="00792E8A"/>
    <w:rsid w:val="00795381"/>
    <w:rsid w:val="0079611C"/>
    <w:rsid w:val="0079739D"/>
    <w:rsid w:val="00797745"/>
    <w:rsid w:val="007A00BE"/>
    <w:rsid w:val="007A1E7B"/>
    <w:rsid w:val="007A272D"/>
    <w:rsid w:val="007A35DA"/>
    <w:rsid w:val="007A41C4"/>
    <w:rsid w:val="007A4370"/>
    <w:rsid w:val="007A611E"/>
    <w:rsid w:val="007A6239"/>
    <w:rsid w:val="007A7C46"/>
    <w:rsid w:val="007B0468"/>
    <w:rsid w:val="007B0961"/>
    <w:rsid w:val="007B17C0"/>
    <w:rsid w:val="007B197B"/>
    <w:rsid w:val="007B2F52"/>
    <w:rsid w:val="007B390A"/>
    <w:rsid w:val="007B4874"/>
    <w:rsid w:val="007B5379"/>
    <w:rsid w:val="007B5ED7"/>
    <w:rsid w:val="007B5F88"/>
    <w:rsid w:val="007B69B9"/>
    <w:rsid w:val="007B7074"/>
    <w:rsid w:val="007C070A"/>
    <w:rsid w:val="007C2081"/>
    <w:rsid w:val="007C410A"/>
    <w:rsid w:val="007C431C"/>
    <w:rsid w:val="007C447E"/>
    <w:rsid w:val="007C4529"/>
    <w:rsid w:val="007C7509"/>
    <w:rsid w:val="007C7F3E"/>
    <w:rsid w:val="007D0422"/>
    <w:rsid w:val="007D0E2F"/>
    <w:rsid w:val="007D343F"/>
    <w:rsid w:val="007D6003"/>
    <w:rsid w:val="007D60EF"/>
    <w:rsid w:val="007D7C6D"/>
    <w:rsid w:val="007E0198"/>
    <w:rsid w:val="007E03A5"/>
    <w:rsid w:val="007E099D"/>
    <w:rsid w:val="007E1211"/>
    <w:rsid w:val="007E14BB"/>
    <w:rsid w:val="007E1CF2"/>
    <w:rsid w:val="007E33A0"/>
    <w:rsid w:val="007E3BB0"/>
    <w:rsid w:val="007E414F"/>
    <w:rsid w:val="007E41B3"/>
    <w:rsid w:val="007E59F3"/>
    <w:rsid w:val="007E67D8"/>
    <w:rsid w:val="007E7689"/>
    <w:rsid w:val="007F17D4"/>
    <w:rsid w:val="007F1E1B"/>
    <w:rsid w:val="007F2ACD"/>
    <w:rsid w:val="007F2D86"/>
    <w:rsid w:val="007F305C"/>
    <w:rsid w:val="007F3A1F"/>
    <w:rsid w:val="007F6491"/>
    <w:rsid w:val="0080011C"/>
    <w:rsid w:val="008002D6"/>
    <w:rsid w:val="008008B3"/>
    <w:rsid w:val="008019FF"/>
    <w:rsid w:val="008025D0"/>
    <w:rsid w:val="00803994"/>
    <w:rsid w:val="00803A6C"/>
    <w:rsid w:val="00803EBC"/>
    <w:rsid w:val="00807406"/>
    <w:rsid w:val="00807410"/>
    <w:rsid w:val="008078C4"/>
    <w:rsid w:val="00810031"/>
    <w:rsid w:val="00811013"/>
    <w:rsid w:val="00811070"/>
    <w:rsid w:val="00812BFB"/>
    <w:rsid w:val="00813100"/>
    <w:rsid w:val="00813573"/>
    <w:rsid w:val="00813CC6"/>
    <w:rsid w:val="00813CF0"/>
    <w:rsid w:val="00815BE7"/>
    <w:rsid w:val="00816328"/>
    <w:rsid w:val="008174EB"/>
    <w:rsid w:val="00817782"/>
    <w:rsid w:val="008205A5"/>
    <w:rsid w:val="00820BF6"/>
    <w:rsid w:val="00821711"/>
    <w:rsid w:val="00822ADE"/>
    <w:rsid w:val="008233CB"/>
    <w:rsid w:val="00825DDE"/>
    <w:rsid w:val="008268A2"/>
    <w:rsid w:val="00827E87"/>
    <w:rsid w:val="008309CE"/>
    <w:rsid w:val="00830AF5"/>
    <w:rsid w:val="00830E0D"/>
    <w:rsid w:val="0083156D"/>
    <w:rsid w:val="00832FF1"/>
    <w:rsid w:val="00833B89"/>
    <w:rsid w:val="00834403"/>
    <w:rsid w:val="00834F7C"/>
    <w:rsid w:val="00836BB5"/>
    <w:rsid w:val="00836C2E"/>
    <w:rsid w:val="0083710C"/>
    <w:rsid w:val="008375C7"/>
    <w:rsid w:val="008401E9"/>
    <w:rsid w:val="008405D7"/>
    <w:rsid w:val="00840730"/>
    <w:rsid w:val="008414A7"/>
    <w:rsid w:val="00841532"/>
    <w:rsid w:val="00842671"/>
    <w:rsid w:val="00842688"/>
    <w:rsid w:val="00843C2B"/>
    <w:rsid w:val="00844852"/>
    <w:rsid w:val="008451F5"/>
    <w:rsid w:val="008460D7"/>
    <w:rsid w:val="00846CC8"/>
    <w:rsid w:val="00846E34"/>
    <w:rsid w:val="00847464"/>
    <w:rsid w:val="0085000D"/>
    <w:rsid w:val="00850FD3"/>
    <w:rsid w:val="00852377"/>
    <w:rsid w:val="00852726"/>
    <w:rsid w:val="00852B60"/>
    <w:rsid w:val="00854198"/>
    <w:rsid w:val="00854E95"/>
    <w:rsid w:val="0085541D"/>
    <w:rsid w:val="0085615D"/>
    <w:rsid w:val="008569BD"/>
    <w:rsid w:val="00856C16"/>
    <w:rsid w:val="0085737E"/>
    <w:rsid w:val="008579E4"/>
    <w:rsid w:val="008602E6"/>
    <w:rsid w:val="008605DB"/>
    <w:rsid w:val="00860924"/>
    <w:rsid w:val="00861265"/>
    <w:rsid w:val="00861809"/>
    <w:rsid w:val="00862848"/>
    <w:rsid w:val="00862954"/>
    <w:rsid w:val="00863236"/>
    <w:rsid w:val="00863919"/>
    <w:rsid w:val="00864BCD"/>
    <w:rsid w:val="00865D21"/>
    <w:rsid w:val="00866366"/>
    <w:rsid w:val="00866E46"/>
    <w:rsid w:val="0087047E"/>
    <w:rsid w:val="00870BEE"/>
    <w:rsid w:val="00871755"/>
    <w:rsid w:val="008717E3"/>
    <w:rsid w:val="00871867"/>
    <w:rsid w:val="00871F2F"/>
    <w:rsid w:val="0087210E"/>
    <w:rsid w:val="00872572"/>
    <w:rsid w:val="00872B95"/>
    <w:rsid w:val="00876E20"/>
    <w:rsid w:val="00876F89"/>
    <w:rsid w:val="00877094"/>
    <w:rsid w:val="008777CB"/>
    <w:rsid w:val="008805DE"/>
    <w:rsid w:val="0088074F"/>
    <w:rsid w:val="00880EA2"/>
    <w:rsid w:val="008814E2"/>
    <w:rsid w:val="00881669"/>
    <w:rsid w:val="00881DAF"/>
    <w:rsid w:val="00881FFD"/>
    <w:rsid w:val="008847BF"/>
    <w:rsid w:val="008851E6"/>
    <w:rsid w:val="008860FE"/>
    <w:rsid w:val="00886FA2"/>
    <w:rsid w:val="00887C65"/>
    <w:rsid w:val="00890FA6"/>
    <w:rsid w:val="0089202C"/>
    <w:rsid w:val="00893B00"/>
    <w:rsid w:val="00893FF4"/>
    <w:rsid w:val="00894157"/>
    <w:rsid w:val="00894546"/>
    <w:rsid w:val="00895385"/>
    <w:rsid w:val="00895810"/>
    <w:rsid w:val="00895830"/>
    <w:rsid w:val="008966DB"/>
    <w:rsid w:val="008971F2"/>
    <w:rsid w:val="00897ACF"/>
    <w:rsid w:val="008A070B"/>
    <w:rsid w:val="008A1E90"/>
    <w:rsid w:val="008A2A2F"/>
    <w:rsid w:val="008A3072"/>
    <w:rsid w:val="008A34A4"/>
    <w:rsid w:val="008A3F4C"/>
    <w:rsid w:val="008A4D35"/>
    <w:rsid w:val="008A6173"/>
    <w:rsid w:val="008A61D0"/>
    <w:rsid w:val="008A61F4"/>
    <w:rsid w:val="008B12D9"/>
    <w:rsid w:val="008B1F87"/>
    <w:rsid w:val="008B2BCA"/>
    <w:rsid w:val="008B2C49"/>
    <w:rsid w:val="008B4439"/>
    <w:rsid w:val="008B4654"/>
    <w:rsid w:val="008B66F0"/>
    <w:rsid w:val="008B695B"/>
    <w:rsid w:val="008B72C4"/>
    <w:rsid w:val="008B7FE4"/>
    <w:rsid w:val="008C08B9"/>
    <w:rsid w:val="008C0B5A"/>
    <w:rsid w:val="008C2F53"/>
    <w:rsid w:val="008C3E9E"/>
    <w:rsid w:val="008C4DE5"/>
    <w:rsid w:val="008C53DF"/>
    <w:rsid w:val="008C59E8"/>
    <w:rsid w:val="008C5AA7"/>
    <w:rsid w:val="008C6639"/>
    <w:rsid w:val="008C7F4E"/>
    <w:rsid w:val="008C7FBF"/>
    <w:rsid w:val="008D0779"/>
    <w:rsid w:val="008D0C80"/>
    <w:rsid w:val="008D1513"/>
    <w:rsid w:val="008D25F9"/>
    <w:rsid w:val="008D28EF"/>
    <w:rsid w:val="008D3937"/>
    <w:rsid w:val="008D4A68"/>
    <w:rsid w:val="008D521C"/>
    <w:rsid w:val="008D56D2"/>
    <w:rsid w:val="008D6502"/>
    <w:rsid w:val="008D6A20"/>
    <w:rsid w:val="008D748B"/>
    <w:rsid w:val="008D7774"/>
    <w:rsid w:val="008D7826"/>
    <w:rsid w:val="008E01D0"/>
    <w:rsid w:val="008E1921"/>
    <w:rsid w:val="008E2CF3"/>
    <w:rsid w:val="008E2DBF"/>
    <w:rsid w:val="008E3008"/>
    <w:rsid w:val="008E31EF"/>
    <w:rsid w:val="008E4387"/>
    <w:rsid w:val="008E4A3E"/>
    <w:rsid w:val="008E5D64"/>
    <w:rsid w:val="008E7889"/>
    <w:rsid w:val="008E7C49"/>
    <w:rsid w:val="008F0D9A"/>
    <w:rsid w:val="008F1660"/>
    <w:rsid w:val="008F1DE9"/>
    <w:rsid w:val="008F2409"/>
    <w:rsid w:val="008F2845"/>
    <w:rsid w:val="008F35BA"/>
    <w:rsid w:val="008F3F72"/>
    <w:rsid w:val="008F5CD3"/>
    <w:rsid w:val="008F5E66"/>
    <w:rsid w:val="008F65A1"/>
    <w:rsid w:val="008F670F"/>
    <w:rsid w:val="00900845"/>
    <w:rsid w:val="009015A2"/>
    <w:rsid w:val="009015D9"/>
    <w:rsid w:val="009028D4"/>
    <w:rsid w:val="0090582A"/>
    <w:rsid w:val="00906671"/>
    <w:rsid w:val="00906FE0"/>
    <w:rsid w:val="009076DE"/>
    <w:rsid w:val="00907733"/>
    <w:rsid w:val="00907C23"/>
    <w:rsid w:val="00910066"/>
    <w:rsid w:val="009118B7"/>
    <w:rsid w:val="00912F48"/>
    <w:rsid w:val="00914FA2"/>
    <w:rsid w:val="009155B1"/>
    <w:rsid w:val="00917159"/>
    <w:rsid w:val="00917F56"/>
    <w:rsid w:val="009208DA"/>
    <w:rsid w:val="00920AF6"/>
    <w:rsid w:val="00920C0C"/>
    <w:rsid w:val="00921D86"/>
    <w:rsid w:val="00922D6B"/>
    <w:rsid w:val="00923A70"/>
    <w:rsid w:val="00924546"/>
    <w:rsid w:val="00924FD2"/>
    <w:rsid w:val="0092606C"/>
    <w:rsid w:val="00926556"/>
    <w:rsid w:val="009267D9"/>
    <w:rsid w:val="009268DB"/>
    <w:rsid w:val="0092702B"/>
    <w:rsid w:val="00927711"/>
    <w:rsid w:val="00930EB2"/>
    <w:rsid w:val="00930F35"/>
    <w:rsid w:val="00931A97"/>
    <w:rsid w:val="0093288E"/>
    <w:rsid w:val="00934595"/>
    <w:rsid w:val="00934766"/>
    <w:rsid w:val="00934785"/>
    <w:rsid w:val="00934A3A"/>
    <w:rsid w:val="00934DCE"/>
    <w:rsid w:val="00936E48"/>
    <w:rsid w:val="00940995"/>
    <w:rsid w:val="009411B8"/>
    <w:rsid w:val="00941969"/>
    <w:rsid w:val="00941CB1"/>
    <w:rsid w:val="00942A4C"/>
    <w:rsid w:val="009433E5"/>
    <w:rsid w:val="0094434C"/>
    <w:rsid w:val="00944C93"/>
    <w:rsid w:val="009458AB"/>
    <w:rsid w:val="00946427"/>
    <w:rsid w:val="00947C78"/>
    <w:rsid w:val="009501CC"/>
    <w:rsid w:val="00950440"/>
    <w:rsid w:val="009519BB"/>
    <w:rsid w:val="00951A26"/>
    <w:rsid w:val="00952162"/>
    <w:rsid w:val="00952815"/>
    <w:rsid w:val="00952A19"/>
    <w:rsid w:val="00953069"/>
    <w:rsid w:val="00953536"/>
    <w:rsid w:val="00953972"/>
    <w:rsid w:val="00954878"/>
    <w:rsid w:val="00954957"/>
    <w:rsid w:val="00954B35"/>
    <w:rsid w:val="00954F1B"/>
    <w:rsid w:val="009551D0"/>
    <w:rsid w:val="00956E37"/>
    <w:rsid w:val="00961174"/>
    <w:rsid w:val="009613AD"/>
    <w:rsid w:val="00962B2B"/>
    <w:rsid w:val="00962CC0"/>
    <w:rsid w:val="0096304D"/>
    <w:rsid w:val="00963C48"/>
    <w:rsid w:val="00963F90"/>
    <w:rsid w:val="00964878"/>
    <w:rsid w:val="00964E88"/>
    <w:rsid w:val="00966E13"/>
    <w:rsid w:val="009715CF"/>
    <w:rsid w:val="00971A02"/>
    <w:rsid w:val="00972DAC"/>
    <w:rsid w:val="00973199"/>
    <w:rsid w:val="00973743"/>
    <w:rsid w:val="00973915"/>
    <w:rsid w:val="00973959"/>
    <w:rsid w:val="00974DCB"/>
    <w:rsid w:val="009751F3"/>
    <w:rsid w:val="009756DB"/>
    <w:rsid w:val="00975D30"/>
    <w:rsid w:val="00976342"/>
    <w:rsid w:val="009765D2"/>
    <w:rsid w:val="0097677A"/>
    <w:rsid w:val="0097760F"/>
    <w:rsid w:val="00977E29"/>
    <w:rsid w:val="00980014"/>
    <w:rsid w:val="00980854"/>
    <w:rsid w:val="00981371"/>
    <w:rsid w:val="00981D35"/>
    <w:rsid w:val="00982F4E"/>
    <w:rsid w:val="00983B31"/>
    <w:rsid w:val="009858F6"/>
    <w:rsid w:val="00986E17"/>
    <w:rsid w:val="009906CD"/>
    <w:rsid w:val="009915F1"/>
    <w:rsid w:val="009922B7"/>
    <w:rsid w:val="00995957"/>
    <w:rsid w:val="00996000"/>
    <w:rsid w:val="009965FF"/>
    <w:rsid w:val="00996DF0"/>
    <w:rsid w:val="0099711D"/>
    <w:rsid w:val="00997A3B"/>
    <w:rsid w:val="009A3781"/>
    <w:rsid w:val="009A397D"/>
    <w:rsid w:val="009A46C8"/>
    <w:rsid w:val="009A5161"/>
    <w:rsid w:val="009A66ED"/>
    <w:rsid w:val="009A686B"/>
    <w:rsid w:val="009A6A0A"/>
    <w:rsid w:val="009B0C12"/>
    <w:rsid w:val="009B0F32"/>
    <w:rsid w:val="009B128F"/>
    <w:rsid w:val="009B264B"/>
    <w:rsid w:val="009B2FEF"/>
    <w:rsid w:val="009B3216"/>
    <w:rsid w:val="009B39D1"/>
    <w:rsid w:val="009B4ACA"/>
    <w:rsid w:val="009B5483"/>
    <w:rsid w:val="009B5C59"/>
    <w:rsid w:val="009B6501"/>
    <w:rsid w:val="009B6ACE"/>
    <w:rsid w:val="009C14C8"/>
    <w:rsid w:val="009C1940"/>
    <w:rsid w:val="009C1D1C"/>
    <w:rsid w:val="009C2027"/>
    <w:rsid w:val="009C221D"/>
    <w:rsid w:val="009C2977"/>
    <w:rsid w:val="009C31D3"/>
    <w:rsid w:val="009C3769"/>
    <w:rsid w:val="009C48BD"/>
    <w:rsid w:val="009C748E"/>
    <w:rsid w:val="009C74B0"/>
    <w:rsid w:val="009C768E"/>
    <w:rsid w:val="009C789B"/>
    <w:rsid w:val="009C7BE4"/>
    <w:rsid w:val="009C7F7B"/>
    <w:rsid w:val="009D0C9C"/>
    <w:rsid w:val="009D12B8"/>
    <w:rsid w:val="009D2983"/>
    <w:rsid w:val="009D34EC"/>
    <w:rsid w:val="009D36FD"/>
    <w:rsid w:val="009D3BF4"/>
    <w:rsid w:val="009D3C57"/>
    <w:rsid w:val="009D3C80"/>
    <w:rsid w:val="009D3FC4"/>
    <w:rsid w:val="009D524D"/>
    <w:rsid w:val="009D590B"/>
    <w:rsid w:val="009D5A67"/>
    <w:rsid w:val="009D5B68"/>
    <w:rsid w:val="009D68F2"/>
    <w:rsid w:val="009D7257"/>
    <w:rsid w:val="009D79F7"/>
    <w:rsid w:val="009E0C8F"/>
    <w:rsid w:val="009E14BA"/>
    <w:rsid w:val="009E1F3E"/>
    <w:rsid w:val="009E1F5D"/>
    <w:rsid w:val="009E318F"/>
    <w:rsid w:val="009E33FE"/>
    <w:rsid w:val="009E3FB1"/>
    <w:rsid w:val="009E4564"/>
    <w:rsid w:val="009E4C3F"/>
    <w:rsid w:val="009E4E3C"/>
    <w:rsid w:val="009E5117"/>
    <w:rsid w:val="009E53F4"/>
    <w:rsid w:val="009E7091"/>
    <w:rsid w:val="009E7ABB"/>
    <w:rsid w:val="009F2777"/>
    <w:rsid w:val="009F45D5"/>
    <w:rsid w:val="009F4DE7"/>
    <w:rsid w:val="009F56C3"/>
    <w:rsid w:val="009F59FD"/>
    <w:rsid w:val="009F5B69"/>
    <w:rsid w:val="009F5C21"/>
    <w:rsid w:val="009F625A"/>
    <w:rsid w:val="009F678F"/>
    <w:rsid w:val="009F7072"/>
    <w:rsid w:val="009F7233"/>
    <w:rsid w:val="009F7864"/>
    <w:rsid w:val="00A010AA"/>
    <w:rsid w:val="00A0139F"/>
    <w:rsid w:val="00A01C61"/>
    <w:rsid w:val="00A02F37"/>
    <w:rsid w:val="00A03348"/>
    <w:rsid w:val="00A04254"/>
    <w:rsid w:val="00A045DB"/>
    <w:rsid w:val="00A0483A"/>
    <w:rsid w:val="00A0540D"/>
    <w:rsid w:val="00A0630E"/>
    <w:rsid w:val="00A06319"/>
    <w:rsid w:val="00A065E6"/>
    <w:rsid w:val="00A12741"/>
    <w:rsid w:val="00A12B1A"/>
    <w:rsid w:val="00A12F61"/>
    <w:rsid w:val="00A13380"/>
    <w:rsid w:val="00A15089"/>
    <w:rsid w:val="00A15462"/>
    <w:rsid w:val="00A1558C"/>
    <w:rsid w:val="00A16536"/>
    <w:rsid w:val="00A16A3B"/>
    <w:rsid w:val="00A16D19"/>
    <w:rsid w:val="00A2182D"/>
    <w:rsid w:val="00A21A74"/>
    <w:rsid w:val="00A237D6"/>
    <w:rsid w:val="00A23F2A"/>
    <w:rsid w:val="00A27AD4"/>
    <w:rsid w:val="00A27C0F"/>
    <w:rsid w:val="00A30328"/>
    <w:rsid w:val="00A30A65"/>
    <w:rsid w:val="00A30FF4"/>
    <w:rsid w:val="00A31CF7"/>
    <w:rsid w:val="00A31DF4"/>
    <w:rsid w:val="00A32644"/>
    <w:rsid w:val="00A32A7C"/>
    <w:rsid w:val="00A33826"/>
    <w:rsid w:val="00A33A91"/>
    <w:rsid w:val="00A34025"/>
    <w:rsid w:val="00A34CBA"/>
    <w:rsid w:val="00A34D72"/>
    <w:rsid w:val="00A36A10"/>
    <w:rsid w:val="00A4055D"/>
    <w:rsid w:val="00A40B89"/>
    <w:rsid w:val="00A41A6B"/>
    <w:rsid w:val="00A41E92"/>
    <w:rsid w:val="00A42654"/>
    <w:rsid w:val="00A439B5"/>
    <w:rsid w:val="00A43DEC"/>
    <w:rsid w:val="00A4415C"/>
    <w:rsid w:val="00A45E7F"/>
    <w:rsid w:val="00A4605D"/>
    <w:rsid w:val="00A46A70"/>
    <w:rsid w:val="00A470F6"/>
    <w:rsid w:val="00A500C1"/>
    <w:rsid w:val="00A506C0"/>
    <w:rsid w:val="00A50B61"/>
    <w:rsid w:val="00A51A93"/>
    <w:rsid w:val="00A52C3B"/>
    <w:rsid w:val="00A535A8"/>
    <w:rsid w:val="00A53BFE"/>
    <w:rsid w:val="00A54621"/>
    <w:rsid w:val="00A54B8E"/>
    <w:rsid w:val="00A56141"/>
    <w:rsid w:val="00A564EC"/>
    <w:rsid w:val="00A57193"/>
    <w:rsid w:val="00A571BF"/>
    <w:rsid w:val="00A578D6"/>
    <w:rsid w:val="00A57E4C"/>
    <w:rsid w:val="00A60BB2"/>
    <w:rsid w:val="00A60C19"/>
    <w:rsid w:val="00A61968"/>
    <w:rsid w:val="00A620C0"/>
    <w:rsid w:val="00A630B1"/>
    <w:rsid w:val="00A63324"/>
    <w:rsid w:val="00A64966"/>
    <w:rsid w:val="00A65006"/>
    <w:rsid w:val="00A65248"/>
    <w:rsid w:val="00A652DC"/>
    <w:rsid w:val="00A65A85"/>
    <w:rsid w:val="00A65E87"/>
    <w:rsid w:val="00A6669E"/>
    <w:rsid w:val="00A67F57"/>
    <w:rsid w:val="00A70CDC"/>
    <w:rsid w:val="00A71994"/>
    <w:rsid w:val="00A7212F"/>
    <w:rsid w:val="00A7237D"/>
    <w:rsid w:val="00A7366F"/>
    <w:rsid w:val="00A736A4"/>
    <w:rsid w:val="00A74A9A"/>
    <w:rsid w:val="00A75255"/>
    <w:rsid w:val="00A753DD"/>
    <w:rsid w:val="00A754D1"/>
    <w:rsid w:val="00A759E7"/>
    <w:rsid w:val="00A75EC1"/>
    <w:rsid w:val="00A762F8"/>
    <w:rsid w:val="00A7652F"/>
    <w:rsid w:val="00A77A17"/>
    <w:rsid w:val="00A813C1"/>
    <w:rsid w:val="00A815C2"/>
    <w:rsid w:val="00A815D6"/>
    <w:rsid w:val="00A8231F"/>
    <w:rsid w:val="00A82C6F"/>
    <w:rsid w:val="00A82ED3"/>
    <w:rsid w:val="00A837A3"/>
    <w:rsid w:val="00A83A34"/>
    <w:rsid w:val="00A842A8"/>
    <w:rsid w:val="00A86C1F"/>
    <w:rsid w:val="00A90A4A"/>
    <w:rsid w:val="00A919F1"/>
    <w:rsid w:val="00A92305"/>
    <w:rsid w:val="00A9268A"/>
    <w:rsid w:val="00A928BD"/>
    <w:rsid w:val="00A93358"/>
    <w:rsid w:val="00A93550"/>
    <w:rsid w:val="00A938DD"/>
    <w:rsid w:val="00A941F3"/>
    <w:rsid w:val="00A946BA"/>
    <w:rsid w:val="00A97B4A"/>
    <w:rsid w:val="00A97FA5"/>
    <w:rsid w:val="00AA0B37"/>
    <w:rsid w:val="00AA214F"/>
    <w:rsid w:val="00AA24FB"/>
    <w:rsid w:val="00AA338D"/>
    <w:rsid w:val="00AA383A"/>
    <w:rsid w:val="00AA3C4D"/>
    <w:rsid w:val="00AA576C"/>
    <w:rsid w:val="00AA5BBB"/>
    <w:rsid w:val="00AA5E4C"/>
    <w:rsid w:val="00AA6250"/>
    <w:rsid w:val="00AA69DB"/>
    <w:rsid w:val="00AA6C7C"/>
    <w:rsid w:val="00AA7640"/>
    <w:rsid w:val="00AA7713"/>
    <w:rsid w:val="00AA7FBC"/>
    <w:rsid w:val="00AB1562"/>
    <w:rsid w:val="00AB195A"/>
    <w:rsid w:val="00AB1D92"/>
    <w:rsid w:val="00AB2110"/>
    <w:rsid w:val="00AB26EF"/>
    <w:rsid w:val="00AB2921"/>
    <w:rsid w:val="00AB2B44"/>
    <w:rsid w:val="00AB3B37"/>
    <w:rsid w:val="00AB4DCD"/>
    <w:rsid w:val="00AB693C"/>
    <w:rsid w:val="00AB6C1D"/>
    <w:rsid w:val="00AB6F51"/>
    <w:rsid w:val="00AB7DF4"/>
    <w:rsid w:val="00AC0C86"/>
    <w:rsid w:val="00AC13DF"/>
    <w:rsid w:val="00AC16DF"/>
    <w:rsid w:val="00AC17D4"/>
    <w:rsid w:val="00AC2A76"/>
    <w:rsid w:val="00AC2ED9"/>
    <w:rsid w:val="00AC33F1"/>
    <w:rsid w:val="00AC3547"/>
    <w:rsid w:val="00AC3B9D"/>
    <w:rsid w:val="00AC5A9F"/>
    <w:rsid w:val="00AC650E"/>
    <w:rsid w:val="00AC7169"/>
    <w:rsid w:val="00AC7502"/>
    <w:rsid w:val="00AC7A28"/>
    <w:rsid w:val="00AD005E"/>
    <w:rsid w:val="00AD0447"/>
    <w:rsid w:val="00AD052A"/>
    <w:rsid w:val="00AD0E16"/>
    <w:rsid w:val="00AD0F4A"/>
    <w:rsid w:val="00AD137E"/>
    <w:rsid w:val="00AD1D76"/>
    <w:rsid w:val="00AD3078"/>
    <w:rsid w:val="00AD3838"/>
    <w:rsid w:val="00AD3B2D"/>
    <w:rsid w:val="00AD4953"/>
    <w:rsid w:val="00AD50BF"/>
    <w:rsid w:val="00AD5473"/>
    <w:rsid w:val="00AD558A"/>
    <w:rsid w:val="00AD692E"/>
    <w:rsid w:val="00AD7620"/>
    <w:rsid w:val="00AD7892"/>
    <w:rsid w:val="00AD796A"/>
    <w:rsid w:val="00AD7A5F"/>
    <w:rsid w:val="00AD7BFD"/>
    <w:rsid w:val="00AE12AD"/>
    <w:rsid w:val="00AE19BE"/>
    <w:rsid w:val="00AE25C5"/>
    <w:rsid w:val="00AE2E0B"/>
    <w:rsid w:val="00AE2F39"/>
    <w:rsid w:val="00AE311D"/>
    <w:rsid w:val="00AE3F6D"/>
    <w:rsid w:val="00AE4331"/>
    <w:rsid w:val="00AE49FF"/>
    <w:rsid w:val="00AE6B8C"/>
    <w:rsid w:val="00AE76D6"/>
    <w:rsid w:val="00AF11A0"/>
    <w:rsid w:val="00AF1CFC"/>
    <w:rsid w:val="00AF2807"/>
    <w:rsid w:val="00AF2AED"/>
    <w:rsid w:val="00AF57A4"/>
    <w:rsid w:val="00AF5E19"/>
    <w:rsid w:val="00AF68AE"/>
    <w:rsid w:val="00AF6C65"/>
    <w:rsid w:val="00AF7C98"/>
    <w:rsid w:val="00AF7ECF"/>
    <w:rsid w:val="00B010D9"/>
    <w:rsid w:val="00B02CCE"/>
    <w:rsid w:val="00B03E52"/>
    <w:rsid w:val="00B03F22"/>
    <w:rsid w:val="00B057AE"/>
    <w:rsid w:val="00B0712F"/>
    <w:rsid w:val="00B11D5B"/>
    <w:rsid w:val="00B12A72"/>
    <w:rsid w:val="00B146AC"/>
    <w:rsid w:val="00B14B69"/>
    <w:rsid w:val="00B15BFC"/>
    <w:rsid w:val="00B15CD1"/>
    <w:rsid w:val="00B17DED"/>
    <w:rsid w:val="00B20F4B"/>
    <w:rsid w:val="00B21017"/>
    <w:rsid w:val="00B213FE"/>
    <w:rsid w:val="00B215E6"/>
    <w:rsid w:val="00B21C19"/>
    <w:rsid w:val="00B21D85"/>
    <w:rsid w:val="00B221E8"/>
    <w:rsid w:val="00B22847"/>
    <w:rsid w:val="00B22E8E"/>
    <w:rsid w:val="00B2300E"/>
    <w:rsid w:val="00B25281"/>
    <w:rsid w:val="00B26570"/>
    <w:rsid w:val="00B2786D"/>
    <w:rsid w:val="00B30527"/>
    <w:rsid w:val="00B30860"/>
    <w:rsid w:val="00B30ED2"/>
    <w:rsid w:val="00B318C1"/>
    <w:rsid w:val="00B31D10"/>
    <w:rsid w:val="00B31E63"/>
    <w:rsid w:val="00B32148"/>
    <w:rsid w:val="00B3225C"/>
    <w:rsid w:val="00B3271C"/>
    <w:rsid w:val="00B342B3"/>
    <w:rsid w:val="00B3581A"/>
    <w:rsid w:val="00B35940"/>
    <w:rsid w:val="00B376AC"/>
    <w:rsid w:val="00B41427"/>
    <w:rsid w:val="00B4238D"/>
    <w:rsid w:val="00B428C6"/>
    <w:rsid w:val="00B430F8"/>
    <w:rsid w:val="00B44677"/>
    <w:rsid w:val="00B44985"/>
    <w:rsid w:val="00B45A44"/>
    <w:rsid w:val="00B466E7"/>
    <w:rsid w:val="00B46AA7"/>
    <w:rsid w:val="00B46C4D"/>
    <w:rsid w:val="00B472D4"/>
    <w:rsid w:val="00B5002B"/>
    <w:rsid w:val="00B50481"/>
    <w:rsid w:val="00B5051D"/>
    <w:rsid w:val="00B5184C"/>
    <w:rsid w:val="00B51AF9"/>
    <w:rsid w:val="00B52612"/>
    <w:rsid w:val="00B527D8"/>
    <w:rsid w:val="00B52EB9"/>
    <w:rsid w:val="00B536D6"/>
    <w:rsid w:val="00B542F9"/>
    <w:rsid w:val="00B54DA8"/>
    <w:rsid w:val="00B55192"/>
    <w:rsid w:val="00B555F5"/>
    <w:rsid w:val="00B56BCE"/>
    <w:rsid w:val="00B60EC0"/>
    <w:rsid w:val="00B610FB"/>
    <w:rsid w:val="00B61125"/>
    <w:rsid w:val="00B6446D"/>
    <w:rsid w:val="00B650C7"/>
    <w:rsid w:val="00B65255"/>
    <w:rsid w:val="00B66139"/>
    <w:rsid w:val="00B673C9"/>
    <w:rsid w:val="00B6784E"/>
    <w:rsid w:val="00B67D5F"/>
    <w:rsid w:val="00B7008D"/>
    <w:rsid w:val="00B70495"/>
    <w:rsid w:val="00B71AE3"/>
    <w:rsid w:val="00B71E4A"/>
    <w:rsid w:val="00B72219"/>
    <w:rsid w:val="00B7337A"/>
    <w:rsid w:val="00B739D4"/>
    <w:rsid w:val="00B741AB"/>
    <w:rsid w:val="00B749BB"/>
    <w:rsid w:val="00B75360"/>
    <w:rsid w:val="00B7639C"/>
    <w:rsid w:val="00B772DF"/>
    <w:rsid w:val="00B77995"/>
    <w:rsid w:val="00B81B3A"/>
    <w:rsid w:val="00B8257C"/>
    <w:rsid w:val="00B84D6B"/>
    <w:rsid w:val="00B84E9C"/>
    <w:rsid w:val="00B85804"/>
    <w:rsid w:val="00B85A20"/>
    <w:rsid w:val="00B86859"/>
    <w:rsid w:val="00B87A60"/>
    <w:rsid w:val="00B900A8"/>
    <w:rsid w:val="00B905C7"/>
    <w:rsid w:val="00B91023"/>
    <w:rsid w:val="00B91079"/>
    <w:rsid w:val="00B9145C"/>
    <w:rsid w:val="00B9178D"/>
    <w:rsid w:val="00B91864"/>
    <w:rsid w:val="00B91B89"/>
    <w:rsid w:val="00B92F0F"/>
    <w:rsid w:val="00B92FD8"/>
    <w:rsid w:val="00B93BC8"/>
    <w:rsid w:val="00B94622"/>
    <w:rsid w:val="00B957C0"/>
    <w:rsid w:val="00B957C3"/>
    <w:rsid w:val="00B95F88"/>
    <w:rsid w:val="00B963DA"/>
    <w:rsid w:val="00B97261"/>
    <w:rsid w:val="00B972B4"/>
    <w:rsid w:val="00B9766A"/>
    <w:rsid w:val="00B9793C"/>
    <w:rsid w:val="00B97D87"/>
    <w:rsid w:val="00B97F9B"/>
    <w:rsid w:val="00BA0970"/>
    <w:rsid w:val="00BA0D44"/>
    <w:rsid w:val="00BA2424"/>
    <w:rsid w:val="00BA283B"/>
    <w:rsid w:val="00BA3B1D"/>
    <w:rsid w:val="00BA3CC9"/>
    <w:rsid w:val="00BA3D0B"/>
    <w:rsid w:val="00BA41C6"/>
    <w:rsid w:val="00BA459B"/>
    <w:rsid w:val="00BA5621"/>
    <w:rsid w:val="00BA59D0"/>
    <w:rsid w:val="00BA6DB5"/>
    <w:rsid w:val="00BA7BEB"/>
    <w:rsid w:val="00BA7C25"/>
    <w:rsid w:val="00BB0085"/>
    <w:rsid w:val="00BB0639"/>
    <w:rsid w:val="00BB0D4B"/>
    <w:rsid w:val="00BB26EC"/>
    <w:rsid w:val="00BB40E9"/>
    <w:rsid w:val="00BB456A"/>
    <w:rsid w:val="00BB549B"/>
    <w:rsid w:val="00BB5737"/>
    <w:rsid w:val="00BB5FDB"/>
    <w:rsid w:val="00BC149A"/>
    <w:rsid w:val="00BC14A4"/>
    <w:rsid w:val="00BC1595"/>
    <w:rsid w:val="00BC2379"/>
    <w:rsid w:val="00BC298E"/>
    <w:rsid w:val="00BC30FF"/>
    <w:rsid w:val="00BC445F"/>
    <w:rsid w:val="00BC499D"/>
    <w:rsid w:val="00BC4F2F"/>
    <w:rsid w:val="00BC5E78"/>
    <w:rsid w:val="00BC6FDF"/>
    <w:rsid w:val="00BC721C"/>
    <w:rsid w:val="00BD15FC"/>
    <w:rsid w:val="00BD185D"/>
    <w:rsid w:val="00BD45B8"/>
    <w:rsid w:val="00BD4737"/>
    <w:rsid w:val="00BD5672"/>
    <w:rsid w:val="00BD5AEA"/>
    <w:rsid w:val="00BD5DB8"/>
    <w:rsid w:val="00BD6496"/>
    <w:rsid w:val="00BD7BB4"/>
    <w:rsid w:val="00BE0533"/>
    <w:rsid w:val="00BE0568"/>
    <w:rsid w:val="00BE0655"/>
    <w:rsid w:val="00BE0C72"/>
    <w:rsid w:val="00BE115F"/>
    <w:rsid w:val="00BE2FB5"/>
    <w:rsid w:val="00BE3401"/>
    <w:rsid w:val="00BE3784"/>
    <w:rsid w:val="00BE4075"/>
    <w:rsid w:val="00BE434E"/>
    <w:rsid w:val="00BE4A5E"/>
    <w:rsid w:val="00BE611D"/>
    <w:rsid w:val="00BE672D"/>
    <w:rsid w:val="00BE69B5"/>
    <w:rsid w:val="00BE705B"/>
    <w:rsid w:val="00BE7081"/>
    <w:rsid w:val="00BF15D6"/>
    <w:rsid w:val="00BF31C3"/>
    <w:rsid w:val="00BF3725"/>
    <w:rsid w:val="00BF5A4D"/>
    <w:rsid w:val="00BF5EAA"/>
    <w:rsid w:val="00BF61E3"/>
    <w:rsid w:val="00BF6233"/>
    <w:rsid w:val="00BF692E"/>
    <w:rsid w:val="00BF7163"/>
    <w:rsid w:val="00BF75F0"/>
    <w:rsid w:val="00C00BC4"/>
    <w:rsid w:val="00C01702"/>
    <w:rsid w:val="00C0181B"/>
    <w:rsid w:val="00C01BC4"/>
    <w:rsid w:val="00C02BA1"/>
    <w:rsid w:val="00C03286"/>
    <w:rsid w:val="00C04096"/>
    <w:rsid w:val="00C040FB"/>
    <w:rsid w:val="00C04490"/>
    <w:rsid w:val="00C04E14"/>
    <w:rsid w:val="00C06189"/>
    <w:rsid w:val="00C0628C"/>
    <w:rsid w:val="00C0661E"/>
    <w:rsid w:val="00C06A77"/>
    <w:rsid w:val="00C07694"/>
    <w:rsid w:val="00C07CDA"/>
    <w:rsid w:val="00C112F0"/>
    <w:rsid w:val="00C11461"/>
    <w:rsid w:val="00C126A0"/>
    <w:rsid w:val="00C12960"/>
    <w:rsid w:val="00C13DC6"/>
    <w:rsid w:val="00C13FC2"/>
    <w:rsid w:val="00C1480A"/>
    <w:rsid w:val="00C14A37"/>
    <w:rsid w:val="00C14AA6"/>
    <w:rsid w:val="00C151E7"/>
    <w:rsid w:val="00C164AE"/>
    <w:rsid w:val="00C1671A"/>
    <w:rsid w:val="00C17322"/>
    <w:rsid w:val="00C20FAC"/>
    <w:rsid w:val="00C2301F"/>
    <w:rsid w:val="00C2336F"/>
    <w:rsid w:val="00C244E5"/>
    <w:rsid w:val="00C2462A"/>
    <w:rsid w:val="00C25103"/>
    <w:rsid w:val="00C25E5F"/>
    <w:rsid w:val="00C26B12"/>
    <w:rsid w:val="00C26C98"/>
    <w:rsid w:val="00C271FB"/>
    <w:rsid w:val="00C2748C"/>
    <w:rsid w:val="00C27F99"/>
    <w:rsid w:val="00C302FD"/>
    <w:rsid w:val="00C30A00"/>
    <w:rsid w:val="00C31105"/>
    <w:rsid w:val="00C3182D"/>
    <w:rsid w:val="00C32AF9"/>
    <w:rsid w:val="00C37005"/>
    <w:rsid w:val="00C370CD"/>
    <w:rsid w:val="00C370EA"/>
    <w:rsid w:val="00C371A3"/>
    <w:rsid w:val="00C37319"/>
    <w:rsid w:val="00C402AD"/>
    <w:rsid w:val="00C40A78"/>
    <w:rsid w:val="00C4279F"/>
    <w:rsid w:val="00C439FD"/>
    <w:rsid w:val="00C457DF"/>
    <w:rsid w:val="00C458BB"/>
    <w:rsid w:val="00C45BA8"/>
    <w:rsid w:val="00C45E83"/>
    <w:rsid w:val="00C4657C"/>
    <w:rsid w:val="00C465B5"/>
    <w:rsid w:val="00C465D3"/>
    <w:rsid w:val="00C466B7"/>
    <w:rsid w:val="00C47603"/>
    <w:rsid w:val="00C507AB"/>
    <w:rsid w:val="00C5178A"/>
    <w:rsid w:val="00C53B53"/>
    <w:rsid w:val="00C5558D"/>
    <w:rsid w:val="00C56037"/>
    <w:rsid w:val="00C56270"/>
    <w:rsid w:val="00C56284"/>
    <w:rsid w:val="00C5787F"/>
    <w:rsid w:val="00C57C70"/>
    <w:rsid w:val="00C61643"/>
    <w:rsid w:val="00C61ABD"/>
    <w:rsid w:val="00C61F54"/>
    <w:rsid w:val="00C6244D"/>
    <w:rsid w:val="00C62FA6"/>
    <w:rsid w:val="00C644A2"/>
    <w:rsid w:val="00C65514"/>
    <w:rsid w:val="00C6729E"/>
    <w:rsid w:val="00C67319"/>
    <w:rsid w:val="00C67F20"/>
    <w:rsid w:val="00C70157"/>
    <w:rsid w:val="00C70A32"/>
    <w:rsid w:val="00C70AA4"/>
    <w:rsid w:val="00C70B3C"/>
    <w:rsid w:val="00C71002"/>
    <w:rsid w:val="00C72943"/>
    <w:rsid w:val="00C73423"/>
    <w:rsid w:val="00C74672"/>
    <w:rsid w:val="00C749EE"/>
    <w:rsid w:val="00C76329"/>
    <w:rsid w:val="00C76C6C"/>
    <w:rsid w:val="00C77AA9"/>
    <w:rsid w:val="00C81000"/>
    <w:rsid w:val="00C8143E"/>
    <w:rsid w:val="00C815F9"/>
    <w:rsid w:val="00C8160C"/>
    <w:rsid w:val="00C823BC"/>
    <w:rsid w:val="00C8322D"/>
    <w:rsid w:val="00C8412F"/>
    <w:rsid w:val="00C84741"/>
    <w:rsid w:val="00C86063"/>
    <w:rsid w:val="00C902AA"/>
    <w:rsid w:val="00C909EB"/>
    <w:rsid w:val="00C91A2C"/>
    <w:rsid w:val="00C91C93"/>
    <w:rsid w:val="00C929CD"/>
    <w:rsid w:val="00C93376"/>
    <w:rsid w:val="00C94160"/>
    <w:rsid w:val="00C944D1"/>
    <w:rsid w:val="00C94B89"/>
    <w:rsid w:val="00C962F8"/>
    <w:rsid w:val="00C96720"/>
    <w:rsid w:val="00C9690B"/>
    <w:rsid w:val="00C96ECA"/>
    <w:rsid w:val="00CA010D"/>
    <w:rsid w:val="00CA0353"/>
    <w:rsid w:val="00CA36AF"/>
    <w:rsid w:val="00CA36EF"/>
    <w:rsid w:val="00CA419E"/>
    <w:rsid w:val="00CA42CC"/>
    <w:rsid w:val="00CA6459"/>
    <w:rsid w:val="00CA6A03"/>
    <w:rsid w:val="00CA6EE4"/>
    <w:rsid w:val="00CB1189"/>
    <w:rsid w:val="00CB13F4"/>
    <w:rsid w:val="00CB238D"/>
    <w:rsid w:val="00CB2E77"/>
    <w:rsid w:val="00CB47A7"/>
    <w:rsid w:val="00CB5538"/>
    <w:rsid w:val="00CB5DB5"/>
    <w:rsid w:val="00CB6D20"/>
    <w:rsid w:val="00CB76C9"/>
    <w:rsid w:val="00CB786A"/>
    <w:rsid w:val="00CB7A6E"/>
    <w:rsid w:val="00CC05D7"/>
    <w:rsid w:val="00CC1D3E"/>
    <w:rsid w:val="00CC235A"/>
    <w:rsid w:val="00CC24D8"/>
    <w:rsid w:val="00CC36FB"/>
    <w:rsid w:val="00CC37EC"/>
    <w:rsid w:val="00CC3B51"/>
    <w:rsid w:val="00CC5289"/>
    <w:rsid w:val="00CC57F1"/>
    <w:rsid w:val="00CD14D8"/>
    <w:rsid w:val="00CD2994"/>
    <w:rsid w:val="00CD2A95"/>
    <w:rsid w:val="00CD3107"/>
    <w:rsid w:val="00CD34F6"/>
    <w:rsid w:val="00CD4364"/>
    <w:rsid w:val="00CD4CD4"/>
    <w:rsid w:val="00CD4E32"/>
    <w:rsid w:val="00CD5380"/>
    <w:rsid w:val="00CD5E6F"/>
    <w:rsid w:val="00CD5EF9"/>
    <w:rsid w:val="00CD5F7C"/>
    <w:rsid w:val="00CD60B7"/>
    <w:rsid w:val="00CE15DB"/>
    <w:rsid w:val="00CE1A5D"/>
    <w:rsid w:val="00CE1BF2"/>
    <w:rsid w:val="00CE1C87"/>
    <w:rsid w:val="00CE1DFC"/>
    <w:rsid w:val="00CE2758"/>
    <w:rsid w:val="00CE2ACE"/>
    <w:rsid w:val="00CE2BAD"/>
    <w:rsid w:val="00CE4490"/>
    <w:rsid w:val="00CE46FC"/>
    <w:rsid w:val="00CE5922"/>
    <w:rsid w:val="00CE62C1"/>
    <w:rsid w:val="00CE6860"/>
    <w:rsid w:val="00CE69A8"/>
    <w:rsid w:val="00CE69C7"/>
    <w:rsid w:val="00CE7300"/>
    <w:rsid w:val="00CF09CA"/>
    <w:rsid w:val="00CF177C"/>
    <w:rsid w:val="00CF18A3"/>
    <w:rsid w:val="00CF1A9E"/>
    <w:rsid w:val="00CF211A"/>
    <w:rsid w:val="00CF2303"/>
    <w:rsid w:val="00CF2C75"/>
    <w:rsid w:val="00CF2F8E"/>
    <w:rsid w:val="00CF30B6"/>
    <w:rsid w:val="00CF3A2B"/>
    <w:rsid w:val="00CF3CE5"/>
    <w:rsid w:val="00CF48B9"/>
    <w:rsid w:val="00CF4C73"/>
    <w:rsid w:val="00CF58C7"/>
    <w:rsid w:val="00CF58F6"/>
    <w:rsid w:val="00CF6BEE"/>
    <w:rsid w:val="00CF6CB6"/>
    <w:rsid w:val="00CF7493"/>
    <w:rsid w:val="00CF7575"/>
    <w:rsid w:val="00D0005A"/>
    <w:rsid w:val="00D04406"/>
    <w:rsid w:val="00D05556"/>
    <w:rsid w:val="00D058FE"/>
    <w:rsid w:val="00D06004"/>
    <w:rsid w:val="00D0653B"/>
    <w:rsid w:val="00D06633"/>
    <w:rsid w:val="00D06664"/>
    <w:rsid w:val="00D07C07"/>
    <w:rsid w:val="00D10FB4"/>
    <w:rsid w:val="00D11E90"/>
    <w:rsid w:val="00D129DF"/>
    <w:rsid w:val="00D12B86"/>
    <w:rsid w:val="00D16661"/>
    <w:rsid w:val="00D17FE8"/>
    <w:rsid w:val="00D2108C"/>
    <w:rsid w:val="00D21D18"/>
    <w:rsid w:val="00D22032"/>
    <w:rsid w:val="00D226BE"/>
    <w:rsid w:val="00D2292C"/>
    <w:rsid w:val="00D22ACB"/>
    <w:rsid w:val="00D22C5A"/>
    <w:rsid w:val="00D22D40"/>
    <w:rsid w:val="00D23DC1"/>
    <w:rsid w:val="00D242F7"/>
    <w:rsid w:val="00D2436D"/>
    <w:rsid w:val="00D24C44"/>
    <w:rsid w:val="00D252FB"/>
    <w:rsid w:val="00D262B9"/>
    <w:rsid w:val="00D26CAC"/>
    <w:rsid w:val="00D27518"/>
    <w:rsid w:val="00D30075"/>
    <w:rsid w:val="00D30788"/>
    <w:rsid w:val="00D30A20"/>
    <w:rsid w:val="00D31A8E"/>
    <w:rsid w:val="00D31FBE"/>
    <w:rsid w:val="00D322F2"/>
    <w:rsid w:val="00D32719"/>
    <w:rsid w:val="00D32B04"/>
    <w:rsid w:val="00D32CC5"/>
    <w:rsid w:val="00D369C5"/>
    <w:rsid w:val="00D37FCD"/>
    <w:rsid w:val="00D40AC8"/>
    <w:rsid w:val="00D40BC8"/>
    <w:rsid w:val="00D413E3"/>
    <w:rsid w:val="00D4174A"/>
    <w:rsid w:val="00D41A20"/>
    <w:rsid w:val="00D4228E"/>
    <w:rsid w:val="00D4366A"/>
    <w:rsid w:val="00D45B67"/>
    <w:rsid w:val="00D467EB"/>
    <w:rsid w:val="00D471BD"/>
    <w:rsid w:val="00D47664"/>
    <w:rsid w:val="00D4781F"/>
    <w:rsid w:val="00D47ADF"/>
    <w:rsid w:val="00D47B37"/>
    <w:rsid w:val="00D5062C"/>
    <w:rsid w:val="00D50A1D"/>
    <w:rsid w:val="00D51261"/>
    <w:rsid w:val="00D519CB"/>
    <w:rsid w:val="00D53103"/>
    <w:rsid w:val="00D5369A"/>
    <w:rsid w:val="00D53C72"/>
    <w:rsid w:val="00D542C8"/>
    <w:rsid w:val="00D55525"/>
    <w:rsid w:val="00D55CB5"/>
    <w:rsid w:val="00D5687E"/>
    <w:rsid w:val="00D5724E"/>
    <w:rsid w:val="00D57CCC"/>
    <w:rsid w:val="00D60E74"/>
    <w:rsid w:val="00D611B7"/>
    <w:rsid w:val="00D614FB"/>
    <w:rsid w:val="00D61D95"/>
    <w:rsid w:val="00D62064"/>
    <w:rsid w:val="00D621FD"/>
    <w:rsid w:val="00D63286"/>
    <w:rsid w:val="00D6670C"/>
    <w:rsid w:val="00D6702B"/>
    <w:rsid w:val="00D67216"/>
    <w:rsid w:val="00D703C4"/>
    <w:rsid w:val="00D703CB"/>
    <w:rsid w:val="00D72CAE"/>
    <w:rsid w:val="00D749A2"/>
    <w:rsid w:val="00D74A09"/>
    <w:rsid w:val="00D75848"/>
    <w:rsid w:val="00D75B74"/>
    <w:rsid w:val="00D760AB"/>
    <w:rsid w:val="00D762AC"/>
    <w:rsid w:val="00D7678B"/>
    <w:rsid w:val="00D76844"/>
    <w:rsid w:val="00D778EF"/>
    <w:rsid w:val="00D77A00"/>
    <w:rsid w:val="00D77E8D"/>
    <w:rsid w:val="00D804B5"/>
    <w:rsid w:val="00D80E5E"/>
    <w:rsid w:val="00D81B96"/>
    <w:rsid w:val="00D81C61"/>
    <w:rsid w:val="00D82102"/>
    <w:rsid w:val="00D826EA"/>
    <w:rsid w:val="00D827BA"/>
    <w:rsid w:val="00D82B39"/>
    <w:rsid w:val="00D82DC5"/>
    <w:rsid w:val="00D83027"/>
    <w:rsid w:val="00D830BF"/>
    <w:rsid w:val="00D83273"/>
    <w:rsid w:val="00D83BC9"/>
    <w:rsid w:val="00D83E55"/>
    <w:rsid w:val="00D84D40"/>
    <w:rsid w:val="00D855EA"/>
    <w:rsid w:val="00D863D8"/>
    <w:rsid w:val="00D87865"/>
    <w:rsid w:val="00D90207"/>
    <w:rsid w:val="00D90437"/>
    <w:rsid w:val="00D90A5C"/>
    <w:rsid w:val="00D91B3F"/>
    <w:rsid w:val="00D9255B"/>
    <w:rsid w:val="00D92A1F"/>
    <w:rsid w:val="00D92A8D"/>
    <w:rsid w:val="00D92AFE"/>
    <w:rsid w:val="00D939EF"/>
    <w:rsid w:val="00D93F6C"/>
    <w:rsid w:val="00D93F87"/>
    <w:rsid w:val="00D9557D"/>
    <w:rsid w:val="00D95839"/>
    <w:rsid w:val="00D96849"/>
    <w:rsid w:val="00D97563"/>
    <w:rsid w:val="00D97FBB"/>
    <w:rsid w:val="00D97FFB"/>
    <w:rsid w:val="00DA04BA"/>
    <w:rsid w:val="00DA0DB4"/>
    <w:rsid w:val="00DA2262"/>
    <w:rsid w:val="00DA2966"/>
    <w:rsid w:val="00DA2DE8"/>
    <w:rsid w:val="00DA2EFF"/>
    <w:rsid w:val="00DA4B6D"/>
    <w:rsid w:val="00DA634E"/>
    <w:rsid w:val="00DA6B0A"/>
    <w:rsid w:val="00DB0745"/>
    <w:rsid w:val="00DB0F61"/>
    <w:rsid w:val="00DB1094"/>
    <w:rsid w:val="00DB16AC"/>
    <w:rsid w:val="00DB1DF9"/>
    <w:rsid w:val="00DB20CC"/>
    <w:rsid w:val="00DB22AA"/>
    <w:rsid w:val="00DB2531"/>
    <w:rsid w:val="00DB3068"/>
    <w:rsid w:val="00DB3299"/>
    <w:rsid w:val="00DB35EE"/>
    <w:rsid w:val="00DB3DDE"/>
    <w:rsid w:val="00DB5E47"/>
    <w:rsid w:val="00DB5EA3"/>
    <w:rsid w:val="00DB5FE1"/>
    <w:rsid w:val="00DB6C6C"/>
    <w:rsid w:val="00DB7006"/>
    <w:rsid w:val="00DB7CFC"/>
    <w:rsid w:val="00DC132A"/>
    <w:rsid w:val="00DC3023"/>
    <w:rsid w:val="00DC35B9"/>
    <w:rsid w:val="00DC360B"/>
    <w:rsid w:val="00DC5860"/>
    <w:rsid w:val="00DC5ED2"/>
    <w:rsid w:val="00DC6DBF"/>
    <w:rsid w:val="00DC7836"/>
    <w:rsid w:val="00DD04CF"/>
    <w:rsid w:val="00DD12FA"/>
    <w:rsid w:val="00DD1B40"/>
    <w:rsid w:val="00DD2BC3"/>
    <w:rsid w:val="00DD2D5D"/>
    <w:rsid w:val="00DD404D"/>
    <w:rsid w:val="00DD4943"/>
    <w:rsid w:val="00DD5FAC"/>
    <w:rsid w:val="00DD6B78"/>
    <w:rsid w:val="00DD6EFC"/>
    <w:rsid w:val="00DD73DE"/>
    <w:rsid w:val="00DE0410"/>
    <w:rsid w:val="00DE19EE"/>
    <w:rsid w:val="00DE2A4B"/>
    <w:rsid w:val="00DE396B"/>
    <w:rsid w:val="00DE42B8"/>
    <w:rsid w:val="00DE4314"/>
    <w:rsid w:val="00DE45B8"/>
    <w:rsid w:val="00DE49E0"/>
    <w:rsid w:val="00DE4AB8"/>
    <w:rsid w:val="00DE4ACD"/>
    <w:rsid w:val="00DE4C4B"/>
    <w:rsid w:val="00DE55BB"/>
    <w:rsid w:val="00DE56D4"/>
    <w:rsid w:val="00DE5D57"/>
    <w:rsid w:val="00DE606C"/>
    <w:rsid w:val="00DE7757"/>
    <w:rsid w:val="00DE7ADD"/>
    <w:rsid w:val="00DE7D9E"/>
    <w:rsid w:val="00DE7DA8"/>
    <w:rsid w:val="00DF018E"/>
    <w:rsid w:val="00DF1723"/>
    <w:rsid w:val="00DF33CF"/>
    <w:rsid w:val="00DF4967"/>
    <w:rsid w:val="00DF4CEE"/>
    <w:rsid w:val="00DF5B4E"/>
    <w:rsid w:val="00DF5BF3"/>
    <w:rsid w:val="00DF60E8"/>
    <w:rsid w:val="00E00730"/>
    <w:rsid w:val="00E01B52"/>
    <w:rsid w:val="00E02786"/>
    <w:rsid w:val="00E03E53"/>
    <w:rsid w:val="00E03EFB"/>
    <w:rsid w:val="00E049BB"/>
    <w:rsid w:val="00E06482"/>
    <w:rsid w:val="00E067DE"/>
    <w:rsid w:val="00E076EE"/>
    <w:rsid w:val="00E10FD1"/>
    <w:rsid w:val="00E112CA"/>
    <w:rsid w:val="00E1223D"/>
    <w:rsid w:val="00E1263F"/>
    <w:rsid w:val="00E12AC3"/>
    <w:rsid w:val="00E13998"/>
    <w:rsid w:val="00E14951"/>
    <w:rsid w:val="00E14B23"/>
    <w:rsid w:val="00E14E5E"/>
    <w:rsid w:val="00E14FED"/>
    <w:rsid w:val="00E15E04"/>
    <w:rsid w:val="00E1619A"/>
    <w:rsid w:val="00E16CBB"/>
    <w:rsid w:val="00E20793"/>
    <w:rsid w:val="00E2116D"/>
    <w:rsid w:val="00E21FC5"/>
    <w:rsid w:val="00E223C3"/>
    <w:rsid w:val="00E230DD"/>
    <w:rsid w:val="00E23770"/>
    <w:rsid w:val="00E261AD"/>
    <w:rsid w:val="00E30C1B"/>
    <w:rsid w:val="00E33242"/>
    <w:rsid w:val="00E339F6"/>
    <w:rsid w:val="00E345B0"/>
    <w:rsid w:val="00E348D2"/>
    <w:rsid w:val="00E37058"/>
    <w:rsid w:val="00E370B6"/>
    <w:rsid w:val="00E37A5B"/>
    <w:rsid w:val="00E37BDF"/>
    <w:rsid w:val="00E40A85"/>
    <w:rsid w:val="00E41366"/>
    <w:rsid w:val="00E413B9"/>
    <w:rsid w:val="00E421F5"/>
    <w:rsid w:val="00E42353"/>
    <w:rsid w:val="00E42AE6"/>
    <w:rsid w:val="00E42E99"/>
    <w:rsid w:val="00E434A0"/>
    <w:rsid w:val="00E44260"/>
    <w:rsid w:val="00E445E6"/>
    <w:rsid w:val="00E44CB4"/>
    <w:rsid w:val="00E469A0"/>
    <w:rsid w:val="00E469B3"/>
    <w:rsid w:val="00E476BA"/>
    <w:rsid w:val="00E47FDF"/>
    <w:rsid w:val="00E50720"/>
    <w:rsid w:val="00E507AF"/>
    <w:rsid w:val="00E5093D"/>
    <w:rsid w:val="00E51FB9"/>
    <w:rsid w:val="00E52244"/>
    <w:rsid w:val="00E52807"/>
    <w:rsid w:val="00E55016"/>
    <w:rsid w:val="00E55172"/>
    <w:rsid w:val="00E55AD7"/>
    <w:rsid w:val="00E56620"/>
    <w:rsid w:val="00E5731F"/>
    <w:rsid w:val="00E60FCC"/>
    <w:rsid w:val="00E61AF7"/>
    <w:rsid w:val="00E61FBE"/>
    <w:rsid w:val="00E6228E"/>
    <w:rsid w:val="00E6285A"/>
    <w:rsid w:val="00E62FDA"/>
    <w:rsid w:val="00E63024"/>
    <w:rsid w:val="00E64A8B"/>
    <w:rsid w:val="00E6579D"/>
    <w:rsid w:val="00E65987"/>
    <w:rsid w:val="00E70DF4"/>
    <w:rsid w:val="00E70F35"/>
    <w:rsid w:val="00E71369"/>
    <w:rsid w:val="00E72B36"/>
    <w:rsid w:val="00E72E6B"/>
    <w:rsid w:val="00E72EAF"/>
    <w:rsid w:val="00E7366C"/>
    <w:rsid w:val="00E747F7"/>
    <w:rsid w:val="00E75B04"/>
    <w:rsid w:val="00E76507"/>
    <w:rsid w:val="00E7678B"/>
    <w:rsid w:val="00E76B68"/>
    <w:rsid w:val="00E77556"/>
    <w:rsid w:val="00E777AF"/>
    <w:rsid w:val="00E808E2"/>
    <w:rsid w:val="00E82103"/>
    <w:rsid w:val="00E82B61"/>
    <w:rsid w:val="00E83B44"/>
    <w:rsid w:val="00E8409F"/>
    <w:rsid w:val="00E84A00"/>
    <w:rsid w:val="00E86D8C"/>
    <w:rsid w:val="00E8788E"/>
    <w:rsid w:val="00E87C45"/>
    <w:rsid w:val="00E87C6D"/>
    <w:rsid w:val="00E87C91"/>
    <w:rsid w:val="00E90CDE"/>
    <w:rsid w:val="00E91526"/>
    <w:rsid w:val="00E916E8"/>
    <w:rsid w:val="00E9177D"/>
    <w:rsid w:val="00E91C17"/>
    <w:rsid w:val="00E91D17"/>
    <w:rsid w:val="00E91EC9"/>
    <w:rsid w:val="00E9231C"/>
    <w:rsid w:val="00E92D28"/>
    <w:rsid w:val="00E93750"/>
    <w:rsid w:val="00E94599"/>
    <w:rsid w:val="00E949F4"/>
    <w:rsid w:val="00E94E5D"/>
    <w:rsid w:val="00E94F9F"/>
    <w:rsid w:val="00E95909"/>
    <w:rsid w:val="00E95E04"/>
    <w:rsid w:val="00E969B1"/>
    <w:rsid w:val="00E96A55"/>
    <w:rsid w:val="00E96D7D"/>
    <w:rsid w:val="00EA04AE"/>
    <w:rsid w:val="00EA10D8"/>
    <w:rsid w:val="00EA114D"/>
    <w:rsid w:val="00EA13DB"/>
    <w:rsid w:val="00EA2010"/>
    <w:rsid w:val="00EA2550"/>
    <w:rsid w:val="00EA2A48"/>
    <w:rsid w:val="00EA3E6C"/>
    <w:rsid w:val="00EA4866"/>
    <w:rsid w:val="00EA552D"/>
    <w:rsid w:val="00EA5F21"/>
    <w:rsid w:val="00EA5F7C"/>
    <w:rsid w:val="00EA67FC"/>
    <w:rsid w:val="00EA6F98"/>
    <w:rsid w:val="00EA7CAD"/>
    <w:rsid w:val="00EA7F44"/>
    <w:rsid w:val="00EB1633"/>
    <w:rsid w:val="00EB22E7"/>
    <w:rsid w:val="00EB3075"/>
    <w:rsid w:val="00EB38A2"/>
    <w:rsid w:val="00EB451B"/>
    <w:rsid w:val="00EB451F"/>
    <w:rsid w:val="00EB51B9"/>
    <w:rsid w:val="00EB5995"/>
    <w:rsid w:val="00EB64F9"/>
    <w:rsid w:val="00EC12E7"/>
    <w:rsid w:val="00EC1D28"/>
    <w:rsid w:val="00EC2922"/>
    <w:rsid w:val="00EC2BB0"/>
    <w:rsid w:val="00EC34AA"/>
    <w:rsid w:val="00EC3899"/>
    <w:rsid w:val="00EC3EA6"/>
    <w:rsid w:val="00EC45BF"/>
    <w:rsid w:val="00EC4E96"/>
    <w:rsid w:val="00EC501B"/>
    <w:rsid w:val="00EC5B3E"/>
    <w:rsid w:val="00EC63AC"/>
    <w:rsid w:val="00EC64D1"/>
    <w:rsid w:val="00EC76E6"/>
    <w:rsid w:val="00ED095D"/>
    <w:rsid w:val="00ED35A4"/>
    <w:rsid w:val="00ED3794"/>
    <w:rsid w:val="00ED4010"/>
    <w:rsid w:val="00ED4714"/>
    <w:rsid w:val="00ED47A7"/>
    <w:rsid w:val="00ED5AC3"/>
    <w:rsid w:val="00ED6505"/>
    <w:rsid w:val="00ED657B"/>
    <w:rsid w:val="00EE0BEE"/>
    <w:rsid w:val="00EE306B"/>
    <w:rsid w:val="00EE3A17"/>
    <w:rsid w:val="00EE4369"/>
    <w:rsid w:val="00EE4D06"/>
    <w:rsid w:val="00EE621B"/>
    <w:rsid w:val="00EE6F1A"/>
    <w:rsid w:val="00EE734A"/>
    <w:rsid w:val="00EE7799"/>
    <w:rsid w:val="00EF02FE"/>
    <w:rsid w:val="00EF043B"/>
    <w:rsid w:val="00EF1069"/>
    <w:rsid w:val="00EF17AB"/>
    <w:rsid w:val="00EF3378"/>
    <w:rsid w:val="00EF3798"/>
    <w:rsid w:val="00EF387F"/>
    <w:rsid w:val="00EF3E1C"/>
    <w:rsid w:val="00EF4736"/>
    <w:rsid w:val="00EF4E22"/>
    <w:rsid w:val="00EF5584"/>
    <w:rsid w:val="00EF73C1"/>
    <w:rsid w:val="00EF7F79"/>
    <w:rsid w:val="00F00FC2"/>
    <w:rsid w:val="00F0141E"/>
    <w:rsid w:val="00F02148"/>
    <w:rsid w:val="00F031F3"/>
    <w:rsid w:val="00F03D31"/>
    <w:rsid w:val="00F03F61"/>
    <w:rsid w:val="00F040C7"/>
    <w:rsid w:val="00F06030"/>
    <w:rsid w:val="00F063C0"/>
    <w:rsid w:val="00F06EB5"/>
    <w:rsid w:val="00F078FD"/>
    <w:rsid w:val="00F10F47"/>
    <w:rsid w:val="00F1105C"/>
    <w:rsid w:val="00F11D5C"/>
    <w:rsid w:val="00F12173"/>
    <w:rsid w:val="00F121B5"/>
    <w:rsid w:val="00F13839"/>
    <w:rsid w:val="00F13B16"/>
    <w:rsid w:val="00F13E85"/>
    <w:rsid w:val="00F142A3"/>
    <w:rsid w:val="00F14BA9"/>
    <w:rsid w:val="00F153FC"/>
    <w:rsid w:val="00F1557E"/>
    <w:rsid w:val="00F15798"/>
    <w:rsid w:val="00F16785"/>
    <w:rsid w:val="00F1757B"/>
    <w:rsid w:val="00F17692"/>
    <w:rsid w:val="00F17D70"/>
    <w:rsid w:val="00F210DB"/>
    <w:rsid w:val="00F21431"/>
    <w:rsid w:val="00F21D38"/>
    <w:rsid w:val="00F221DF"/>
    <w:rsid w:val="00F232BC"/>
    <w:rsid w:val="00F23594"/>
    <w:rsid w:val="00F23D81"/>
    <w:rsid w:val="00F24D93"/>
    <w:rsid w:val="00F25ADD"/>
    <w:rsid w:val="00F25B87"/>
    <w:rsid w:val="00F26191"/>
    <w:rsid w:val="00F267BD"/>
    <w:rsid w:val="00F27441"/>
    <w:rsid w:val="00F279CB"/>
    <w:rsid w:val="00F31401"/>
    <w:rsid w:val="00F31734"/>
    <w:rsid w:val="00F31987"/>
    <w:rsid w:val="00F337A9"/>
    <w:rsid w:val="00F344D3"/>
    <w:rsid w:val="00F35B88"/>
    <w:rsid w:val="00F35BC7"/>
    <w:rsid w:val="00F40038"/>
    <w:rsid w:val="00F401DE"/>
    <w:rsid w:val="00F41164"/>
    <w:rsid w:val="00F42649"/>
    <w:rsid w:val="00F4357C"/>
    <w:rsid w:val="00F44C60"/>
    <w:rsid w:val="00F44DB4"/>
    <w:rsid w:val="00F4526A"/>
    <w:rsid w:val="00F458A8"/>
    <w:rsid w:val="00F46112"/>
    <w:rsid w:val="00F46AFE"/>
    <w:rsid w:val="00F477E1"/>
    <w:rsid w:val="00F51957"/>
    <w:rsid w:val="00F51B53"/>
    <w:rsid w:val="00F528D0"/>
    <w:rsid w:val="00F53A5B"/>
    <w:rsid w:val="00F54EC1"/>
    <w:rsid w:val="00F55B1D"/>
    <w:rsid w:val="00F56357"/>
    <w:rsid w:val="00F56C31"/>
    <w:rsid w:val="00F57C4D"/>
    <w:rsid w:val="00F617D1"/>
    <w:rsid w:val="00F62A8D"/>
    <w:rsid w:val="00F62C33"/>
    <w:rsid w:val="00F62CFB"/>
    <w:rsid w:val="00F64997"/>
    <w:rsid w:val="00F649F6"/>
    <w:rsid w:val="00F66362"/>
    <w:rsid w:val="00F669B6"/>
    <w:rsid w:val="00F6707B"/>
    <w:rsid w:val="00F676E6"/>
    <w:rsid w:val="00F67EB4"/>
    <w:rsid w:val="00F706D1"/>
    <w:rsid w:val="00F70CBB"/>
    <w:rsid w:val="00F7116D"/>
    <w:rsid w:val="00F71292"/>
    <w:rsid w:val="00F7385F"/>
    <w:rsid w:val="00F7556C"/>
    <w:rsid w:val="00F7689C"/>
    <w:rsid w:val="00F77795"/>
    <w:rsid w:val="00F8080D"/>
    <w:rsid w:val="00F812DF"/>
    <w:rsid w:val="00F81487"/>
    <w:rsid w:val="00F81DF1"/>
    <w:rsid w:val="00F81F45"/>
    <w:rsid w:val="00F83066"/>
    <w:rsid w:val="00F830C3"/>
    <w:rsid w:val="00F836C5"/>
    <w:rsid w:val="00F8598E"/>
    <w:rsid w:val="00F859F1"/>
    <w:rsid w:val="00F87474"/>
    <w:rsid w:val="00F91528"/>
    <w:rsid w:val="00F92815"/>
    <w:rsid w:val="00F92897"/>
    <w:rsid w:val="00F93665"/>
    <w:rsid w:val="00F93807"/>
    <w:rsid w:val="00F9390A"/>
    <w:rsid w:val="00F949CC"/>
    <w:rsid w:val="00F9551B"/>
    <w:rsid w:val="00F9585F"/>
    <w:rsid w:val="00F95CA5"/>
    <w:rsid w:val="00F96DEA"/>
    <w:rsid w:val="00F973F3"/>
    <w:rsid w:val="00F97413"/>
    <w:rsid w:val="00F97CB5"/>
    <w:rsid w:val="00FA0B65"/>
    <w:rsid w:val="00FA1782"/>
    <w:rsid w:val="00FA1899"/>
    <w:rsid w:val="00FA31BC"/>
    <w:rsid w:val="00FA37DA"/>
    <w:rsid w:val="00FA4658"/>
    <w:rsid w:val="00FA6904"/>
    <w:rsid w:val="00FB1344"/>
    <w:rsid w:val="00FB1F8B"/>
    <w:rsid w:val="00FB4717"/>
    <w:rsid w:val="00FB4951"/>
    <w:rsid w:val="00FB5A24"/>
    <w:rsid w:val="00FB5A4F"/>
    <w:rsid w:val="00FB6823"/>
    <w:rsid w:val="00FB7255"/>
    <w:rsid w:val="00FC0187"/>
    <w:rsid w:val="00FC0E28"/>
    <w:rsid w:val="00FC1850"/>
    <w:rsid w:val="00FC2D5F"/>
    <w:rsid w:val="00FC30F1"/>
    <w:rsid w:val="00FC39C7"/>
    <w:rsid w:val="00FC4E37"/>
    <w:rsid w:val="00FC4EE6"/>
    <w:rsid w:val="00FC569D"/>
    <w:rsid w:val="00FC6538"/>
    <w:rsid w:val="00FC70F9"/>
    <w:rsid w:val="00FD26B2"/>
    <w:rsid w:val="00FD2D3B"/>
    <w:rsid w:val="00FD3E20"/>
    <w:rsid w:val="00FD4A25"/>
    <w:rsid w:val="00FD4FA6"/>
    <w:rsid w:val="00FD5CDB"/>
    <w:rsid w:val="00FD6128"/>
    <w:rsid w:val="00FD6D99"/>
    <w:rsid w:val="00FD7DB0"/>
    <w:rsid w:val="00FE1A19"/>
    <w:rsid w:val="00FE1C62"/>
    <w:rsid w:val="00FE4173"/>
    <w:rsid w:val="00FE495D"/>
    <w:rsid w:val="00FE4ED2"/>
    <w:rsid w:val="00FE5094"/>
    <w:rsid w:val="00FE56DD"/>
    <w:rsid w:val="00FE63A9"/>
    <w:rsid w:val="00FE64A0"/>
    <w:rsid w:val="00FE6A76"/>
    <w:rsid w:val="00FE7386"/>
    <w:rsid w:val="00FE7745"/>
    <w:rsid w:val="00FE7DCA"/>
    <w:rsid w:val="00FF04B3"/>
    <w:rsid w:val="00FF1C10"/>
    <w:rsid w:val="00FF1C33"/>
    <w:rsid w:val="00FF2D20"/>
    <w:rsid w:val="00FF3288"/>
    <w:rsid w:val="00FF3F19"/>
    <w:rsid w:val="00FF464A"/>
    <w:rsid w:val="00FF5711"/>
    <w:rsid w:val="00FF5AD7"/>
    <w:rsid w:val="00FF6AF4"/>
    <w:rsid w:val="00FF6CEC"/>
    <w:rsid w:val="00FF70E9"/>
    <w:rsid w:val="00FF7544"/>
    <w:rsid w:val="02E334E5"/>
    <w:rsid w:val="03942A31"/>
    <w:rsid w:val="03E80687"/>
    <w:rsid w:val="06A905A2"/>
    <w:rsid w:val="077961C6"/>
    <w:rsid w:val="08125987"/>
    <w:rsid w:val="08566F7E"/>
    <w:rsid w:val="08762705"/>
    <w:rsid w:val="08BA6A96"/>
    <w:rsid w:val="08D31906"/>
    <w:rsid w:val="08E43B13"/>
    <w:rsid w:val="08F63846"/>
    <w:rsid w:val="09434CDD"/>
    <w:rsid w:val="0A067AB9"/>
    <w:rsid w:val="0A525A58"/>
    <w:rsid w:val="0AAF0151"/>
    <w:rsid w:val="0B9920F6"/>
    <w:rsid w:val="0BD81C63"/>
    <w:rsid w:val="0C9870EE"/>
    <w:rsid w:val="0CE57E5A"/>
    <w:rsid w:val="0CF63E15"/>
    <w:rsid w:val="0D4A5F0F"/>
    <w:rsid w:val="0D660F9A"/>
    <w:rsid w:val="0D6B035F"/>
    <w:rsid w:val="0D7517CB"/>
    <w:rsid w:val="0D961154"/>
    <w:rsid w:val="0DA8623B"/>
    <w:rsid w:val="0E694108"/>
    <w:rsid w:val="0EF10D38"/>
    <w:rsid w:val="0F2B249C"/>
    <w:rsid w:val="0FD3668F"/>
    <w:rsid w:val="10172A20"/>
    <w:rsid w:val="101747CE"/>
    <w:rsid w:val="102825CF"/>
    <w:rsid w:val="11A34A82"/>
    <w:rsid w:val="12471892"/>
    <w:rsid w:val="13C46A1B"/>
    <w:rsid w:val="14531B4D"/>
    <w:rsid w:val="158B784A"/>
    <w:rsid w:val="15A16F7B"/>
    <w:rsid w:val="15EE7D7F"/>
    <w:rsid w:val="1638549E"/>
    <w:rsid w:val="171E6442"/>
    <w:rsid w:val="17710C68"/>
    <w:rsid w:val="178A7F7B"/>
    <w:rsid w:val="18192527"/>
    <w:rsid w:val="194D74B2"/>
    <w:rsid w:val="199B469F"/>
    <w:rsid w:val="19D8661D"/>
    <w:rsid w:val="1A82037F"/>
    <w:rsid w:val="1B391A9C"/>
    <w:rsid w:val="1C387FA6"/>
    <w:rsid w:val="1C940F54"/>
    <w:rsid w:val="1CA9571F"/>
    <w:rsid w:val="1CBA09BB"/>
    <w:rsid w:val="1D3F7112"/>
    <w:rsid w:val="1D862F93"/>
    <w:rsid w:val="1EA336D1"/>
    <w:rsid w:val="1F617814"/>
    <w:rsid w:val="20000DDB"/>
    <w:rsid w:val="203D202F"/>
    <w:rsid w:val="21AB746C"/>
    <w:rsid w:val="21AD0AEE"/>
    <w:rsid w:val="21CF3CA6"/>
    <w:rsid w:val="227E692E"/>
    <w:rsid w:val="23A6613D"/>
    <w:rsid w:val="23EB1DA2"/>
    <w:rsid w:val="23EE53EE"/>
    <w:rsid w:val="24E76A0D"/>
    <w:rsid w:val="24EC5DD1"/>
    <w:rsid w:val="251F7F55"/>
    <w:rsid w:val="25A246E2"/>
    <w:rsid w:val="25F3318F"/>
    <w:rsid w:val="268455F5"/>
    <w:rsid w:val="270C4509"/>
    <w:rsid w:val="27826579"/>
    <w:rsid w:val="27B70919"/>
    <w:rsid w:val="28180C8B"/>
    <w:rsid w:val="28893937"/>
    <w:rsid w:val="28EA6ACC"/>
    <w:rsid w:val="28F97707"/>
    <w:rsid w:val="29634188"/>
    <w:rsid w:val="296D5007"/>
    <w:rsid w:val="2ADC41F2"/>
    <w:rsid w:val="2B4A1AA4"/>
    <w:rsid w:val="2C063C1D"/>
    <w:rsid w:val="2C0B1535"/>
    <w:rsid w:val="2C7E7C57"/>
    <w:rsid w:val="2CD73D18"/>
    <w:rsid w:val="2CF75313"/>
    <w:rsid w:val="2D6A1F89"/>
    <w:rsid w:val="2DC84F02"/>
    <w:rsid w:val="2E6115DE"/>
    <w:rsid w:val="2E701AFB"/>
    <w:rsid w:val="2EF73CF0"/>
    <w:rsid w:val="2F067A90"/>
    <w:rsid w:val="2F776BDF"/>
    <w:rsid w:val="2FD1009E"/>
    <w:rsid w:val="2FD302BA"/>
    <w:rsid w:val="30134B5A"/>
    <w:rsid w:val="31584D5D"/>
    <w:rsid w:val="317E78BC"/>
    <w:rsid w:val="31A5731E"/>
    <w:rsid w:val="32230959"/>
    <w:rsid w:val="324832D5"/>
    <w:rsid w:val="32EB0C5E"/>
    <w:rsid w:val="337F6063"/>
    <w:rsid w:val="33B65F28"/>
    <w:rsid w:val="342D3D10"/>
    <w:rsid w:val="34370C7A"/>
    <w:rsid w:val="3442156A"/>
    <w:rsid w:val="346C2A8B"/>
    <w:rsid w:val="34C208FD"/>
    <w:rsid w:val="355C2AFF"/>
    <w:rsid w:val="36FF7BE6"/>
    <w:rsid w:val="373B04F2"/>
    <w:rsid w:val="37EDFACE"/>
    <w:rsid w:val="37EF3757"/>
    <w:rsid w:val="388D3CBA"/>
    <w:rsid w:val="389869EC"/>
    <w:rsid w:val="38BC55D9"/>
    <w:rsid w:val="38E01774"/>
    <w:rsid w:val="38E154F2"/>
    <w:rsid w:val="38ED03F0"/>
    <w:rsid w:val="394F0285"/>
    <w:rsid w:val="3A217E73"/>
    <w:rsid w:val="3C4B742A"/>
    <w:rsid w:val="3CB44FCF"/>
    <w:rsid w:val="3D2332F9"/>
    <w:rsid w:val="3D627C3E"/>
    <w:rsid w:val="3D791D75"/>
    <w:rsid w:val="3DEE62BF"/>
    <w:rsid w:val="3DFA1107"/>
    <w:rsid w:val="3E081782"/>
    <w:rsid w:val="3E0D0E3B"/>
    <w:rsid w:val="3E522CF1"/>
    <w:rsid w:val="3E636CAD"/>
    <w:rsid w:val="3E894239"/>
    <w:rsid w:val="3F147FA7"/>
    <w:rsid w:val="3F171845"/>
    <w:rsid w:val="3FE1257F"/>
    <w:rsid w:val="40041EEB"/>
    <w:rsid w:val="40104C12"/>
    <w:rsid w:val="4033445D"/>
    <w:rsid w:val="4047615A"/>
    <w:rsid w:val="40491ED2"/>
    <w:rsid w:val="411029F0"/>
    <w:rsid w:val="41384420"/>
    <w:rsid w:val="414C3A28"/>
    <w:rsid w:val="422B5D33"/>
    <w:rsid w:val="441B3B85"/>
    <w:rsid w:val="44B71B00"/>
    <w:rsid w:val="44DF1057"/>
    <w:rsid w:val="4508410A"/>
    <w:rsid w:val="4698326B"/>
    <w:rsid w:val="46E666CD"/>
    <w:rsid w:val="471C5C4A"/>
    <w:rsid w:val="477E473A"/>
    <w:rsid w:val="49690EEF"/>
    <w:rsid w:val="49F10DE3"/>
    <w:rsid w:val="4A7364C9"/>
    <w:rsid w:val="4BAE52DF"/>
    <w:rsid w:val="4BAE7DAB"/>
    <w:rsid w:val="4BE17463"/>
    <w:rsid w:val="4BEF7DD1"/>
    <w:rsid w:val="4C514A99"/>
    <w:rsid w:val="4D135D42"/>
    <w:rsid w:val="4D930D92"/>
    <w:rsid w:val="4E151645"/>
    <w:rsid w:val="4E7520E4"/>
    <w:rsid w:val="4EC92B5C"/>
    <w:rsid w:val="4ED40B11"/>
    <w:rsid w:val="4F0C47F7"/>
    <w:rsid w:val="4F5F526E"/>
    <w:rsid w:val="4FB31116"/>
    <w:rsid w:val="50850D04"/>
    <w:rsid w:val="519A07DF"/>
    <w:rsid w:val="51A11B6E"/>
    <w:rsid w:val="526D08FC"/>
    <w:rsid w:val="52BB1017"/>
    <w:rsid w:val="53204D14"/>
    <w:rsid w:val="533802B0"/>
    <w:rsid w:val="53397B84"/>
    <w:rsid w:val="535A0021"/>
    <w:rsid w:val="53AF4E3B"/>
    <w:rsid w:val="53C71AD8"/>
    <w:rsid w:val="53C806C1"/>
    <w:rsid w:val="548B2661"/>
    <w:rsid w:val="54921C42"/>
    <w:rsid w:val="54FF095A"/>
    <w:rsid w:val="555E3326"/>
    <w:rsid w:val="55C4407D"/>
    <w:rsid w:val="56301712"/>
    <w:rsid w:val="56A63783"/>
    <w:rsid w:val="570F30D6"/>
    <w:rsid w:val="57BC2B32"/>
    <w:rsid w:val="5816667E"/>
    <w:rsid w:val="581F1A3E"/>
    <w:rsid w:val="587F6039"/>
    <w:rsid w:val="59B434EC"/>
    <w:rsid w:val="59CB11E5"/>
    <w:rsid w:val="59FD38B8"/>
    <w:rsid w:val="5A867B53"/>
    <w:rsid w:val="5AB126F6"/>
    <w:rsid w:val="5AB3646E"/>
    <w:rsid w:val="5AE625FF"/>
    <w:rsid w:val="5BAC183B"/>
    <w:rsid w:val="5C0A47B4"/>
    <w:rsid w:val="5CAE3391"/>
    <w:rsid w:val="5D027239"/>
    <w:rsid w:val="5D2F4907"/>
    <w:rsid w:val="5E413D91"/>
    <w:rsid w:val="5EC7698C"/>
    <w:rsid w:val="5FD44EBD"/>
    <w:rsid w:val="607B5C80"/>
    <w:rsid w:val="60911000"/>
    <w:rsid w:val="613D4CE3"/>
    <w:rsid w:val="61C96577"/>
    <w:rsid w:val="6263077A"/>
    <w:rsid w:val="631321A0"/>
    <w:rsid w:val="63C45248"/>
    <w:rsid w:val="63CB65D6"/>
    <w:rsid w:val="640E2967"/>
    <w:rsid w:val="6486074F"/>
    <w:rsid w:val="655A40B6"/>
    <w:rsid w:val="65711400"/>
    <w:rsid w:val="659F629D"/>
    <w:rsid w:val="65FE51A1"/>
    <w:rsid w:val="6686712D"/>
    <w:rsid w:val="66E63727"/>
    <w:rsid w:val="66E92A3D"/>
    <w:rsid w:val="6703077D"/>
    <w:rsid w:val="670C5CED"/>
    <w:rsid w:val="67DC5993"/>
    <w:rsid w:val="698F1574"/>
    <w:rsid w:val="69DB32EB"/>
    <w:rsid w:val="6AD00976"/>
    <w:rsid w:val="6BD46244"/>
    <w:rsid w:val="6BEB1F0C"/>
    <w:rsid w:val="6E641B01"/>
    <w:rsid w:val="6E786B42"/>
    <w:rsid w:val="6ECF78C3"/>
    <w:rsid w:val="6F0A08FB"/>
    <w:rsid w:val="6F795270"/>
    <w:rsid w:val="6F7C10CD"/>
    <w:rsid w:val="6FA27EC2"/>
    <w:rsid w:val="6FD66A2F"/>
    <w:rsid w:val="6FFF294B"/>
    <w:rsid w:val="6FFFFBEC"/>
    <w:rsid w:val="70182BA3"/>
    <w:rsid w:val="7028354E"/>
    <w:rsid w:val="70E37655"/>
    <w:rsid w:val="712F289B"/>
    <w:rsid w:val="71306613"/>
    <w:rsid w:val="71D45431"/>
    <w:rsid w:val="72676E0E"/>
    <w:rsid w:val="72A46970"/>
    <w:rsid w:val="72CE1C3F"/>
    <w:rsid w:val="73B928EF"/>
    <w:rsid w:val="73FB3F54"/>
    <w:rsid w:val="74940C67"/>
    <w:rsid w:val="749B0247"/>
    <w:rsid w:val="74BC144A"/>
    <w:rsid w:val="757D034A"/>
    <w:rsid w:val="76320737"/>
    <w:rsid w:val="76595CC4"/>
    <w:rsid w:val="76676633"/>
    <w:rsid w:val="76962A74"/>
    <w:rsid w:val="76A97A98"/>
    <w:rsid w:val="76CA4E14"/>
    <w:rsid w:val="76F53C3E"/>
    <w:rsid w:val="77764653"/>
    <w:rsid w:val="77976AA4"/>
    <w:rsid w:val="779A6594"/>
    <w:rsid w:val="781F6A99"/>
    <w:rsid w:val="782D11B6"/>
    <w:rsid w:val="78874D6A"/>
    <w:rsid w:val="794065D4"/>
    <w:rsid w:val="79464C25"/>
    <w:rsid w:val="794C1B10"/>
    <w:rsid w:val="79DF2984"/>
    <w:rsid w:val="7A20580B"/>
    <w:rsid w:val="7A6A4943"/>
    <w:rsid w:val="7A796935"/>
    <w:rsid w:val="7B14665D"/>
    <w:rsid w:val="7B8A691F"/>
    <w:rsid w:val="7BC462D5"/>
    <w:rsid w:val="7BF6404B"/>
    <w:rsid w:val="7C0F66DD"/>
    <w:rsid w:val="7C80044E"/>
    <w:rsid w:val="7CA86FD7"/>
    <w:rsid w:val="7D026FAF"/>
    <w:rsid w:val="7D341239"/>
    <w:rsid w:val="7DE467BB"/>
    <w:rsid w:val="7E5F5E41"/>
    <w:rsid w:val="7FC56178"/>
  </w:rsids>
  <w:docVars>
    <w:docVar w:name="commondata" w:val="eyJoZGlkIjoiNzM3OTA1NjVlZTExOWExMWQyZjIyMWEwNWIyZjk2MGQifQ=="/>
  </w:docVar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uiPriority="0" w:unhideWhenUsed="0"/>
    <w:lsdException w:name="Table Grid" w:semiHidden="0" w:uiPriority="0" w:unhideWhenUsed="0"/>
    <w:lsdException w:name="Table Theme"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pPr>
      <w:widowControl w:val="0"/>
      <w:jc w:val="both"/>
    </w:pPr>
    <w:rPr>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a"/>
    <w:uiPriority w:val="99"/>
    <w:semiHidden/>
    <w:pPr>
      <w:jc w:val="left"/>
    </w:pPr>
  </w:style>
  <w:style w:type="character" w:customStyle="1" w:styleId="a">
    <w:name w:val="批注文字 字符"/>
    <w:link w:val="CommentText"/>
    <w:uiPriority w:val="99"/>
    <w:semiHidden/>
    <w:rPr>
      <w:kern w:val="2"/>
      <w:sz w:val="21"/>
      <w:szCs w:val="24"/>
    </w:rPr>
  </w:style>
  <w:style w:type="paragraph" w:styleId="BodyTextIndent">
    <w:name w:val="Body Text Indent"/>
    <w:basedOn w:val="Normal"/>
    <w:pPr>
      <w:ind w:firstLine="560" w:firstLineChars="200"/>
    </w:pPr>
    <w:rPr>
      <w:rFonts w:ascii="仿宋_GB2312" w:eastAsia="仿宋_GB2312"/>
      <w:sz w:val="28"/>
    </w:rPr>
  </w:style>
  <w:style w:type="paragraph" w:styleId="BalloonText">
    <w:name w:val="Balloon Text"/>
    <w:basedOn w:val="Normal"/>
    <w:semiHidden/>
    <w:rPr>
      <w:sz w:val="18"/>
      <w:szCs w:val="18"/>
    </w:rPr>
  </w:style>
  <w:style w:type="paragraph" w:styleId="Footer">
    <w:name w:val="footer"/>
    <w:basedOn w:val="Normal"/>
    <w:pPr>
      <w:tabs>
        <w:tab w:val="center" w:pos="4153"/>
        <w:tab w:val="right" w:pos="8306"/>
      </w:tabs>
      <w:snapToGrid w:val="0"/>
      <w:jc w:val="left"/>
    </w:pPr>
    <w:rPr>
      <w:sz w:val="18"/>
      <w:szCs w:val="18"/>
    </w:rPr>
  </w:style>
  <w:style w:type="paragraph" w:styleId="Header">
    <w:name w:val="header"/>
    <w:basedOn w:val="Normal"/>
    <w:link w:val="a0"/>
    <w:pPr>
      <w:pBdr>
        <w:bottom w:val="single" w:sz="6" w:space="1" w:color="auto"/>
      </w:pBdr>
      <w:tabs>
        <w:tab w:val="center" w:pos="4153"/>
        <w:tab w:val="right" w:pos="8306"/>
      </w:tabs>
      <w:snapToGrid w:val="0"/>
      <w:jc w:val="center"/>
    </w:pPr>
    <w:rPr>
      <w:sz w:val="18"/>
      <w:szCs w:val="18"/>
    </w:rPr>
  </w:style>
  <w:style w:type="character" w:customStyle="1" w:styleId="a0">
    <w:name w:val="页眉 字符"/>
    <w:link w:val="Header"/>
    <w:rPr>
      <w:kern w:val="2"/>
      <w:sz w:val="18"/>
      <w:szCs w:val="18"/>
    </w:rPr>
  </w:style>
  <w:style w:type="paragraph" w:styleId="NormalWeb">
    <w:name w:val="Normal (Web)"/>
    <w:basedOn w:val="Normal"/>
    <w:pPr>
      <w:widowControl/>
      <w:spacing w:before="100" w:beforeAutospacing="1" w:after="100" w:afterAutospacing="1"/>
      <w:jc w:val="left"/>
    </w:pPr>
    <w:rPr>
      <w:rFonts w:ascii="宋体" w:hAnsi="宋体" w:cs="宋体"/>
      <w:kern w:val="0"/>
      <w:sz w:val="24"/>
    </w:rPr>
  </w:style>
  <w:style w:type="paragraph" w:styleId="CommentSubject">
    <w:name w:val="annotation subject"/>
    <w:basedOn w:val="CommentText"/>
    <w:next w:val="CommentText"/>
    <w:semiHidden/>
    <w:rPr>
      <w:b/>
      <w:bCs/>
    </w:rPr>
  </w:style>
  <w:style w:type="character" w:styleId="PageNumber">
    <w:name w:val="page number"/>
  </w:style>
  <w:style w:type="character" w:styleId="Hyperlink">
    <w:name w:val="Hyperlink"/>
    <w:rPr>
      <w:color w:val="0000FF"/>
      <w:u w:val="single"/>
    </w:rPr>
  </w:style>
  <w:style w:type="character" w:styleId="CommentReference">
    <w:name w:val="annotation reference"/>
    <w:uiPriority w:val="99"/>
    <w:semiHidden/>
    <w:rPr>
      <w:sz w:val="21"/>
      <w:szCs w:val="21"/>
    </w:rPr>
  </w:style>
  <w:style w:type="character" w:customStyle="1" w:styleId="fontstyle01">
    <w:name w:val="fontstyle01"/>
    <w:rPr>
      <w:rFonts w:ascii="宋体" w:eastAsia="宋体" w:hAnsi="宋体" w:hint="eastAsia"/>
      <w:color w:val="000000"/>
      <w:sz w:val="22"/>
      <w:szCs w:val="22"/>
    </w:rPr>
  </w:style>
  <w:style w:type="paragraph" w:customStyle="1" w:styleId="Default">
    <w:name w:val="Default"/>
    <w:pPr>
      <w:widowControl w:val="0"/>
      <w:autoSpaceDE w:val="0"/>
      <w:autoSpaceDN w:val="0"/>
      <w:adjustRightInd w:val="0"/>
    </w:pPr>
    <w:rPr>
      <w:rFonts w:ascii="宋体" w:cs="宋体"/>
      <w:color w:val="000000"/>
      <w:sz w:val="24"/>
      <w:szCs w:val="24"/>
      <w:lang w:val="en-US" w:eastAsia="zh-CN" w:bidi="ar-SA"/>
    </w:rPr>
  </w:style>
  <w:style w:type="paragraph" w:customStyle="1" w:styleId="Char">
    <w:name w:val=" Char"/>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157259041</TotalTime>
  <Pages>13</Pages>
  <Words>1918</Words>
  <Characters>10938</Characters>
  <Application>Microsoft Office Word</Application>
  <DocSecurity>0</DocSecurity>
  <Lines>91</Lines>
  <Paragraphs>25</Paragraphs>
  <ScaleCrop>false</ScaleCrop>
  <Company>WwW.YlmF.CoM</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滕克</dc:creator>
  <cp:lastModifiedBy>whr</cp:lastModifiedBy>
  <cp:revision>5</cp:revision>
  <cp:lastPrinted>2011-09-18T02:03:00Z</cp:lastPrinted>
  <dcterms:created xsi:type="dcterms:W3CDTF">2023-07-25T08:36:00Z</dcterms:created>
  <dcterms:modified xsi:type="dcterms:W3CDTF">2025-09-12T01:14:00Z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660BE799167C4CDFAFD3A1EE31C8BD6C</vt:lpwstr>
  </property>
  <property fmtid="{D5CDD505-2E9C-101B-9397-08002B2CF9AE}" pid="3" name="KSOProductBuildVer">
    <vt:lpwstr>2052-12.1.0.15358</vt:lpwstr>
  </property>
</Properties>
</file>