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outlineLvl w:val="0"/>
        <w:rPr>
          <w:rFonts w:hint="eastAsia"/>
          <w:b/>
          <w:color w:val="000000" w:themeColor="text1"/>
          <w:sz w:val="44"/>
          <w:szCs w:val="44"/>
          <w:highlight w:val="none"/>
          <w14:textFill>
            <w14:solidFill>
              <w14:schemeClr w14:val="tx1"/>
            </w14:solidFill>
          </w14:textFill>
        </w:rPr>
      </w:pPr>
      <w:r>
        <w:rPr>
          <w:rFonts w:hint="eastAsia"/>
          <w:b/>
          <w:color w:val="000000" w:themeColor="text1"/>
          <w:sz w:val="44"/>
          <w:szCs w:val="44"/>
          <w:highlight w:val="none"/>
          <w14:textFill>
            <w14:solidFill>
              <w14:schemeClr w14:val="tx1"/>
            </w14:solidFill>
          </w14:textFill>
        </w:rPr>
        <w:t>杭银理财理财计划投资协议书</w:t>
      </w:r>
    </w:p>
    <w:p>
      <w:pPr>
        <w:jc w:val="center"/>
        <w:rPr>
          <w:rFonts w:hint="eastAsia"/>
          <w:b/>
          <w:color w:val="000000" w:themeColor="text1"/>
          <w:sz w:val="44"/>
          <w:szCs w:val="44"/>
          <w:highlight w:val="none"/>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cs="宋体"/>
          <w:color w:val="000000" w:themeColor="text1"/>
          <w:sz w:val="28"/>
          <w:szCs w:val="28"/>
          <w:highlight w:val="none"/>
          <w:lang w:eastAsia="zh-CN"/>
          <w14:textFill>
            <w14:solidFill>
              <w14:schemeClr w14:val="tx1"/>
            </w14:solidFill>
          </w14:textFill>
        </w:rPr>
        <w:t>202502版</w:t>
      </w:r>
      <w:r>
        <w:rPr>
          <w:rFonts w:hint="eastAsia" w:ascii="宋体" w:hAnsi="宋体" w:cs="宋体"/>
          <w:color w:val="000000" w:themeColor="text1"/>
          <w:sz w:val="28"/>
          <w:szCs w:val="28"/>
          <w:highlight w:val="none"/>
          <w14:textFill>
            <w14:solidFill>
              <w14:schemeClr w14:val="tx1"/>
            </w14:solidFill>
          </w14:textFill>
        </w:rPr>
        <w:t>）</w:t>
      </w:r>
    </w:p>
    <w:p>
      <w:pPr>
        <w:spacing w:line="360" w:lineRule="auto"/>
        <w:jc w:val="center"/>
        <w:rPr>
          <w:rFonts w:hint="eastAsia"/>
          <w:b/>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24"/>
          <w:highlight w:val="none"/>
          <w:u w:val="single"/>
          <w14:textFill>
            <w14:solidFill>
              <w14:schemeClr w14:val="tx1"/>
            </w14:solidFill>
          </w14:textFill>
        </w:rPr>
        <w:t>理财非存款、产品有风险、投资须谨慎</w:t>
      </w:r>
    </w:p>
    <w:p>
      <w:pPr>
        <w:spacing w:line="360" w:lineRule="auto"/>
        <w:ind w:firstLine="482" w:firstLineChars="200"/>
        <w:rPr>
          <w:rFonts w:hint="eastAsia"/>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特别提示：杭银理财理财计划投资协议书与</w:t>
      </w:r>
      <w:r>
        <w:rPr>
          <w:rFonts w:hint="eastAsia"/>
          <w:b/>
          <w:bCs/>
          <w:color w:val="000000" w:themeColor="text1"/>
          <w:sz w:val="24"/>
          <w:highlight w:val="none"/>
          <w:lang w:eastAsia="zh-CN"/>
          <w14:textFill>
            <w14:solidFill>
              <w14:schemeClr w14:val="tx1"/>
            </w14:solidFill>
          </w14:textFill>
        </w:rPr>
        <w:t>理财计划风险揭示书、理财计划产品说明书、</w:t>
      </w:r>
      <w:r>
        <w:rPr>
          <w:rFonts w:hint="eastAsia"/>
          <w:b/>
          <w:bCs/>
          <w:color w:val="000000" w:themeColor="text1"/>
          <w:sz w:val="24"/>
          <w:highlight w:val="none"/>
          <w14:textFill>
            <w14:solidFill>
              <w14:schemeClr w14:val="tx1"/>
            </w14:solidFill>
          </w14:textFill>
        </w:rPr>
        <w:t>投资者权益须知</w:t>
      </w:r>
      <w:r>
        <w:rPr>
          <w:rFonts w:hint="eastAsia"/>
          <w:b/>
          <w:bCs/>
          <w:color w:val="000000" w:themeColor="text1"/>
          <w:sz w:val="24"/>
          <w:highlight w:val="none"/>
          <w:lang w:eastAsia="zh-CN"/>
          <w14:textFill>
            <w14:solidFill>
              <w14:schemeClr w14:val="tx1"/>
            </w14:solidFill>
          </w14:textFill>
        </w:rPr>
        <w:t>及理财计划销售协议书</w:t>
      </w:r>
      <w:r>
        <w:rPr>
          <w:rFonts w:hint="eastAsia"/>
          <w:b/>
          <w:bCs/>
          <w:color w:val="000000" w:themeColor="text1"/>
          <w:sz w:val="24"/>
          <w:highlight w:val="none"/>
          <w14:textFill>
            <w14:solidFill>
              <w14:schemeClr w14:val="tx1"/>
            </w14:solidFill>
          </w14:textFill>
        </w:rPr>
        <w:t>共同构成完整且不可分割的理财计划合同。杭银理财有限责任公司（以下简称“杭银理财”）建议投资者在购买理财计划前认真阅读理财计划合同，投资者签署协议书（含电子渠道签署）即视为已详细阅读理财计划合同并知悉相关风险，自愿投资购买理财计划、遵守合同约定并承担相应风险。</w:t>
      </w:r>
    </w:p>
    <w:p>
      <w:pPr>
        <w:spacing w:line="360" w:lineRule="auto"/>
        <w:ind w:firstLine="480" w:firstLineChars="200"/>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投资者与管理人（即杭银理财有限责任公司）经平等友好协商，本着自愿、诚实信用原则，就投资者购买管理人发行的理财计划有关事宜达成如下协议（以下简称“本协议”）：</w:t>
      </w:r>
    </w:p>
    <w:p>
      <w:pPr>
        <w:spacing w:line="360" w:lineRule="auto"/>
        <w:ind w:firstLine="480" w:firstLineChars="200"/>
        <w:rPr>
          <w:rFonts w:hint="eastAsia"/>
          <w:color w:val="000000" w:themeColor="text1"/>
          <w:sz w:val="24"/>
          <w:highlight w:val="none"/>
          <w14:textFill>
            <w14:solidFill>
              <w14:schemeClr w14:val="tx1"/>
            </w14:solidFill>
          </w14:textFill>
        </w:rPr>
      </w:pPr>
    </w:p>
    <w:p>
      <w:pPr>
        <w:numPr>
          <w:ilvl w:val="0"/>
          <w:numId w:val="1"/>
        </w:numPr>
        <w:spacing w:line="360" w:lineRule="auto"/>
        <w:ind w:firstLine="482" w:firstLineChars="200"/>
        <w:outlineLvl w:val="1"/>
        <w:rPr>
          <w:rFonts w:hint="eastAsia" w:ascii="宋体" w:hAnsi="宋体"/>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名词释义</w:t>
      </w:r>
    </w:p>
    <w:p>
      <w:pPr>
        <w:spacing w:line="360" w:lineRule="auto"/>
        <w:ind w:firstLine="480" w:firstLineChars="200"/>
        <w:rPr>
          <w:rFonts w:hint="eastAsia"/>
          <w:bCs/>
          <w:color w:val="000000" w:themeColor="text1"/>
          <w:sz w:val="24"/>
          <w:highlight w:val="none"/>
          <w14:textFill>
            <w14:solidFill>
              <w14:schemeClr w14:val="tx1"/>
            </w14:solidFill>
          </w14:textFill>
        </w:rPr>
      </w:pPr>
      <w:r>
        <w:rPr>
          <w:rFonts w:hint="eastAsia"/>
          <w:bCs/>
          <w:color w:val="000000" w:themeColor="text1"/>
          <w:sz w:val="24"/>
          <w:highlight w:val="none"/>
          <w14:textFill>
            <w14:solidFill>
              <w14:schemeClr w14:val="tx1"/>
            </w14:solidFill>
          </w14:textFill>
        </w:rPr>
        <w:t>详见理财计划说明书“释义”部分。</w:t>
      </w:r>
    </w:p>
    <w:p>
      <w:pPr>
        <w:spacing w:line="360" w:lineRule="auto"/>
        <w:ind w:firstLine="480" w:firstLineChars="200"/>
        <w:rPr>
          <w:rFonts w:hint="eastAsia"/>
          <w:bCs/>
          <w:color w:val="000000" w:themeColor="text1"/>
          <w:sz w:val="24"/>
          <w:highlight w:val="none"/>
          <w14:textFill>
            <w14:solidFill>
              <w14:schemeClr w14:val="tx1"/>
            </w14:solidFill>
          </w14:textFill>
        </w:rPr>
      </w:pPr>
    </w:p>
    <w:p>
      <w:pPr>
        <w:numPr>
          <w:ilvl w:val="0"/>
          <w:numId w:val="1"/>
        </w:numPr>
        <w:spacing w:line="360" w:lineRule="auto"/>
        <w:ind w:firstLine="482" w:firstLineChars="200"/>
        <w:outlineLvl w:val="1"/>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投资者权利与义务</w:t>
      </w:r>
    </w:p>
    <w:p>
      <w:pPr>
        <w:widowControl/>
        <w:numPr>
          <w:ilvl w:val="0"/>
          <w:numId w:val="2"/>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资者应当保证其理财资金为合法拥有的自有资金，不存在涉嫌洗钱、恶意逃避税收征收管理等违法违规行为。投资者不得使用贷款、发行债券等方式筹集的非自有资金购买理财计划。投资者将其自有资金用作本理财计划投资协议书条款项下理财交易并不违反相关法律、法规、规章、规定、</w:t>
      </w:r>
      <w:r>
        <w:rPr>
          <w:rFonts w:hint="eastAsia" w:ascii="宋体" w:hAnsi="宋体" w:cs="宋体"/>
          <w:color w:val="000000" w:themeColor="text1"/>
          <w:kern w:val="0"/>
          <w:sz w:val="24"/>
          <w:highlight w:val="none"/>
          <w14:textFill>
            <w14:solidFill>
              <w14:schemeClr w14:val="tx1"/>
            </w14:solidFill>
          </w14:textFill>
        </w:rPr>
        <w:t xml:space="preserve">法院裁定或命令的要求，投资者具有完全民事行为能力，能够自行识别、判断和承担理财计划的相关风险；不存在法律法规、有权机关或主管机关禁止或限制购买理财计划的各种情形。投资者按其投资金额在本理财计划投资协议书中享有相应的权利，承担相应的义务和风险。 </w:t>
      </w:r>
    </w:p>
    <w:p>
      <w:pPr>
        <w:widowControl/>
        <w:numPr>
          <w:ilvl w:val="0"/>
          <w:numId w:val="2"/>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投资者保证自身完全了解理财投资的性质，投资所涉及的风险以及自身风险承受能力，在慎重考虑后独立作出交易决定。</w:t>
      </w:r>
    </w:p>
    <w:p>
      <w:pPr>
        <w:widowControl/>
        <w:numPr>
          <w:ilvl w:val="0"/>
          <w:numId w:val="2"/>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投资者保证其有权利签署本协议和履行本协议所述的义务，并已为此采取一切所需的行为。</w:t>
      </w:r>
    </w:p>
    <w:p>
      <w:pPr>
        <w:widowControl/>
        <w:numPr>
          <w:ilvl w:val="0"/>
          <w:numId w:val="2"/>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资者保证执行及交付任何文件或履行本协议项下的义务，均不会违反任何适用法律、法规、法令或法律限制，任何法院或其他政府机关所作出的适用于投资者或投资者任何资产的指令或判决；对投资者或投资者任何资产有约束力的任何重大协议条款。投资者应在签署本协议的同时在授权指定账户存入足额的资金以确保账户余额大于或等于认/申购金额。</w:t>
      </w:r>
    </w:p>
    <w:p>
      <w:pPr>
        <w:widowControl/>
        <w:numPr>
          <w:ilvl w:val="0"/>
          <w:numId w:val="2"/>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本协议终止前，投资者应保证其“授权指定账户”处于正常状态，投资者授权指定账户发生资金余额不足、挂失、换卡、长期不动户等特殊情况或被有权机关采取冻结、扣划、强制措施等变更或异常情形，导致认/申购不成功，以及在本理财计划存续期内如因有权机关依法采取强制措施导致理财份额、理财账户、授权指定账户被冻结或扣划的，管理人对此不承担任何责任。 </w:t>
      </w:r>
    </w:p>
    <w:p>
      <w:pPr>
        <w:widowControl/>
        <w:numPr>
          <w:ilvl w:val="0"/>
          <w:numId w:val="2"/>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在本理财计划存续期内，如有权机关要求管理人配合对投资者理财份额、理财账户、授权指定账户进行查封、冻结或扣划的，管理人有权根据实际情况采取如下措施，包括但不限于全额或部分终止理财交易、停止向投资者支付投资本金及投资收益。由于提前终止交易而产生的一切损失及费用将由投资者承担，管理人有权将此损失及费用从投资者的授权指定账户、理财本金及收益中扣除。管理人对上述后果不承担任何责任。 </w:t>
      </w:r>
    </w:p>
    <w:p>
      <w:pPr>
        <w:widowControl/>
        <w:numPr>
          <w:ilvl w:val="0"/>
          <w:numId w:val="2"/>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本协议终止前，投资者不得将授权指定账户销户。若发生因投资者注销授权指定账户造成理财计划无法正常兑付的，管理人不承担任何责任。</w:t>
      </w:r>
    </w:p>
    <w:p>
      <w:pPr>
        <w:widowControl/>
        <w:numPr>
          <w:ilvl w:val="0"/>
          <w:numId w:val="2"/>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投资者应确保其提供的所有资料真实、完整、合法、有效，如果有任何变更，投资者应及时通知管理人并办理变更手续。如因投资者未及时通知管理人并办理相应的变更手续，由此导致的一切后果由投资者自行承担，管理人对此不承担任何责任。 </w:t>
      </w:r>
    </w:p>
    <w:p>
      <w:pPr>
        <w:widowControl/>
        <w:numPr>
          <w:ilvl w:val="0"/>
          <w:numId w:val="2"/>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投资者进行投资时，应严格遵守反洗钱相关法规的规定，切实履行反洗钱及反恐怖融资义务。 </w:t>
      </w:r>
    </w:p>
    <w:p>
      <w:pPr>
        <w:spacing w:line="360" w:lineRule="auto"/>
        <w:ind w:left="482"/>
        <w:rPr>
          <w:b/>
          <w:color w:val="000000" w:themeColor="text1"/>
          <w:sz w:val="24"/>
          <w:highlight w:val="none"/>
          <w14:textFill>
            <w14:solidFill>
              <w14:schemeClr w14:val="tx1"/>
            </w14:solidFill>
          </w14:textFill>
        </w:rPr>
      </w:pPr>
    </w:p>
    <w:p>
      <w:pPr>
        <w:numPr>
          <w:ilvl w:val="0"/>
          <w:numId w:val="1"/>
        </w:numPr>
        <w:spacing w:line="360" w:lineRule="auto"/>
        <w:ind w:firstLine="482" w:firstLineChars="200"/>
        <w:outlineLvl w:val="1"/>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管理人权利与义务</w:t>
      </w:r>
    </w:p>
    <w:p>
      <w:pPr>
        <w:widowControl/>
        <w:numPr>
          <w:ilvl w:val="0"/>
          <w:numId w:val="3"/>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管理人应当诚实守信、勤勉尽责地履行受人之托、代人理财职责。 </w:t>
      </w:r>
    </w:p>
    <w:p>
      <w:pPr>
        <w:widowControl/>
        <w:numPr>
          <w:ilvl w:val="0"/>
          <w:numId w:val="3"/>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管理人应当按照理财计划销售文件的约定收取管理费用、确定收益分配方案、向投资者分配收益。 </w:t>
      </w:r>
    </w:p>
    <w:p>
      <w:pPr>
        <w:widowControl/>
        <w:numPr>
          <w:ilvl w:val="0"/>
          <w:numId w:val="3"/>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管理人应当按照理财计划销售文件的约定履行风险揭示及信息披露义务。 </w:t>
      </w:r>
    </w:p>
    <w:p>
      <w:pPr>
        <w:widowControl/>
        <w:numPr>
          <w:ilvl w:val="0"/>
          <w:numId w:val="3"/>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管理人应当确保理财业务与其他业务相分离，理财计划之间相分离，理财业务操作与其他业务操作相分离。 </w:t>
      </w:r>
    </w:p>
    <w:p>
      <w:pPr>
        <w:widowControl/>
        <w:numPr>
          <w:ilvl w:val="0"/>
          <w:numId w:val="3"/>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管理人不得将理财</w:t>
      </w:r>
      <w:r>
        <w:rPr>
          <w:rFonts w:hint="eastAsia" w:ascii="宋体" w:hAnsi="宋体"/>
          <w:color w:val="000000" w:themeColor="text1"/>
          <w:sz w:val="24"/>
          <w:highlight w:val="none"/>
          <w14:textFill>
            <w14:solidFill>
              <w14:schemeClr w14:val="tx1"/>
            </w14:solidFill>
          </w14:textFill>
        </w:rPr>
        <w:t>计划</w:t>
      </w:r>
      <w:r>
        <w:rPr>
          <w:rFonts w:ascii="宋体" w:hAnsi="宋体"/>
          <w:color w:val="000000" w:themeColor="text1"/>
          <w:sz w:val="24"/>
          <w:highlight w:val="none"/>
          <w14:textFill>
            <w14:solidFill>
              <w14:schemeClr w14:val="tx1"/>
            </w14:solidFill>
          </w14:textFill>
        </w:rPr>
        <w:t>财产归入其自有资产</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因依法解散</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被依法撤销或者被依法宣告破产等原因进行清算的</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理财</w:t>
      </w:r>
      <w:r>
        <w:rPr>
          <w:rFonts w:hint="eastAsia" w:ascii="宋体" w:hAnsi="宋体"/>
          <w:color w:val="000000" w:themeColor="text1"/>
          <w:sz w:val="24"/>
          <w:highlight w:val="none"/>
          <w14:textFill>
            <w14:solidFill>
              <w14:schemeClr w14:val="tx1"/>
            </w14:solidFill>
          </w14:textFill>
        </w:rPr>
        <w:t>计划</w:t>
      </w:r>
      <w:r>
        <w:rPr>
          <w:rFonts w:ascii="宋体" w:hAnsi="宋体"/>
          <w:color w:val="000000" w:themeColor="text1"/>
          <w:sz w:val="24"/>
          <w:highlight w:val="none"/>
          <w14:textFill>
            <w14:solidFill>
              <w14:schemeClr w14:val="tx1"/>
            </w14:solidFill>
          </w14:textFill>
        </w:rPr>
        <w:t>财产不属于其清算财产</w:t>
      </w:r>
      <w:r>
        <w:rPr>
          <w:rFonts w:hint="eastAsia" w:ascii="宋体" w:hAnsi="宋体"/>
          <w:color w:val="000000" w:themeColor="text1"/>
          <w:sz w:val="24"/>
          <w:highlight w:val="none"/>
          <w14:textFill>
            <w14:solidFill>
              <w14:schemeClr w14:val="tx1"/>
            </w14:solidFill>
          </w14:textFill>
        </w:rPr>
        <w:t>。</w:t>
      </w:r>
    </w:p>
    <w:p>
      <w:pPr>
        <w:widowControl/>
        <w:numPr>
          <w:ilvl w:val="0"/>
          <w:numId w:val="3"/>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管理人应当选择具有证券投资基金托管业务资格的金融机构、银行业理财登记托管机构或者国务院银行业监督管理机构认可的其他机构托管理财计划。 </w:t>
      </w:r>
    </w:p>
    <w:p>
      <w:pPr>
        <w:widowControl/>
        <w:numPr>
          <w:ilvl w:val="0"/>
          <w:numId w:val="3"/>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管理人作为理财计划管理人，全权负责理财计划资金的运用和理财计划资产的管理，管理人有权并代表投资者利益，按照法律法规和监管部门相关规定对理财计划投资产生的风险资产进行多种方式的处置，包括但不限于转让、重组、债转股、资产证券化、催收、抵债资产收取与处置、破产重整等。 </w:t>
      </w:r>
    </w:p>
    <w:p>
      <w:pPr>
        <w:widowControl/>
        <w:numPr>
          <w:ilvl w:val="0"/>
          <w:numId w:val="3"/>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管理人</w:t>
      </w:r>
      <w:r>
        <w:rPr>
          <w:rFonts w:hint="eastAsia" w:ascii="宋体" w:hAnsi="宋体" w:cs="宋体"/>
          <w:bCs/>
          <w:color w:val="000000" w:themeColor="text1"/>
          <w:sz w:val="24"/>
          <w:highlight w:val="none"/>
          <w14:textFill>
            <w14:solidFill>
              <w14:schemeClr w14:val="tx1"/>
            </w14:solidFill>
          </w14:textFill>
        </w:rPr>
        <w:t>应就理财计划销售过程中获知的投资者信息承担保密义务。非经投资者事先许可，不得向第三方披露，但法律法规或监管规定另有要求的除外。投资者在此同意并授权，管理人可根据监管要求，为理财计划登记等需要，向登记部门或监管机构提供投资者相关信息</w:t>
      </w:r>
      <w:r>
        <w:rPr>
          <w:rFonts w:hint="eastAsia" w:ascii="宋体" w:hAnsi="宋体" w:cs="宋体"/>
          <w:bCs/>
          <w:color w:val="000000" w:themeColor="text1"/>
          <w:sz w:val="24"/>
          <w:highlight w:val="none"/>
          <w:lang w:eastAsia="zh-CN"/>
          <w14:textFill>
            <w14:solidFill>
              <w14:schemeClr w14:val="tx1"/>
            </w14:solidFill>
          </w14:textFill>
        </w:rPr>
        <w:t>，</w:t>
      </w:r>
      <w:r>
        <w:rPr>
          <w:rFonts w:hint="eastAsia" w:ascii="宋体" w:hAnsi="宋体" w:cs="宋体"/>
          <w:b w:val="0"/>
          <w:bCs/>
          <w:color w:val="000000" w:themeColor="text1"/>
          <w:sz w:val="24"/>
          <w:highlight w:val="none"/>
          <w:lang w:val="en-US" w:eastAsia="zh-CN"/>
          <w14:textFill>
            <w14:solidFill>
              <w14:schemeClr w14:val="tx1"/>
            </w14:solidFill>
          </w14:textFill>
        </w:rPr>
        <w:t>授权使用时限与履行相关法律法规和监管要求的必要时限一致</w:t>
      </w:r>
      <w:r>
        <w:rPr>
          <w:rFonts w:hint="eastAsia" w:ascii="宋体" w:hAnsi="宋体" w:cs="宋体"/>
          <w:b w:val="0"/>
          <w:bCs/>
          <w:color w:val="000000" w:themeColor="text1"/>
          <w:sz w:val="24"/>
          <w:highlight w:val="none"/>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 xml:space="preserve"> </w:t>
      </w:r>
    </w:p>
    <w:p>
      <w:pPr>
        <w:widowControl/>
        <w:numPr>
          <w:ilvl w:val="0"/>
          <w:numId w:val="3"/>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管理人在此特别披露：若理财计划管理人的关联方担任理财计划的代销机构、托管人、合作机构的，理财计划管理人将按照法律法规和监管要求履行相应程序，投资者认购或申购理财计划即视为同意该等安排。 </w:t>
      </w:r>
    </w:p>
    <w:p>
      <w:pPr>
        <w:spacing w:line="360" w:lineRule="auto"/>
        <w:rPr>
          <w:b/>
          <w:color w:val="000000" w:themeColor="text1"/>
          <w:sz w:val="24"/>
          <w:highlight w:val="none"/>
          <w14:textFill>
            <w14:solidFill>
              <w14:schemeClr w14:val="tx1"/>
            </w14:solidFill>
          </w14:textFill>
        </w:rPr>
      </w:pPr>
    </w:p>
    <w:p>
      <w:pPr>
        <w:numPr>
          <w:ilvl w:val="0"/>
          <w:numId w:val="1"/>
        </w:numPr>
        <w:spacing w:line="360" w:lineRule="auto"/>
        <w:ind w:firstLine="482" w:firstLineChars="200"/>
        <w:outlineLvl w:val="1"/>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理财计划认（申）购、赎回及终止</w:t>
      </w:r>
    </w:p>
    <w:p>
      <w:pPr>
        <w:widowControl/>
        <w:numPr>
          <w:ilvl w:val="0"/>
          <w:numId w:val="4"/>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理财计划认/申购办理流程：参照《投资者权益须知》约定。 </w:t>
      </w:r>
    </w:p>
    <w:p>
      <w:pPr>
        <w:widowControl/>
        <w:numPr>
          <w:ilvl w:val="0"/>
          <w:numId w:val="4"/>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理财计划认/申购确认：通过杭银理财直销渠道认/申购理财计划的，投资者须指定账户用于认/申购交易和赎回资金清算，投资者购买及扣划时应确保足额资金；如投资者通过代销渠道认/申购理财计划的，管理人仅根据代销渠道提供的交易信息及资金划付对投资者相应认/申购进行确认。</w:t>
      </w:r>
    </w:p>
    <w:p>
      <w:pPr>
        <w:widowControl/>
        <w:numPr>
          <w:ilvl w:val="0"/>
          <w:numId w:val="4"/>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理财计划不成立：若在募集期结束日，本理财计划发行规模未能达到对应期次的《理财计划产品说明书》规定的要求，则本理财计划不成立，管理人将按对应期次的《理财计划产品说明书》约定条款向投资者进行公告，并将及时解除对投资者授权指定账户中认购资金的冻结。 </w:t>
      </w:r>
    </w:p>
    <w:p>
      <w:pPr>
        <w:widowControl/>
        <w:numPr>
          <w:ilvl w:val="0"/>
          <w:numId w:val="4"/>
        </w:numPr>
        <w:spacing w:line="360" w:lineRule="auto"/>
        <w:ind w:firstLine="480" w:firstLineChars="200"/>
        <w:contextualSpacing/>
        <w:outlineLvl w:val="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理财计划投资品种、投资起点金额、收益支付方式：参照对应期次的《理财计划产品说明书》中的条款约定。 </w:t>
      </w:r>
    </w:p>
    <w:p>
      <w:pPr>
        <w:widowControl/>
        <w:numPr>
          <w:ilvl w:val="0"/>
          <w:numId w:val="4"/>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理财计划赎回/终止兑付：在正常情况下，管理人和代销机构将按照对应期次的《理财计划产品说明书》相关约定，将兑付款项划入投资者授权杭银理财理财计划销售文件指定账户。如出现不可抗力、市场停市或管制等异常事件、交易对手违约或其他非管理人主导、仅能被动接受的外部事件或客观情形，导致理财计划无法按约定日清算时，或根据产品说明书约定管理人对理财计划进行延期或转换时，管理人将于原约定清算日前通过信息披露途径及时通知，并根据实际情况进行后续处理。</w:t>
      </w:r>
    </w:p>
    <w:p>
      <w:pPr>
        <w:widowControl/>
        <w:numPr>
          <w:ilvl w:val="0"/>
          <w:numId w:val="4"/>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资金清算：通过管理人直销渠道认申购理财份额的，理财计划终止或份额赎回时，清算资金将直接划入投资者指定账户；通过代销渠道认申购理财份额的，理财计划终止或份额赎回时，管理人按理财计划合同约定划付至代销机构清算账户后，由代销机构向投资者划付投资者应得资金。如因投资者清算账户余额不足，或代销机构未及时足额划付资金，或代销机构清算账户内资金被依法冻结或扣划，或代销机构清算账户处于被挂失、冻结、注销或其他非正常状态等原因而导致交易失败。对于因上述原因导致的交易失败可能带来的任何损失及预期损失，投资者须自行承担或向代销机构依法主张。</w:t>
      </w:r>
    </w:p>
    <w:p>
      <w:pPr>
        <w:spacing w:line="360" w:lineRule="auto"/>
        <w:ind w:left="482"/>
        <w:rPr>
          <w:b/>
          <w:color w:val="000000" w:themeColor="text1"/>
          <w:sz w:val="24"/>
          <w:highlight w:val="none"/>
          <w14:textFill>
            <w14:solidFill>
              <w14:schemeClr w14:val="tx1"/>
            </w14:solidFill>
          </w14:textFill>
        </w:rPr>
      </w:pPr>
    </w:p>
    <w:p>
      <w:pPr>
        <w:numPr>
          <w:ilvl w:val="0"/>
          <w:numId w:val="1"/>
        </w:numPr>
        <w:spacing w:line="360" w:lineRule="auto"/>
        <w:ind w:firstLine="482" w:firstLineChars="200"/>
        <w:outlineLvl w:val="1"/>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税收处理</w:t>
      </w:r>
    </w:p>
    <w:p>
      <w:pPr>
        <w:widowControl/>
        <w:spacing w:line="360" w:lineRule="auto"/>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税收相关法律、法规及政策规定，理财计划运营过程中发生的增值税应税行为，以管理人为纳税人；理财计划运营过程中产生的应缴增值税及附加税费由理财计划财产承担。投资者因投资理财计划获得收益的应纳税款由投资者自行申报缴纳。</w:t>
      </w:r>
    </w:p>
    <w:p>
      <w:pPr>
        <w:widowControl/>
        <w:spacing w:line="360" w:lineRule="auto"/>
        <w:ind w:firstLine="480" w:firstLineChars="200"/>
        <w:contextualSpacing/>
        <w:rPr>
          <w:rFonts w:ascii="宋体" w:hAnsi="宋体"/>
          <w:color w:val="000000" w:themeColor="text1"/>
          <w:sz w:val="24"/>
          <w:highlight w:val="none"/>
          <w14:textFill>
            <w14:solidFill>
              <w14:schemeClr w14:val="tx1"/>
            </w14:solidFill>
          </w14:textFill>
        </w:rPr>
      </w:pPr>
    </w:p>
    <w:p>
      <w:pPr>
        <w:numPr>
          <w:ilvl w:val="0"/>
          <w:numId w:val="1"/>
        </w:numPr>
        <w:spacing w:line="360" w:lineRule="auto"/>
        <w:ind w:firstLine="482" w:firstLineChars="200"/>
        <w:outlineLvl w:val="1"/>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违约责任及免责条款</w:t>
      </w:r>
    </w:p>
    <w:p>
      <w:pPr>
        <w:widowControl/>
        <w:numPr>
          <w:ilvl w:val="0"/>
          <w:numId w:val="5"/>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若因投资人原因导致司法或行政机构采取强制措施对其理财本金、收益进行部分或全部被扣划，均视投资者本人就全部理财本金违约进行了提前</w:t>
      </w:r>
      <w:r>
        <w:rPr>
          <w:rFonts w:hint="eastAsia" w:ascii="宋体" w:hAnsi="宋体"/>
          <w:color w:val="000000" w:themeColor="text1"/>
          <w:sz w:val="24"/>
          <w:highlight w:val="none"/>
          <w:lang w:eastAsia="zh-CN"/>
          <w14:textFill>
            <w14:solidFill>
              <w14:schemeClr w14:val="tx1"/>
            </w14:solidFill>
          </w14:textFill>
        </w:rPr>
        <w:t>赎回</w:t>
      </w:r>
      <w:r>
        <w:rPr>
          <w:rFonts w:hint="eastAsia" w:ascii="宋体" w:hAnsi="宋体"/>
          <w:color w:val="000000" w:themeColor="text1"/>
          <w:sz w:val="24"/>
          <w:highlight w:val="none"/>
          <w14:textFill>
            <w14:solidFill>
              <w14:schemeClr w14:val="tx1"/>
            </w14:solidFill>
          </w14:textFill>
        </w:rPr>
        <w:t>，本合同自动终止。因提前终止而产生的损失及相关费用由投资者承担。本合同前述情况终止的，理财本金不计付</w:t>
      </w:r>
      <w:r>
        <w:rPr>
          <w:rFonts w:hint="eastAsia" w:ascii="宋体" w:hAnsi="宋体"/>
          <w:color w:val="000000" w:themeColor="text1"/>
          <w:sz w:val="24"/>
          <w:highlight w:val="none"/>
          <w:lang w:eastAsia="zh-CN"/>
          <w14:textFill>
            <w14:solidFill>
              <w14:schemeClr w14:val="tx1"/>
            </w14:solidFill>
          </w14:textFill>
        </w:rPr>
        <w:t>赎回</w:t>
      </w:r>
      <w:r>
        <w:rPr>
          <w:rFonts w:hint="eastAsia" w:ascii="宋体" w:hAnsi="宋体"/>
          <w:color w:val="000000" w:themeColor="text1"/>
          <w:sz w:val="24"/>
          <w:highlight w:val="none"/>
          <w14:textFill>
            <w14:solidFill>
              <w14:schemeClr w14:val="tx1"/>
            </w14:solidFill>
          </w14:textFill>
        </w:rPr>
        <w:t>日前的理财收益，也不计付存款利息。</w:t>
      </w:r>
    </w:p>
    <w:p>
      <w:pPr>
        <w:widowControl/>
        <w:numPr>
          <w:ilvl w:val="0"/>
          <w:numId w:val="5"/>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资者违反本协议第二条内容，应承担相应违约责任。管理人对由此导致的理财业务交易延误、中断、终止及投资人损失不承担任何责任，并有权单方终止双方理财业务关系。因投资人违反双方约定解除本协议给管理人或全体投资者造成损失的，投资人应承担相应的赔偿责任。</w:t>
      </w:r>
    </w:p>
    <w:p>
      <w:pPr>
        <w:widowControl/>
        <w:numPr>
          <w:ilvl w:val="0"/>
          <w:numId w:val="5"/>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若由于管理人过错导致理财计划资产发生损失，管理人应按其过错承担赔偿责任，管理人赔偿的款项计入本理财计划的资产和收益，由所有投资者按理财本金比例分配。</w:t>
      </w:r>
    </w:p>
    <w:p>
      <w:pPr>
        <w:widowControl/>
        <w:numPr>
          <w:ilvl w:val="0"/>
          <w:numId w:val="5"/>
        </w:numPr>
        <w:spacing w:line="360" w:lineRule="auto"/>
        <w:ind w:firstLine="480" w:firstLineChars="200"/>
        <w:contextualSpacing/>
        <w:outlineLvl w:val="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由于地震、火灾、战争等不可抗力或突发重大卫生公共事件等不可预测事件造成的交易中断、延误等风险及损失，管理人不承担责任；但管理人应在上述情况发生时在条件允许时及时通知投资人并采取一切必要且可能的措施阻止损失扩大。</w:t>
      </w:r>
    </w:p>
    <w:p>
      <w:pPr>
        <w:widowControl/>
        <w:numPr>
          <w:ilvl w:val="0"/>
          <w:numId w:val="5"/>
        </w:numPr>
        <w:spacing w:line="360" w:lineRule="auto"/>
        <w:ind w:firstLine="480" w:firstLineChars="200"/>
        <w:contextualSpacing/>
        <w:outlineLvl w:val="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因国家有关法律、法规、规章、政策的修改或新的法律、法规、规章、政策颁布以及紧急措施的出台导致的风险及损失，管理人不承担责任。</w:t>
      </w:r>
    </w:p>
    <w:p>
      <w:pPr>
        <w:widowControl/>
        <w:numPr>
          <w:ilvl w:val="0"/>
          <w:numId w:val="5"/>
        </w:numPr>
        <w:spacing w:line="360" w:lineRule="auto"/>
        <w:ind w:firstLine="480" w:firstLineChars="200"/>
        <w:contextualSpacing/>
        <w:outlineLvl w:val="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管理人若严格按照产品说明书相关规定进行投资运作，给投资者造成损失的，应免除管理人责任。</w:t>
      </w:r>
    </w:p>
    <w:p>
      <w:pPr>
        <w:widowControl/>
        <w:spacing w:line="360" w:lineRule="auto"/>
        <w:contextualSpacing/>
        <w:rPr>
          <w:rFonts w:ascii="宋体" w:hAnsi="宋体"/>
          <w:color w:val="000000" w:themeColor="text1"/>
          <w:sz w:val="24"/>
          <w:highlight w:val="none"/>
          <w14:textFill>
            <w14:solidFill>
              <w14:schemeClr w14:val="tx1"/>
            </w14:solidFill>
          </w14:textFill>
        </w:rPr>
      </w:pPr>
    </w:p>
    <w:p>
      <w:pPr>
        <w:numPr>
          <w:ilvl w:val="0"/>
          <w:numId w:val="1"/>
        </w:numPr>
        <w:spacing w:line="360" w:lineRule="auto"/>
        <w:ind w:firstLine="482" w:firstLineChars="200"/>
        <w:outlineLvl w:val="1"/>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适用法律与争议解决</w:t>
      </w:r>
    </w:p>
    <w:p>
      <w:pPr>
        <w:widowControl/>
        <w:spacing w:line="360" w:lineRule="auto"/>
        <w:ind w:firstLine="480" w:firstLineChars="200"/>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本合同适用</w:t>
      </w:r>
      <w:r>
        <w:rPr>
          <w:rFonts w:hint="eastAsia" w:ascii="宋体" w:hAnsi="宋体" w:cs="宋体"/>
          <w:bCs/>
          <w:color w:val="000000" w:themeColor="text1"/>
          <w:sz w:val="24"/>
          <w:highlight w:val="none"/>
          <w14:textFill>
            <w14:solidFill>
              <w14:schemeClr w14:val="tx1"/>
            </w14:solidFill>
          </w14:textFill>
        </w:rPr>
        <w:t>中华人民共和国（仅为明确本合同适用法律规则，不含香港特别行政区、澳门特别行政区及中国台湾地区）</w:t>
      </w:r>
      <w:r>
        <w:rPr>
          <w:rFonts w:hint="eastAsia" w:ascii="宋体" w:hAnsi="宋体"/>
          <w:color w:val="000000" w:themeColor="text1"/>
          <w:sz w:val="24"/>
          <w:highlight w:val="none"/>
          <w14:textFill>
            <w14:solidFill>
              <w14:schemeClr w14:val="tx1"/>
            </w14:solidFill>
          </w14:textFill>
        </w:rPr>
        <w:t>的法律和行政法规。本合同项下的及与之有关的一切争议，投资者与管理人双方应首先协商解决，协商不成的，应提交</w:t>
      </w:r>
      <w:r>
        <w:rPr>
          <w:rFonts w:hint="eastAsia" w:ascii="宋体" w:hAnsi="宋体"/>
          <w:color w:val="000000" w:themeColor="text1"/>
          <w:sz w:val="24"/>
          <w:highlight w:val="none"/>
          <w:lang w:val="en-US" w:eastAsia="zh-CN"/>
          <w14:textFill>
            <w14:solidFill>
              <w14:schemeClr w14:val="tx1"/>
            </w14:solidFill>
          </w14:textFill>
        </w:rPr>
        <w:t>被告人</w:t>
      </w:r>
      <w:r>
        <w:rPr>
          <w:rFonts w:hint="eastAsia" w:ascii="宋体" w:hAnsi="宋体"/>
          <w:color w:val="000000" w:themeColor="text1"/>
          <w:sz w:val="24"/>
          <w:highlight w:val="none"/>
          <w14:textFill>
            <w14:solidFill>
              <w14:schemeClr w14:val="tx1"/>
            </w14:solidFill>
          </w14:textFill>
        </w:rPr>
        <w:t>所在地人民法院司法裁决。诉讼期间，未涉及争议的条款仍需继续履行。</w:t>
      </w:r>
    </w:p>
    <w:p>
      <w:pPr>
        <w:spacing w:line="360" w:lineRule="auto"/>
        <w:ind w:left="482"/>
        <w:rPr>
          <w:b/>
          <w:color w:val="000000" w:themeColor="text1"/>
          <w:sz w:val="24"/>
          <w:highlight w:val="none"/>
          <w14:textFill>
            <w14:solidFill>
              <w14:schemeClr w14:val="tx1"/>
            </w14:solidFill>
          </w14:textFill>
        </w:rPr>
      </w:pPr>
    </w:p>
    <w:p>
      <w:pPr>
        <w:numPr>
          <w:ilvl w:val="0"/>
          <w:numId w:val="1"/>
        </w:numPr>
        <w:spacing w:line="360" w:lineRule="auto"/>
        <w:ind w:firstLine="482" w:firstLineChars="200"/>
        <w:outlineLvl w:val="1"/>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协议生效和终止</w:t>
      </w:r>
    </w:p>
    <w:p>
      <w:pPr>
        <w:widowControl/>
        <w:numPr>
          <w:ilvl w:val="0"/>
          <w:numId w:val="6"/>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投资者和管理人双方认可本协议可以纸质或电子数据等形式提交、订立或确认。 </w:t>
      </w:r>
    </w:p>
    <w:p>
      <w:pPr>
        <w:widowControl/>
        <w:numPr>
          <w:ilvl w:val="0"/>
          <w:numId w:val="6"/>
        </w:numPr>
        <w:spacing w:line="360" w:lineRule="auto"/>
        <w:ind w:firstLine="480" w:firstLineChars="200"/>
        <w:contextualSpacing/>
        <w:outlineLvl w:val="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本协议书以纸质书面形式订立的，自投资者</w:t>
      </w:r>
      <w:r>
        <w:rPr>
          <w:rFonts w:hint="eastAsia" w:ascii="宋体" w:hAnsi="宋体"/>
          <w:color w:val="000000" w:themeColor="text1"/>
          <w:sz w:val="24"/>
          <w:highlight w:val="none"/>
          <w:lang w:val="en-US" w:eastAsia="zh-CN"/>
          <w14:textFill>
            <w14:solidFill>
              <w14:schemeClr w14:val="tx1"/>
            </w14:solidFill>
          </w14:textFill>
        </w:rPr>
        <w:t>签署（如投资者为个人，应签字；如投资者为机构，应法定代表人或授权代理人签字或盖章并加盖公章或有效授权印章）并经管理人系统确认购买理财计划份额</w:t>
      </w:r>
      <w:r>
        <w:rPr>
          <w:rFonts w:hint="eastAsia" w:ascii="宋体" w:hAnsi="宋体"/>
          <w:color w:val="000000" w:themeColor="text1"/>
          <w:sz w:val="24"/>
          <w:highlight w:val="none"/>
          <w14:textFill>
            <w14:solidFill>
              <w14:schemeClr w14:val="tx1"/>
            </w14:solidFill>
          </w14:textFill>
        </w:rPr>
        <w:t>之后立即生效。协议一式</w:t>
      </w:r>
      <w:r>
        <w:rPr>
          <w:rFonts w:hint="eastAsia" w:ascii="宋体" w:hAnsi="宋体"/>
          <w:color w:val="000000" w:themeColor="text1"/>
          <w:sz w:val="24"/>
          <w:highlight w:val="none"/>
          <w:lang w:eastAsia="zh-CN"/>
          <w14:textFill>
            <w14:solidFill>
              <w14:schemeClr w14:val="tx1"/>
            </w14:solidFill>
          </w14:textFill>
        </w:rPr>
        <w:t>贰</w:t>
      </w:r>
      <w:r>
        <w:rPr>
          <w:rFonts w:hint="eastAsia" w:ascii="宋体" w:hAnsi="宋体"/>
          <w:color w:val="000000" w:themeColor="text1"/>
          <w:sz w:val="24"/>
          <w:highlight w:val="none"/>
          <w14:textFill>
            <w14:solidFill>
              <w14:schemeClr w14:val="tx1"/>
            </w14:solidFill>
          </w14:textFill>
        </w:rPr>
        <w:t>份，投资者和管理人双方各执</w:t>
      </w:r>
      <w:r>
        <w:rPr>
          <w:rFonts w:hint="eastAsia" w:ascii="宋体" w:hAnsi="宋体"/>
          <w:color w:val="000000" w:themeColor="text1"/>
          <w:sz w:val="24"/>
          <w:highlight w:val="none"/>
          <w:lang w:eastAsia="zh-CN"/>
          <w14:textFill>
            <w14:solidFill>
              <w14:schemeClr w14:val="tx1"/>
            </w14:solidFill>
          </w14:textFill>
        </w:rPr>
        <w:t>壹</w:t>
      </w:r>
      <w:r>
        <w:rPr>
          <w:rFonts w:hint="eastAsia" w:ascii="宋体" w:hAnsi="宋体"/>
          <w:color w:val="000000" w:themeColor="text1"/>
          <w:sz w:val="24"/>
          <w:highlight w:val="none"/>
          <w14:textFill>
            <w14:solidFill>
              <w14:schemeClr w14:val="tx1"/>
            </w14:solidFill>
          </w14:textFill>
        </w:rPr>
        <w:t xml:space="preserve">份，具有同等法律效力。 </w:t>
      </w:r>
    </w:p>
    <w:p>
      <w:pPr>
        <w:widowControl/>
        <w:numPr>
          <w:ilvl w:val="0"/>
          <w:numId w:val="6"/>
        </w:numPr>
        <w:spacing w:line="360" w:lineRule="auto"/>
        <w:ind w:firstLine="480" w:firstLineChars="200"/>
        <w:contextualSpacing/>
        <w:outlineLvl w:val="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协议书以数据电文形式订立的，投资者在销售机构的电子银行（包括但不限于网上银行、手机银行或监管机构认可的其他销售渠道）点击购买理财计划，投资者使用的身份认证要素或其他安全措施完成的一切交易视为投资者本人所为，同时表示投资者已阅读本协议所有条款，并对本协议条款的含义及相应的法律后果已全部知晓并充分理解，同意接受本协议约束。本协议自投资者点击确认且销售机构电子银行提示交易成功之时生效。交易成功仅指认/申购申请提交成功，认/申购是否成功以管理人另行提供的确认为准。</w:t>
      </w:r>
    </w:p>
    <w:p>
      <w:pPr>
        <w:widowControl/>
        <w:numPr>
          <w:ilvl w:val="0"/>
          <w:numId w:val="6"/>
        </w:numPr>
        <w:spacing w:line="360" w:lineRule="auto"/>
        <w:ind w:firstLine="480" w:firstLineChars="200"/>
        <w:contextualSpacing/>
        <w:outlineLvl w:val="2"/>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投资者和管理人双方在本协议及对应期次的《理财计划产品说明书》项下权利义务履行完毕之日，本协议自动终止。</w:t>
      </w:r>
    </w:p>
    <w:p>
      <w:pPr>
        <w:widowControl/>
        <w:spacing w:line="360" w:lineRule="auto"/>
        <w:ind w:left="6"/>
        <w:contextualSpacing/>
        <w:rPr>
          <w:rFonts w:ascii="宋体" w:hAnsi="宋体"/>
          <w:color w:val="000000" w:themeColor="text1"/>
          <w:sz w:val="24"/>
          <w:highlight w:val="none"/>
          <w14:textFill>
            <w14:solidFill>
              <w14:schemeClr w14:val="tx1"/>
            </w14:solidFill>
          </w14:textFill>
        </w:rPr>
      </w:pPr>
    </w:p>
    <w:p>
      <w:pPr>
        <w:numPr>
          <w:ilvl w:val="0"/>
          <w:numId w:val="1"/>
        </w:numPr>
        <w:spacing w:line="360" w:lineRule="auto"/>
        <w:ind w:firstLine="482" w:firstLineChars="200"/>
        <w:outlineLvl w:val="1"/>
        <w:rPr>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附则</w:t>
      </w:r>
    </w:p>
    <w:p>
      <w:pPr>
        <w:widowControl/>
        <w:numPr>
          <w:ilvl w:val="0"/>
          <w:numId w:val="7"/>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如果投资者与管理人之间存在多份理财计划协议书，则每一份协议书分别与其所对应的产品说明书等销售文本单独构成一个理财计划交易合同，各个合同之间互相独立，每一合同的效力及履行情况均独立于其他合同。</w:t>
      </w:r>
    </w:p>
    <w:p>
      <w:pPr>
        <w:widowControl/>
        <w:numPr>
          <w:ilvl w:val="0"/>
          <w:numId w:val="7"/>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如果由于任何原因使本合同下的任何条款或内容成为无效或被依法撤销，本合同其他条款或内容的合法性、有效性和可执行性不受影响。</w:t>
      </w:r>
    </w:p>
    <w:p>
      <w:pPr>
        <w:widowControl/>
        <w:numPr>
          <w:ilvl w:val="0"/>
          <w:numId w:val="7"/>
        </w:numPr>
        <w:spacing w:line="360" w:lineRule="auto"/>
        <w:ind w:firstLine="480" w:firstLineChars="200"/>
        <w:contextualSpacing/>
        <w:outlineLvl w:val="2"/>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在理财计划存续期内，如因监管政策或法律法规发生变化，在不损害投资者利益的前提下，管理人有权单方对理财计划合同进行修订。</w:t>
      </w: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p>
      <w:pPr>
        <w:spacing w:line="360" w:lineRule="auto"/>
        <w:ind w:firstLine="480" w:firstLineChars="200"/>
        <w:rPr>
          <w:rFonts w:ascii="宋体" w:hAnsi="宋体" w:cs="宋体"/>
          <w:bCs/>
          <w:color w:val="000000" w:themeColor="text1"/>
          <w:sz w:val="24"/>
          <w:highlight w:val="none"/>
          <w14:textFill>
            <w14:solidFill>
              <w14:schemeClr w14:val="tx1"/>
            </w14:solidFill>
          </w14:textFill>
        </w:rPr>
      </w:pPr>
    </w:p>
    <w:p>
      <w:pPr>
        <w:pStyle w:val="9"/>
        <w:widowControl/>
        <w:spacing w:line="360" w:lineRule="auto"/>
        <w:jc w:val="right"/>
        <w:rPr>
          <w:rFonts w:hint="eastAsia" w:ascii="宋体" w:hAnsi="Wingdings"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杭银理财有限责任公司</w:t>
      </w:r>
    </w:p>
    <w:p>
      <w:pPr>
        <w:spacing w:line="360" w:lineRule="auto"/>
        <w:rPr>
          <w:rFonts w:ascii="宋体" w:hAnsi="宋体" w:cs="宋体"/>
          <w:bCs/>
          <w:color w:val="000000" w:themeColor="text1"/>
          <w:sz w:val="24"/>
          <w:highlight w:val="none"/>
          <w14:textFill>
            <w14:solidFill>
              <w14:schemeClr w14:val="tx1"/>
            </w14:solidFill>
          </w14:textFill>
        </w:rPr>
      </w:pPr>
    </w:p>
    <w:p>
      <w:pPr>
        <w:spacing w:line="360" w:lineRule="auto"/>
        <w:rPr>
          <w:rFonts w:ascii="宋体" w:hAnsi="宋体" w:cs="宋体"/>
          <w:bCs/>
          <w:color w:val="000000" w:themeColor="text1"/>
          <w:sz w:val="24"/>
          <w:highlight w:val="none"/>
          <w14:textFill>
            <w14:solidFill>
              <w14:schemeClr w14:val="tx1"/>
            </w14:solidFill>
          </w14:textFill>
        </w:rPr>
      </w:pPr>
    </w:p>
    <w:p>
      <w:pPr>
        <w:spacing w:line="360" w:lineRule="auto"/>
        <w:rPr>
          <w:rFonts w:ascii="宋体" w:hAnsi="宋体" w:cs="宋体"/>
          <w:bCs/>
          <w:color w:val="000000" w:themeColor="text1"/>
          <w:sz w:val="24"/>
          <w:highlight w:val="none"/>
          <w14:textFill>
            <w14:solidFill>
              <w14:schemeClr w14:val="tx1"/>
            </w14:solidFill>
          </w14:textFill>
        </w:rPr>
      </w:pPr>
    </w:p>
    <w:p>
      <w:pPr>
        <w:jc w:val="center"/>
        <w:outlineLvl w:val="9"/>
        <w:rPr>
          <w:rFonts w:hint="eastAsia" w:ascii="Calibri" w:hAnsi="Calibri" w:eastAsia="宋体" w:cs="黑体"/>
          <w:b/>
          <w:bCs w:val="0"/>
          <w:color w:val="000000" w:themeColor="text1"/>
          <w:sz w:val="44"/>
          <w:szCs w:val="44"/>
          <w:highlight w:val="none"/>
          <w:lang w:val="en-US" w:eastAsia="zh-CN"/>
          <w14:textFill>
            <w14:solidFill>
              <w14:schemeClr w14:val="tx1"/>
            </w14:solidFill>
          </w14:textFill>
        </w:rPr>
      </w:pPr>
    </w:p>
    <w:p>
      <w:pPr>
        <w:spacing w:line="360" w:lineRule="auto"/>
        <w:outlineLvl w:val="9"/>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本页为纸质形式（如有）</w:t>
      </w:r>
      <w:r>
        <w:rPr>
          <w:rFonts w:hint="eastAsia" w:ascii="宋体" w:hAnsi="宋体"/>
          <w:color w:val="000000" w:themeColor="text1"/>
          <w:sz w:val="24"/>
          <w:highlight w:val="none"/>
          <w:lang w:val="en-US" w:eastAsia="zh-CN"/>
          <w14:textFill>
            <w14:solidFill>
              <w14:schemeClr w14:val="tx1"/>
            </w14:solidFill>
          </w14:textFill>
        </w:rPr>
        <w:t>投资</w:t>
      </w:r>
      <w:r>
        <w:rPr>
          <w:rFonts w:hint="eastAsia" w:ascii="宋体" w:hAnsi="宋体"/>
          <w:color w:val="000000" w:themeColor="text1"/>
          <w:sz w:val="24"/>
          <w:highlight w:val="none"/>
          <w14:textFill>
            <w14:solidFill>
              <w14:schemeClr w14:val="tx1"/>
            </w14:solidFill>
          </w14:textFill>
        </w:rPr>
        <w:t>协议书签章页</w:t>
      </w:r>
    </w:p>
    <w:p>
      <w:pPr>
        <w:spacing w:line="360" w:lineRule="auto"/>
        <w:outlineLvl w:val="9"/>
        <w:rPr>
          <w:color w:val="000000" w:themeColor="text1"/>
          <w:sz w:val="24"/>
          <w:highlight w:val="none"/>
          <w14:textFill>
            <w14:solidFill>
              <w14:schemeClr w14:val="tx1"/>
            </w14:solidFill>
          </w14:textFill>
        </w:rPr>
      </w:pPr>
    </w:p>
    <w:p>
      <w:pPr>
        <w:spacing w:line="360" w:lineRule="auto"/>
        <w:outlineLvl w:val="9"/>
        <w:rPr>
          <w:color w:val="000000" w:themeColor="text1"/>
          <w:sz w:val="24"/>
          <w:highlight w:val="none"/>
          <w14:textFill>
            <w14:solidFill>
              <w14:schemeClr w14:val="tx1"/>
            </w14:solidFill>
          </w14:textFill>
        </w:rPr>
      </w:pPr>
    </w:p>
    <w:p>
      <w:pPr>
        <w:spacing w:line="360" w:lineRule="auto"/>
        <w:outlineLvl w:val="9"/>
        <w:rPr>
          <w:color w:val="000000" w:themeColor="text1"/>
          <w:sz w:val="24"/>
          <w:highlight w:val="none"/>
          <w14:textFill>
            <w14:solidFill>
              <w14:schemeClr w14:val="tx1"/>
            </w14:solidFill>
          </w14:textFill>
        </w:rPr>
      </w:pPr>
    </w:p>
    <w:p>
      <w:pPr>
        <w:spacing w:line="360" w:lineRule="auto"/>
        <w:outlineLvl w:val="9"/>
        <w:rPr>
          <w:color w:val="000000" w:themeColor="text1"/>
          <w:sz w:val="24"/>
          <w:highlight w:val="none"/>
          <w14:textFill>
            <w14:solidFill>
              <w14:schemeClr w14:val="tx1"/>
            </w14:solidFill>
          </w14:textFill>
        </w:rPr>
      </w:pPr>
    </w:p>
    <w:p>
      <w:pPr>
        <w:spacing w:line="360" w:lineRule="auto"/>
        <w:outlineLvl w:val="9"/>
        <w:rPr>
          <w:color w:val="000000" w:themeColor="text1"/>
          <w:sz w:val="24"/>
          <w:highlight w:val="none"/>
          <w14:textFill>
            <w14:solidFill>
              <w14:schemeClr w14:val="tx1"/>
            </w14:solidFill>
          </w14:textFill>
        </w:rPr>
      </w:pPr>
    </w:p>
    <w:p>
      <w:pPr>
        <w:spacing w:line="360" w:lineRule="auto"/>
        <w:outlineLvl w:val="9"/>
        <w:rPr>
          <w:color w:val="000000" w:themeColor="text1"/>
          <w:sz w:val="24"/>
          <w:highlight w:val="none"/>
          <w14:textFill>
            <w14:solidFill>
              <w14:schemeClr w14:val="tx1"/>
            </w14:solidFill>
          </w14:textFill>
        </w:rPr>
      </w:pPr>
    </w:p>
    <w:p>
      <w:pPr>
        <w:spacing w:line="360" w:lineRule="auto"/>
        <w:outlineLvl w:val="9"/>
        <w:rPr>
          <w:color w:val="000000" w:themeColor="text1"/>
          <w:sz w:val="24"/>
          <w:highlight w:val="none"/>
          <w14:textFill>
            <w14:solidFill>
              <w14:schemeClr w14:val="tx1"/>
            </w14:solidFill>
          </w14:textFill>
        </w:rPr>
      </w:pPr>
    </w:p>
    <w:p>
      <w:pPr>
        <w:spacing w:line="360" w:lineRule="auto"/>
        <w:outlineLvl w:val="9"/>
        <w:rPr>
          <w:color w:val="000000" w:themeColor="text1"/>
          <w:sz w:val="24"/>
          <w:highlight w:val="none"/>
          <w14:textFill>
            <w14:solidFill>
              <w14:schemeClr w14:val="tx1"/>
            </w14:solidFill>
          </w14:textFill>
        </w:rPr>
      </w:pPr>
    </w:p>
    <w:p>
      <w:pPr>
        <w:spacing w:line="360" w:lineRule="auto"/>
        <w:outlineLvl w:val="9"/>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投资者（签字</w:t>
      </w:r>
      <w:r>
        <w:rPr>
          <w:rFonts w:hint="eastAsia" w:ascii="宋体" w:hAnsi="宋体" w:eastAsia="宋体" w:cs="黑体"/>
          <w:b/>
          <w:bCs/>
          <w:color w:val="000000" w:themeColor="text1"/>
          <w:sz w:val="24"/>
          <w:highlight w:val="none"/>
          <w:lang w:eastAsia="zh-CN"/>
          <w14:textFill>
            <w14:solidFill>
              <w14:schemeClr w14:val="tx1"/>
            </w14:solidFill>
          </w14:textFill>
        </w:rPr>
        <w:t>或签章</w:t>
      </w:r>
      <w:r>
        <w:rPr>
          <w:rFonts w:hint="eastAsia" w:ascii="宋体" w:hAnsi="宋体"/>
          <w:b/>
          <w:bCs/>
          <w:color w:val="000000" w:themeColor="text1"/>
          <w:sz w:val="24"/>
          <w:highlight w:val="none"/>
          <w14:textFill>
            <w14:solidFill>
              <w14:schemeClr w14:val="tx1"/>
            </w14:solidFill>
          </w14:textFill>
        </w:rPr>
        <w:t>）：</w:t>
      </w:r>
    </w:p>
    <w:p>
      <w:pPr>
        <w:spacing w:line="360" w:lineRule="auto"/>
        <w:outlineLvl w:val="9"/>
        <w:rPr>
          <w:rFonts w:hint="eastAsia" w:ascii="宋体" w:hAnsi="宋体"/>
          <w:b/>
          <w:bCs/>
          <w:color w:val="000000" w:themeColor="text1"/>
          <w:sz w:val="24"/>
          <w:highlight w:val="none"/>
          <w14:textFill>
            <w14:solidFill>
              <w14:schemeClr w14:val="tx1"/>
            </w14:solidFill>
          </w14:textFill>
        </w:rPr>
      </w:pPr>
    </w:p>
    <w:p>
      <w:pPr>
        <w:spacing w:line="360" w:lineRule="auto"/>
        <w:outlineLvl w:val="9"/>
        <w:rPr>
          <w:rFonts w:hint="eastAsia" w:ascii="宋体" w:hAnsi="宋体"/>
          <w:b/>
          <w:bCs/>
          <w:color w:val="000000" w:themeColor="text1"/>
          <w:sz w:val="24"/>
          <w:highlight w:val="none"/>
          <w14:textFill>
            <w14:solidFill>
              <w14:schemeClr w14:val="tx1"/>
            </w14:solidFill>
          </w14:textFill>
        </w:rPr>
      </w:pPr>
    </w:p>
    <w:p>
      <w:pPr>
        <w:spacing w:before="156" w:beforeLines="50" w:after="156" w:afterLines="50" w:line="360" w:lineRule="auto"/>
        <w:ind w:firstLine="4800" w:firstLineChars="2000"/>
        <w:jc w:val="right"/>
        <w:outlineLvl w:val="9"/>
        <w:rPr>
          <w:rFonts w:hint="eastAsia" w:ascii="Arial" w:hAnsi="Arial"/>
          <w:color w:val="000000" w:themeColor="text1"/>
          <w:sz w:val="24"/>
          <w:highlight w:val="none"/>
          <w14:textFill>
            <w14:solidFill>
              <w14:schemeClr w14:val="tx1"/>
            </w14:solidFill>
          </w14:textFill>
        </w:rPr>
      </w:pPr>
      <w:r>
        <w:rPr>
          <w:rFonts w:hint="eastAsia" w:ascii="Arial" w:hAnsi="Arial"/>
          <w:color w:val="000000" w:themeColor="text1"/>
          <w:sz w:val="24"/>
          <w:highlight w:val="none"/>
          <w14:textFill>
            <w14:solidFill>
              <w14:schemeClr w14:val="tx1"/>
            </w14:solidFill>
          </w14:textFill>
        </w:rPr>
        <w:t xml:space="preserve">   年   月   日</w:t>
      </w:r>
    </w:p>
    <w:p>
      <w:pPr>
        <w:jc w:val="left"/>
        <w:outlineLvl w:val="9"/>
        <w:rPr>
          <w:rFonts w:hint="eastAsia" w:ascii="Calibri" w:hAnsi="Calibri" w:eastAsia="宋体" w:cs="黑体"/>
          <w:b/>
          <w:bCs w:val="0"/>
          <w:color w:val="000000" w:themeColor="text1"/>
          <w:sz w:val="44"/>
          <w:szCs w:val="44"/>
          <w:highlight w:val="none"/>
          <w:lang w:val="en-US" w:eastAsia="zh-CN"/>
          <w14:textFill>
            <w14:solidFill>
              <w14:schemeClr w14:val="tx1"/>
            </w14:solidFill>
          </w14:textFill>
        </w:rPr>
      </w:pPr>
    </w:p>
    <w:p>
      <w:pPr>
        <w:spacing w:line="360" w:lineRule="auto"/>
        <w:rPr>
          <w:rFonts w:ascii="宋体" w:hAnsi="宋体" w:cs="宋体"/>
          <w:bCs/>
          <w:color w:val="000000" w:themeColor="text1"/>
          <w:sz w:val="24"/>
          <w:highlight w:val="none"/>
          <w14:textFill>
            <w14:solidFill>
              <w14:schemeClr w14:val="tx1"/>
            </w14:solidFill>
          </w14:textFill>
        </w:rPr>
      </w:pPr>
      <w:bookmarkStart w:id="0" w:name="_GoBack"/>
      <w:bookmarkEnd w:id="0"/>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Inj1Y+wAQAA&#10;TgMAAA4AAAAAAAAAAQAgAAAAHgEAAGRycy9lMm9Eb2MueG1sUEsFBgAAAAAGAAYAWQEAAEAFAAAA&#10;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42</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left"/>
      <w:rPr>
        <w:rFonts w:hint="default" w:eastAsia="宋体"/>
        <w:b/>
        <w:bCs/>
        <w:lang w:val="en-US" w:eastAsia="zh-CN"/>
      </w:rPr>
    </w:pPr>
    <w:r>
      <w:rPr>
        <w:rFonts w:hint="default" w:eastAsia="宋体"/>
        <w:b/>
        <w:bCs/>
        <w:color w:val="auto"/>
        <w:lang w:val="en-US" w:eastAsia="zh-CN"/>
      </w:rPr>
      <w:drawing>
        <wp:anchor distT="0" distB="0" distL="114300" distR="114300" simplePos="0" relativeHeight="251659264" behindDoc="1" locked="0" layoutInCell="1" allowOverlap="1">
          <wp:simplePos x="0" y="0"/>
          <wp:positionH relativeFrom="column">
            <wp:posOffset>5181600</wp:posOffset>
          </wp:positionH>
          <wp:positionV relativeFrom="paragraph">
            <wp:posOffset>-585470</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102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25"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b/>
        <w:bCs/>
        <w:color w:val="auto"/>
        <w:lang w:eastAsia="zh-CN"/>
      </w:rPr>
      <w:t>理财非存款</w:t>
    </w:r>
    <w:r>
      <w:rPr>
        <w:rFonts w:hint="eastAsia"/>
        <w:b/>
        <w:bCs/>
        <w:color w:val="auto"/>
        <w:lang w:val="en-US" w:eastAsia="zh-CN"/>
      </w:rPr>
      <w:t xml:space="preserve"> 产品有风险 投资须谨慎</w:t>
    </w:r>
    <w:r>
      <w:rPr>
        <w:rFonts w:hint="eastAsia"/>
        <w:b/>
        <w:bCs/>
        <w:color w:val="FF0000"/>
        <w:lang w:val="en-US" w:eastAsia="zh-CN"/>
      </w:rPr>
      <w:t xml:space="preserve">  </w:t>
    </w:r>
    <w:r>
      <w:rPr>
        <w:rFonts w:hint="eastAsia"/>
        <w:b/>
        <w:bCs/>
        <w:color w:val="auto"/>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8226EF"/>
    <w:multiLevelType w:val="singleLevel"/>
    <w:tmpl w:val="B08226EF"/>
    <w:lvl w:ilvl="0" w:tentative="0">
      <w:start w:val="1"/>
      <w:numFmt w:val="chineseCounting"/>
      <w:suff w:val="space"/>
      <w:lvlText w:val="第%1条"/>
      <w:lvlJc w:val="left"/>
      <w:rPr>
        <w:rFonts w:hint="eastAsia"/>
      </w:rPr>
    </w:lvl>
  </w:abstractNum>
  <w:abstractNum w:abstractNumId="1">
    <w:nsid w:val="60C0383C"/>
    <w:multiLevelType w:val="singleLevel"/>
    <w:tmpl w:val="60C0383C"/>
    <w:lvl w:ilvl="0" w:tentative="0">
      <w:start w:val="1"/>
      <w:numFmt w:val="chineseCounting"/>
      <w:suff w:val="nothing"/>
      <w:lvlText w:val="（%1）"/>
      <w:lvlJc w:val="left"/>
      <w:pPr>
        <w:ind w:left="0" w:firstLine="420"/>
      </w:pPr>
      <w:rPr>
        <w:rFonts w:hint="eastAsia"/>
      </w:rPr>
    </w:lvl>
  </w:abstractNum>
  <w:abstractNum w:abstractNumId="2">
    <w:nsid w:val="60C03881"/>
    <w:multiLevelType w:val="singleLevel"/>
    <w:tmpl w:val="60C03881"/>
    <w:lvl w:ilvl="0" w:tentative="0">
      <w:start w:val="1"/>
      <w:numFmt w:val="chineseCounting"/>
      <w:suff w:val="nothing"/>
      <w:lvlText w:val="（%1）"/>
      <w:lvlJc w:val="left"/>
      <w:pPr>
        <w:ind w:left="0" w:firstLine="420"/>
      </w:pPr>
      <w:rPr>
        <w:rFonts w:hint="eastAsia"/>
      </w:rPr>
    </w:lvl>
  </w:abstractNum>
  <w:abstractNum w:abstractNumId="3">
    <w:nsid w:val="60C038C0"/>
    <w:multiLevelType w:val="singleLevel"/>
    <w:tmpl w:val="60C038C0"/>
    <w:lvl w:ilvl="0" w:tentative="0">
      <w:start w:val="1"/>
      <w:numFmt w:val="chineseCounting"/>
      <w:suff w:val="nothing"/>
      <w:lvlText w:val="（%1）"/>
      <w:lvlJc w:val="left"/>
      <w:pPr>
        <w:ind w:left="0" w:firstLine="420"/>
      </w:pPr>
      <w:rPr>
        <w:rFonts w:hint="eastAsia"/>
      </w:rPr>
    </w:lvl>
  </w:abstractNum>
  <w:abstractNum w:abstractNumId="4">
    <w:nsid w:val="60C038EA"/>
    <w:multiLevelType w:val="singleLevel"/>
    <w:tmpl w:val="60C038EA"/>
    <w:lvl w:ilvl="0" w:tentative="0">
      <w:start w:val="1"/>
      <w:numFmt w:val="chineseCounting"/>
      <w:suff w:val="nothing"/>
      <w:lvlText w:val="（%1）"/>
      <w:lvlJc w:val="left"/>
      <w:pPr>
        <w:ind w:left="0" w:firstLine="420"/>
      </w:pPr>
      <w:rPr>
        <w:rFonts w:hint="eastAsia"/>
      </w:rPr>
    </w:lvl>
  </w:abstractNum>
  <w:abstractNum w:abstractNumId="5">
    <w:nsid w:val="60C03912"/>
    <w:multiLevelType w:val="singleLevel"/>
    <w:tmpl w:val="60C03912"/>
    <w:lvl w:ilvl="0" w:tentative="0">
      <w:start w:val="1"/>
      <w:numFmt w:val="chineseCounting"/>
      <w:suff w:val="nothing"/>
      <w:lvlText w:val="（%1）"/>
      <w:lvlJc w:val="left"/>
      <w:pPr>
        <w:ind w:left="0" w:firstLine="420"/>
      </w:pPr>
      <w:rPr>
        <w:rFonts w:hint="eastAsia"/>
      </w:rPr>
    </w:lvl>
  </w:abstractNum>
  <w:abstractNum w:abstractNumId="6">
    <w:nsid w:val="60C03933"/>
    <w:multiLevelType w:val="singleLevel"/>
    <w:tmpl w:val="60C03933"/>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ab8c09fc-ebb4-4f15-b49e-3b6144cc8e86"/>
  </w:docVars>
  <w:rsids>
    <w:rsidRoot w:val="00172A27"/>
    <w:rsid w:val="004A3A51"/>
    <w:rsid w:val="01364432"/>
    <w:rsid w:val="01523B8E"/>
    <w:rsid w:val="01627993"/>
    <w:rsid w:val="018A250B"/>
    <w:rsid w:val="01DC0FD1"/>
    <w:rsid w:val="01E60817"/>
    <w:rsid w:val="01F454C1"/>
    <w:rsid w:val="02223318"/>
    <w:rsid w:val="036B5FEB"/>
    <w:rsid w:val="040B79D9"/>
    <w:rsid w:val="0449537A"/>
    <w:rsid w:val="04886CA1"/>
    <w:rsid w:val="04A52A8E"/>
    <w:rsid w:val="04A74955"/>
    <w:rsid w:val="050A18A0"/>
    <w:rsid w:val="05C21734"/>
    <w:rsid w:val="05E05E4D"/>
    <w:rsid w:val="05EC08FE"/>
    <w:rsid w:val="06420CFA"/>
    <w:rsid w:val="06503B59"/>
    <w:rsid w:val="06541297"/>
    <w:rsid w:val="06DF6F6A"/>
    <w:rsid w:val="0752555A"/>
    <w:rsid w:val="07993F2A"/>
    <w:rsid w:val="07E45984"/>
    <w:rsid w:val="081B7D56"/>
    <w:rsid w:val="0828699A"/>
    <w:rsid w:val="082B58DC"/>
    <w:rsid w:val="082E46BF"/>
    <w:rsid w:val="087B5F6E"/>
    <w:rsid w:val="08E37254"/>
    <w:rsid w:val="097E3F67"/>
    <w:rsid w:val="09851159"/>
    <w:rsid w:val="09B01B43"/>
    <w:rsid w:val="0A1347F5"/>
    <w:rsid w:val="0A2A32B9"/>
    <w:rsid w:val="0B8E27E3"/>
    <w:rsid w:val="0BF71AE2"/>
    <w:rsid w:val="0CA6603D"/>
    <w:rsid w:val="0D0B1B00"/>
    <w:rsid w:val="0D6B1503"/>
    <w:rsid w:val="0DBB5EC2"/>
    <w:rsid w:val="0DD032F9"/>
    <w:rsid w:val="0E4A4B6F"/>
    <w:rsid w:val="0E670397"/>
    <w:rsid w:val="0EAE473F"/>
    <w:rsid w:val="0EB6095A"/>
    <w:rsid w:val="0ECB721A"/>
    <w:rsid w:val="0EF65480"/>
    <w:rsid w:val="0F234342"/>
    <w:rsid w:val="0F920B86"/>
    <w:rsid w:val="103A21BC"/>
    <w:rsid w:val="10D261C8"/>
    <w:rsid w:val="10E7087B"/>
    <w:rsid w:val="10FA5463"/>
    <w:rsid w:val="11BA058F"/>
    <w:rsid w:val="11C23A9E"/>
    <w:rsid w:val="12081858"/>
    <w:rsid w:val="12B62B3B"/>
    <w:rsid w:val="13031153"/>
    <w:rsid w:val="13181417"/>
    <w:rsid w:val="141530E1"/>
    <w:rsid w:val="142A3D0A"/>
    <w:rsid w:val="14791A73"/>
    <w:rsid w:val="14C57FED"/>
    <w:rsid w:val="150C5665"/>
    <w:rsid w:val="153D4CD7"/>
    <w:rsid w:val="159302CA"/>
    <w:rsid w:val="15C56302"/>
    <w:rsid w:val="15D419A2"/>
    <w:rsid w:val="15E1132B"/>
    <w:rsid w:val="160940BB"/>
    <w:rsid w:val="1659752C"/>
    <w:rsid w:val="16E43A7F"/>
    <w:rsid w:val="185A3DA1"/>
    <w:rsid w:val="18B56C75"/>
    <w:rsid w:val="18E6578A"/>
    <w:rsid w:val="18F22962"/>
    <w:rsid w:val="196411E6"/>
    <w:rsid w:val="19866890"/>
    <w:rsid w:val="198C4B50"/>
    <w:rsid w:val="19DA666D"/>
    <w:rsid w:val="19F13F4F"/>
    <w:rsid w:val="1A102675"/>
    <w:rsid w:val="1A876B8B"/>
    <w:rsid w:val="1B280245"/>
    <w:rsid w:val="1B5178AC"/>
    <w:rsid w:val="1BBE4697"/>
    <w:rsid w:val="1BEE4FD6"/>
    <w:rsid w:val="1C3F1BB8"/>
    <w:rsid w:val="1C46238A"/>
    <w:rsid w:val="1CB374BD"/>
    <w:rsid w:val="1CE74CCD"/>
    <w:rsid w:val="1D3C4AE8"/>
    <w:rsid w:val="1D552DD9"/>
    <w:rsid w:val="1DAB6D83"/>
    <w:rsid w:val="1DEC169C"/>
    <w:rsid w:val="1E3173A3"/>
    <w:rsid w:val="1E410106"/>
    <w:rsid w:val="1E7432BB"/>
    <w:rsid w:val="1ED938B7"/>
    <w:rsid w:val="1F0F5A19"/>
    <w:rsid w:val="1F1D6E1F"/>
    <w:rsid w:val="1F3E7F7D"/>
    <w:rsid w:val="1F51312D"/>
    <w:rsid w:val="1FA140B4"/>
    <w:rsid w:val="1FC9553A"/>
    <w:rsid w:val="20095F14"/>
    <w:rsid w:val="20137C57"/>
    <w:rsid w:val="204D3B12"/>
    <w:rsid w:val="205A2AB3"/>
    <w:rsid w:val="20B6224D"/>
    <w:rsid w:val="21025026"/>
    <w:rsid w:val="21B93623"/>
    <w:rsid w:val="21C22F06"/>
    <w:rsid w:val="21CF789E"/>
    <w:rsid w:val="22A04AF7"/>
    <w:rsid w:val="22D32481"/>
    <w:rsid w:val="22D3594B"/>
    <w:rsid w:val="22F12819"/>
    <w:rsid w:val="23393314"/>
    <w:rsid w:val="23753F06"/>
    <w:rsid w:val="238D2456"/>
    <w:rsid w:val="238E1AAE"/>
    <w:rsid w:val="240F2156"/>
    <w:rsid w:val="24345B9A"/>
    <w:rsid w:val="2483647E"/>
    <w:rsid w:val="256F076F"/>
    <w:rsid w:val="2610340F"/>
    <w:rsid w:val="26820AF7"/>
    <w:rsid w:val="26966D40"/>
    <w:rsid w:val="27C737E8"/>
    <w:rsid w:val="28A74CBC"/>
    <w:rsid w:val="292668E3"/>
    <w:rsid w:val="29E26197"/>
    <w:rsid w:val="2A1B5D68"/>
    <w:rsid w:val="2A5975B6"/>
    <w:rsid w:val="2A991D32"/>
    <w:rsid w:val="2AB92324"/>
    <w:rsid w:val="2AD6555A"/>
    <w:rsid w:val="2AE62718"/>
    <w:rsid w:val="2B1902F3"/>
    <w:rsid w:val="2B376BE0"/>
    <w:rsid w:val="2BE72798"/>
    <w:rsid w:val="2C1A577E"/>
    <w:rsid w:val="2C1B1E9D"/>
    <w:rsid w:val="2CAB68C5"/>
    <w:rsid w:val="2DBA4E45"/>
    <w:rsid w:val="2E45409C"/>
    <w:rsid w:val="2EBC6D03"/>
    <w:rsid w:val="2F1F666C"/>
    <w:rsid w:val="2F59643F"/>
    <w:rsid w:val="2F802D62"/>
    <w:rsid w:val="2FD32A37"/>
    <w:rsid w:val="2FE9188B"/>
    <w:rsid w:val="30551FFC"/>
    <w:rsid w:val="307D2E0A"/>
    <w:rsid w:val="30E93DB6"/>
    <w:rsid w:val="311F702A"/>
    <w:rsid w:val="314968B6"/>
    <w:rsid w:val="31A82883"/>
    <w:rsid w:val="320E3E15"/>
    <w:rsid w:val="3216559A"/>
    <w:rsid w:val="329F6E1A"/>
    <w:rsid w:val="32C937E9"/>
    <w:rsid w:val="333F6AA7"/>
    <w:rsid w:val="33F7523E"/>
    <w:rsid w:val="3480359E"/>
    <w:rsid w:val="34BE4ED5"/>
    <w:rsid w:val="352B31D6"/>
    <w:rsid w:val="35476F5E"/>
    <w:rsid w:val="35C572EB"/>
    <w:rsid w:val="3602513D"/>
    <w:rsid w:val="36631FD8"/>
    <w:rsid w:val="366A0F47"/>
    <w:rsid w:val="36E72D9B"/>
    <w:rsid w:val="370B0BE7"/>
    <w:rsid w:val="371A4BD5"/>
    <w:rsid w:val="377E5373"/>
    <w:rsid w:val="379F2ED6"/>
    <w:rsid w:val="37CA172C"/>
    <w:rsid w:val="37CB10A0"/>
    <w:rsid w:val="38071350"/>
    <w:rsid w:val="38224FD0"/>
    <w:rsid w:val="38696564"/>
    <w:rsid w:val="38BC5508"/>
    <w:rsid w:val="3A3E2041"/>
    <w:rsid w:val="3B131EF6"/>
    <w:rsid w:val="3B490D86"/>
    <w:rsid w:val="3BA93D0E"/>
    <w:rsid w:val="3C2F2290"/>
    <w:rsid w:val="3CE74578"/>
    <w:rsid w:val="3D8434FB"/>
    <w:rsid w:val="3E163924"/>
    <w:rsid w:val="3EA67C14"/>
    <w:rsid w:val="3EAD1B36"/>
    <w:rsid w:val="3F056B9E"/>
    <w:rsid w:val="3F354A62"/>
    <w:rsid w:val="3FF54C55"/>
    <w:rsid w:val="406370BC"/>
    <w:rsid w:val="40FB7670"/>
    <w:rsid w:val="41B60000"/>
    <w:rsid w:val="423C06E2"/>
    <w:rsid w:val="42815397"/>
    <w:rsid w:val="42C94634"/>
    <w:rsid w:val="43423D19"/>
    <w:rsid w:val="43B62261"/>
    <w:rsid w:val="43BA23DE"/>
    <w:rsid w:val="43CC23FC"/>
    <w:rsid w:val="45540446"/>
    <w:rsid w:val="45BB5620"/>
    <w:rsid w:val="45F127ED"/>
    <w:rsid w:val="46263D02"/>
    <w:rsid w:val="46CD66A0"/>
    <w:rsid w:val="46D80EF6"/>
    <w:rsid w:val="472803B7"/>
    <w:rsid w:val="488B59A4"/>
    <w:rsid w:val="494502E1"/>
    <w:rsid w:val="498F4F85"/>
    <w:rsid w:val="4A3D69E6"/>
    <w:rsid w:val="4A6F7B99"/>
    <w:rsid w:val="4A7F0ADF"/>
    <w:rsid w:val="4AA612F0"/>
    <w:rsid w:val="4B0D3113"/>
    <w:rsid w:val="4B5270B8"/>
    <w:rsid w:val="4C4D2C94"/>
    <w:rsid w:val="4C6B0DDA"/>
    <w:rsid w:val="4C6E1306"/>
    <w:rsid w:val="4CAB7CC1"/>
    <w:rsid w:val="4DEE1021"/>
    <w:rsid w:val="4E0C275D"/>
    <w:rsid w:val="4E186164"/>
    <w:rsid w:val="4E2F1033"/>
    <w:rsid w:val="4E8274B0"/>
    <w:rsid w:val="4EFC1B31"/>
    <w:rsid w:val="4F2836A5"/>
    <w:rsid w:val="4FF363B3"/>
    <w:rsid w:val="501216FC"/>
    <w:rsid w:val="50B73634"/>
    <w:rsid w:val="513B62C0"/>
    <w:rsid w:val="51504FE6"/>
    <w:rsid w:val="53111AD8"/>
    <w:rsid w:val="532207FA"/>
    <w:rsid w:val="53FE3DB0"/>
    <w:rsid w:val="54E91D9C"/>
    <w:rsid w:val="552247DE"/>
    <w:rsid w:val="55A47BB4"/>
    <w:rsid w:val="55D11632"/>
    <w:rsid w:val="55E92585"/>
    <w:rsid w:val="56804A86"/>
    <w:rsid w:val="57184991"/>
    <w:rsid w:val="5790790A"/>
    <w:rsid w:val="57BB6218"/>
    <w:rsid w:val="57FF3AAA"/>
    <w:rsid w:val="58DD2EEE"/>
    <w:rsid w:val="58E96C7A"/>
    <w:rsid w:val="59AD3C67"/>
    <w:rsid w:val="59CC6D6F"/>
    <w:rsid w:val="5A1A1165"/>
    <w:rsid w:val="5ABA33EB"/>
    <w:rsid w:val="5B0D630F"/>
    <w:rsid w:val="5B5D608F"/>
    <w:rsid w:val="5B8404DA"/>
    <w:rsid w:val="5C0418C2"/>
    <w:rsid w:val="5C33703B"/>
    <w:rsid w:val="5C3C3DDC"/>
    <w:rsid w:val="5D160516"/>
    <w:rsid w:val="5D7D0F36"/>
    <w:rsid w:val="5DB61BFF"/>
    <w:rsid w:val="5DEF454B"/>
    <w:rsid w:val="5E5A6C63"/>
    <w:rsid w:val="5F3C6712"/>
    <w:rsid w:val="5F4B58F3"/>
    <w:rsid w:val="5FAA3724"/>
    <w:rsid w:val="5FAC3BA0"/>
    <w:rsid w:val="6053481F"/>
    <w:rsid w:val="606E0DED"/>
    <w:rsid w:val="60716FC0"/>
    <w:rsid w:val="60AB2000"/>
    <w:rsid w:val="610129B1"/>
    <w:rsid w:val="612D6938"/>
    <w:rsid w:val="61D7419E"/>
    <w:rsid w:val="61D85325"/>
    <w:rsid w:val="62860AAA"/>
    <w:rsid w:val="628B7CEE"/>
    <w:rsid w:val="629D5796"/>
    <w:rsid w:val="62C476E5"/>
    <w:rsid w:val="63067B24"/>
    <w:rsid w:val="64F94C33"/>
    <w:rsid w:val="653110D2"/>
    <w:rsid w:val="657A160B"/>
    <w:rsid w:val="66DD4F9F"/>
    <w:rsid w:val="67182835"/>
    <w:rsid w:val="671E2162"/>
    <w:rsid w:val="678438DB"/>
    <w:rsid w:val="67CD5EA6"/>
    <w:rsid w:val="686B34D1"/>
    <w:rsid w:val="68D8721E"/>
    <w:rsid w:val="6A455E4A"/>
    <w:rsid w:val="6A79436D"/>
    <w:rsid w:val="6B3A5BD0"/>
    <w:rsid w:val="6B3C7023"/>
    <w:rsid w:val="6B610D05"/>
    <w:rsid w:val="6BAC21D5"/>
    <w:rsid w:val="6C1D42E9"/>
    <w:rsid w:val="6C3E5296"/>
    <w:rsid w:val="6C952DF1"/>
    <w:rsid w:val="6CED1CB3"/>
    <w:rsid w:val="6D201CAE"/>
    <w:rsid w:val="6D2A6BCA"/>
    <w:rsid w:val="6D3B42C3"/>
    <w:rsid w:val="6DDE0D10"/>
    <w:rsid w:val="6E082488"/>
    <w:rsid w:val="6E5969DC"/>
    <w:rsid w:val="6E7B6A0F"/>
    <w:rsid w:val="6E7E575F"/>
    <w:rsid w:val="6EF15941"/>
    <w:rsid w:val="6F9921A1"/>
    <w:rsid w:val="6FB83EF3"/>
    <w:rsid w:val="717F4370"/>
    <w:rsid w:val="72AD68DB"/>
    <w:rsid w:val="73407EBD"/>
    <w:rsid w:val="73EF4563"/>
    <w:rsid w:val="74175679"/>
    <w:rsid w:val="742F0C48"/>
    <w:rsid w:val="744124AA"/>
    <w:rsid w:val="74664F47"/>
    <w:rsid w:val="7468660B"/>
    <w:rsid w:val="75032B80"/>
    <w:rsid w:val="75AC37B6"/>
    <w:rsid w:val="77DC27D8"/>
    <w:rsid w:val="77E0572E"/>
    <w:rsid w:val="77ED4104"/>
    <w:rsid w:val="789508C5"/>
    <w:rsid w:val="78EF4372"/>
    <w:rsid w:val="79771B00"/>
    <w:rsid w:val="7980282D"/>
    <w:rsid w:val="798F6426"/>
    <w:rsid w:val="79E60E88"/>
    <w:rsid w:val="7A450BCE"/>
    <w:rsid w:val="7A5520F1"/>
    <w:rsid w:val="7ACA272A"/>
    <w:rsid w:val="7B0E7C70"/>
    <w:rsid w:val="7B2F5D22"/>
    <w:rsid w:val="7C8B1B8E"/>
    <w:rsid w:val="7CBE6536"/>
    <w:rsid w:val="7D4A0F3E"/>
    <w:rsid w:val="7E6F339A"/>
    <w:rsid w:val="7E810662"/>
    <w:rsid w:val="7F4657EE"/>
    <w:rsid w:val="7F590AE3"/>
    <w:rsid w:val="7FC44D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4"/>
      <w:szCs w:val="24"/>
      <w:lang w:val="en-US" w:eastAsia="zh-CN" w:bidi="ar-SA"/>
    </w:rPr>
  </w:style>
  <w:style w:type="paragraph" w:styleId="2">
    <w:name w:val="heading 1"/>
    <w:basedOn w:val="1"/>
    <w:next w:val="1"/>
    <w:link w:val="19"/>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1"/>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23"/>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5">
    <w:name w:val="annotation text"/>
    <w:basedOn w:val="1"/>
    <w:link w:val="24"/>
    <w:qFormat/>
    <w:uiPriority w:val="0"/>
    <w:pPr>
      <w:jc w:val="left"/>
    </w:p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paragraph" w:customStyle="1" w:styleId="16">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8">
    <w:name w:val="List Paragraph"/>
    <w:basedOn w:val="1"/>
    <w:unhideWhenUsed/>
    <w:qFormat/>
    <w:uiPriority w:val="99"/>
    <w:pPr>
      <w:ind w:firstLine="420" w:firstLineChars="200"/>
    </w:pPr>
  </w:style>
  <w:style w:type="character" w:customStyle="1" w:styleId="19">
    <w:name w:val="标题 1 Char"/>
    <w:link w:val="2"/>
    <w:qFormat/>
    <w:uiPriority w:val="0"/>
    <w:rPr>
      <w:rFonts w:eastAsia="宋体"/>
      <w:b/>
      <w:kern w:val="44"/>
      <w:sz w:val="44"/>
    </w:rPr>
  </w:style>
  <w:style w:type="character" w:customStyle="1" w:styleId="20">
    <w:name w:val="批注框文本 Char"/>
    <w:link w:val="6"/>
    <w:qFormat/>
    <w:uiPriority w:val="0"/>
    <w:rPr>
      <w:rFonts w:ascii="Calibri" w:hAnsi="Calibri" w:cs="黑体"/>
      <w:kern w:val="2"/>
      <w:sz w:val="18"/>
      <w:szCs w:val="18"/>
    </w:rPr>
  </w:style>
  <w:style w:type="character" w:customStyle="1" w:styleId="21">
    <w:name w:val="标题 2 Char"/>
    <w:link w:val="3"/>
    <w:qFormat/>
    <w:uiPriority w:val="0"/>
    <w:rPr>
      <w:rFonts w:ascii="Arial" w:hAnsi="Arial" w:eastAsia="宋体"/>
      <w:b/>
      <w:sz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标题 3 Char"/>
    <w:link w:val="4"/>
    <w:qFormat/>
    <w:uiPriority w:val="0"/>
    <w:rPr>
      <w:rFonts w:hAnsi="Calibri" w:eastAsia="宋体"/>
      <w:b/>
      <w:sz w:val="24"/>
    </w:rPr>
  </w:style>
  <w:style w:type="character" w:customStyle="1" w:styleId="24">
    <w:name w:val="批注文字 Char"/>
    <w:link w:val="5"/>
    <w:qFormat/>
    <w:uiPriority w:val="0"/>
    <w:rPr>
      <w:rFonts w:ascii="Calibri" w:hAnsi="Calibri" w:cs="黑体"/>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37211</Words>
  <Characters>38222</Characters>
  <Lines>210</Lines>
  <Paragraphs>59</Paragraphs>
  <TotalTime>0</TotalTime>
  <ScaleCrop>false</ScaleCrop>
  <LinksUpToDate>false</LinksUpToDate>
  <CharactersWithSpaces>38471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hccb</cp:lastModifiedBy>
  <dcterms:modified xsi:type="dcterms:W3CDTF">2025-10-10T00:56:57Z</dcterms:modified>
  <dc:title>杭银理财幸福99XXXX理财计划合同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06A49D61929F4201B4ADB8DA4C945300</vt:lpwstr>
  </property>
</Properties>
</file>