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10B" w:rsidRDefault="00A93C12">
      <w:pPr>
        <w:widowControl/>
        <w:snapToGrid w:val="0"/>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浙银理财琮简涌金丰收日开2号</w:t>
      </w:r>
    </w:p>
    <w:p w:rsidR="0089610B" w:rsidRDefault="00A93C12">
      <w:pPr>
        <w:widowControl/>
        <w:snapToGrid w:val="0"/>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理财产品说明书</w:t>
      </w:r>
    </w:p>
    <w:p w:rsidR="0089610B" w:rsidRDefault="0089610B">
      <w:pPr>
        <w:widowControl/>
        <w:snapToGrid w:val="0"/>
        <w:ind w:firstLineChars="200" w:firstLine="480"/>
        <w:rPr>
          <w:rFonts w:ascii="黑体" w:eastAsia="黑体" w:hAnsi="宋体" w:cs="宋体"/>
          <w:bCs/>
          <w:kern w:val="0"/>
          <w:szCs w:val="32"/>
        </w:rPr>
      </w:pPr>
    </w:p>
    <w:p w:rsidR="0089610B" w:rsidRDefault="00A93C12">
      <w:pPr>
        <w:tabs>
          <w:tab w:val="left" w:pos="3119"/>
        </w:tabs>
        <w:autoSpaceDE w:val="0"/>
        <w:autoSpaceDN w:val="0"/>
        <w:snapToGrid w:val="0"/>
        <w:spacing w:line="360" w:lineRule="auto"/>
        <w:ind w:rightChars="15" w:right="36" w:firstLine="560"/>
        <w:jc w:val="center"/>
        <w:rPr>
          <w:rFonts w:ascii="黑体" w:eastAsia="黑体" w:hAnsi="宋体" w:cs="宋体"/>
          <w:bCs/>
          <w:kern w:val="0"/>
          <w:sz w:val="28"/>
          <w:szCs w:val="28"/>
        </w:rPr>
      </w:pPr>
      <w:r>
        <w:rPr>
          <w:rFonts w:ascii="黑体" w:eastAsia="黑体" w:hAnsi="宋体" w:cs="宋体" w:hint="eastAsia"/>
          <w:bCs/>
          <w:kern w:val="0"/>
          <w:sz w:val="28"/>
          <w:szCs w:val="28"/>
        </w:rPr>
        <w:t>重要提示</w:t>
      </w:r>
    </w:p>
    <w:p w:rsidR="0089610B" w:rsidRDefault="00A93C12">
      <w:pPr>
        <w:widowControl/>
        <w:tabs>
          <w:tab w:val="left" w:pos="709"/>
        </w:tabs>
        <w:snapToGrid w:val="0"/>
        <w:spacing w:line="360" w:lineRule="auto"/>
        <w:rPr>
          <w:rFonts w:ascii="仿宋_GB2312" w:hAnsi="宋体" w:cs="宋体"/>
          <w:b/>
          <w:bCs/>
          <w:kern w:val="0"/>
          <w:szCs w:val="24"/>
        </w:rPr>
      </w:pPr>
      <w:r>
        <w:rPr>
          <w:rFonts w:ascii="仿宋_GB2312" w:hAnsiTheme="minorEastAsia" w:cs="宋体" w:hint="eastAsia"/>
          <w:b/>
          <w:bCs/>
          <w:kern w:val="0"/>
          <w:szCs w:val="32"/>
        </w:rPr>
        <w:t>●</w:t>
      </w:r>
      <w:r>
        <w:rPr>
          <w:rFonts w:ascii="仿宋_GB2312" w:hAnsi="宋体" w:cs="宋体" w:hint="eastAsia"/>
          <w:b/>
          <w:bCs/>
          <w:kern w:val="0"/>
          <w:szCs w:val="24"/>
        </w:rPr>
        <w:t>理财非存款、产品有风险、投资须谨慎。</w:t>
      </w:r>
    </w:p>
    <w:p w:rsidR="0089610B" w:rsidRDefault="00A93C12">
      <w:pPr>
        <w:widowControl/>
        <w:tabs>
          <w:tab w:val="left" w:pos="709"/>
        </w:tabs>
        <w:snapToGrid w:val="0"/>
        <w:spacing w:line="360" w:lineRule="auto"/>
        <w:rPr>
          <w:rFonts w:ascii="仿宋_GB2312" w:hAnsi="宋体" w:cs="宋体"/>
          <w:b/>
          <w:bCs/>
          <w:kern w:val="0"/>
          <w:szCs w:val="24"/>
        </w:rPr>
      </w:pPr>
      <w:r>
        <w:rPr>
          <w:rFonts w:ascii="仿宋_GB2312" w:hAnsi="宋体" w:cs="宋体" w:hint="eastAsia"/>
          <w:b/>
          <w:bCs/>
          <w:kern w:val="0"/>
          <w:szCs w:val="24"/>
        </w:rPr>
        <w:t>●浙银理财有限责任公司（以下称“浙银</w:t>
      </w:r>
      <w:r>
        <w:rPr>
          <w:rFonts w:ascii="仿宋_GB2312" w:hAnsi="宋体" w:cs="宋体"/>
          <w:b/>
          <w:bCs/>
          <w:kern w:val="0"/>
          <w:szCs w:val="24"/>
        </w:rPr>
        <w:t>理财</w:t>
      </w:r>
      <w:r>
        <w:rPr>
          <w:rFonts w:ascii="仿宋_GB2312" w:hAnsi="宋体" w:cs="宋体" w:hint="eastAsia"/>
          <w:b/>
          <w:bCs/>
          <w:kern w:val="0"/>
          <w:szCs w:val="24"/>
        </w:rPr>
        <w:t>”）郑重提示：在购买理财产品前，请投资者应确保自己完全明白该项投资的性质和所涉及的风险，详细了解和审慎评估该理财产品的资金投资方向及风险类型等基本情况，在慎重考虑后自行决定购买与自身风险承受能力和资产管理需求匹配的理财产品，并承受由此产生的收益与风险。如影响投资者风险承受能力的因素发生变化，请及时完成风险承受能力评估</w:t>
      </w:r>
      <w:r>
        <w:rPr>
          <w:rFonts w:hint="eastAsia"/>
          <w:b/>
        </w:rPr>
        <w:t>。</w:t>
      </w:r>
    </w:p>
    <w:p w:rsidR="0089610B" w:rsidRDefault="00A93C12">
      <w:pPr>
        <w:pStyle w:val="af"/>
        <w:spacing w:line="360" w:lineRule="auto"/>
        <w:ind w:firstLineChars="0" w:firstLine="0"/>
        <w:rPr>
          <w:rFonts w:ascii="仿宋_GB2312" w:hAnsi="宋体" w:cs="宋体"/>
          <w:b/>
          <w:bCs/>
          <w:kern w:val="0"/>
          <w:szCs w:val="24"/>
        </w:rPr>
      </w:pPr>
      <w:r>
        <w:rPr>
          <w:rFonts w:ascii="仿宋_GB2312" w:hAnsi="宋体" w:cs="宋体" w:hint="eastAsia"/>
          <w:b/>
          <w:bCs/>
          <w:kern w:val="0"/>
          <w:szCs w:val="24"/>
        </w:rPr>
        <w:t>●</w:t>
      </w:r>
      <w:r>
        <w:rPr>
          <w:rFonts w:ascii="仿宋_GB2312" w:hAnsi="宋体" w:cs="宋体" w:hint="eastAsia"/>
          <w:bCs/>
          <w:kern w:val="0"/>
          <w:szCs w:val="24"/>
        </w:rPr>
        <w:t>本理财产品说明书与《风险揭示书》《投资协议书》《投资者权益须知》《（代理）销售协议书》等共同构成本理财产品完整</w:t>
      </w:r>
      <w:r>
        <w:rPr>
          <w:rFonts w:ascii="仿宋_GB2312" w:hAnsi="宋体" w:cs="宋体"/>
          <w:bCs/>
          <w:kern w:val="0"/>
          <w:szCs w:val="24"/>
        </w:rPr>
        <w:t>的</w:t>
      </w:r>
      <w:r>
        <w:rPr>
          <w:rFonts w:ascii="仿宋_GB2312" w:hAnsi="宋体" w:cs="宋体" w:hint="eastAsia"/>
          <w:bCs/>
          <w:kern w:val="0"/>
          <w:szCs w:val="24"/>
        </w:rPr>
        <w:t>、</w:t>
      </w:r>
      <w:r>
        <w:rPr>
          <w:rFonts w:ascii="仿宋_GB2312" w:hAnsi="宋体" w:cs="宋体"/>
          <w:bCs/>
          <w:kern w:val="0"/>
          <w:szCs w:val="24"/>
        </w:rPr>
        <w:t>不可</w:t>
      </w:r>
      <w:r>
        <w:rPr>
          <w:rFonts w:ascii="仿宋_GB2312" w:hAnsi="宋体" w:cs="宋体" w:hint="eastAsia"/>
          <w:bCs/>
          <w:kern w:val="0"/>
          <w:szCs w:val="24"/>
        </w:rPr>
        <w:t>分割</w:t>
      </w:r>
      <w:r>
        <w:rPr>
          <w:rFonts w:ascii="仿宋_GB2312" w:hAnsi="宋体" w:cs="宋体"/>
          <w:bCs/>
          <w:kern w:val="0"/>
          <w:szCs w:val="24"/>
        </w:rPr>
        <w:t>的</w:t>
      </w:r>
      <w:r>
        <w:rPr>
          <w:rFonts w:ascii="仿宋_GB2312" w:hAnsi="宋体" w:cs="宋体" w:hint="eastAsia"/>
          <w:bCs/>
          <w:kern w:val="0"/>
          <w:szCs w:val="24"/>
        </w:rPr>
        <w:t>销售文件。</w:t>
      </w:r>
      <w:r>
        <w:rPr>
          <w:rFonts w:ascii="仿宋_GB2312" w:hAnsi="宋体" w:cs="宋体" w:hint="eastAsia"/>
          <w:b/>
          <w:bCs/>
          <w:kern w:val="0"/>
          <w:szCs w:val="24"/>
        </w:rPr>
        <w:t>为了维护投资者的合法权益，请在投资前仔细阅读本说明书及其他销售文件，了解理财产品具体情况。</w:t>
      </w:r>
    </w:p>
    <w:p w:rsidR="0089610B" w:rsidRDefault="00A93C12">
      <w:pPr>
        <w:pStyle w:val="af"/>
        <w:spacing w:line="360" w:lineRule="auto"/>
        <w:ind w:firstLineChars="0" w:firstLine="0"/>
        <w:rPr>
          <w:rFonts w:ascii="仿宋_GB2312" w:hAnsi="宋体" w:cs="宋体"/>
          <w:b/>
          <w:bCs/>
          <w:kern w:val="0"/>
          <w:szCs w:val="24"/>
        </w:rPr>
      </w:pPr>
      <w:r>
        <w:rPr>
          <w:rFonts w:ascii="仿宋_GB2312" w:hAnsi="宋体" w:cs="宋体" w:hint="eastAsia"/>
          <w:b/>
          <w:bCs/>
          <w:kern w:val="0"/>
          <w:szCs w:val="24"/>
        </w:rPr>
        <w:t>●</w:t>
      </w:r>
      <w:r>
        <w:rPr>
          <w:rFonts w:ascii="仿宋_GB2312" w:hAnsi="宋体" w:cs="宋体" w:hint="eastAsia"/>
          <w:bCs/>
          <w:kern w:val="0"/>
          <w:szCs w:val="24"/>
        </w:rPr>
        <w:t>本理财产品为</w:t>
      </w:r>
      <w:r>
        <w:rPr>
          <w:rFonts w:ascii="仿宋_GB2312" w:hAnsi="宋体" w:cs="宋体" w:hint="eastAsia"/>
          <w:b/>
          <w:bCs/>
          <w:kern w:val="0"/>
          <w:szCs w:val="24"/>
        </w:rPr>
        <w:t>非保本浮动收益型理财产品，与银行存款存在显著区别，不受</w:t>
      </w:r>
      <w:r>
        <w:rPr>
          <w:rFonts w:ascii="仿宋_GB2312" w:hAnsiTheme="minorEastAsia" w:cs="宋体" w:hint="eastAsia"/>
          <w:b/>
          <w:bCs/>
          <w:kern w:val="0"/>
          <w:szCs w:val="32"/>
        </w:rPr>
        <w:t>存款保险及其他保障机制的保障。</w:t>
      </w:r>
      <w:r>
        <w:rPr>
          <w:rFonts w:ascii="仿宋_GB2312" w:hAnsi="宋体" w:cs="宋体" w:hint="eastAsia"/>
          <w:b/>
          <w:bCs/>
          <w:kern w:val="0"/>
          <w:szCs w:val="24"/>
        </w:rPr>
        <w:t>本理财产品不保证投资者理财本金安全及最低收益，投资者投资/持有本理财产品可能因市场变化、突发事件等因素遭受收益乃至本金损失</w:t>
      </w:r>
      <w:r>
        <w:rPr>
          <w:rFonts w:ascii="仿宋_GB2312" w:hAnsiTheme="minorEastAsia" w:cs="宋体" w:hint="eastAsia"/>
          <w:b/>
          <w:bCs/>
          <w:kern w:val="0"/>
          <w:szCs w:val="32"/>
        </w:rPr>
        <w:t>，</w:t>
      </w:r>
      <w:r>
        <w:rPr>
          <w:rFonts w:asciiTheme="minorEastAsia" w:hAnsiTheme="minorEastAsia" w:cs="宋体" w:hint="eastAsia"/>
          <w:b/>
          <w:bCs/>
          <w:kern w:val="0"/>
          <w:szCs w:val="24"/>
        </w:rPr>
        <w:t>请</w:t>
      </w:r>
      <w:r>
        <w:rPr>
          <w:rFonts w:ascii="仿宋_GB2312" w:hAnsi="宋体" w:cs="宋体" w:hint="eastAsia"/>
          <w:b/>
          <w:bCs/>
          <w:kern w:val="0"/>
          <w:szCs w:val="24"/>
        </w:rPr>
        <w:t>投资者充分知晓、理解投资风险，谨慎投资。</w:t>
      </w:r>
    </w:p>
    <w:p w:rsidR="0089610B" w:rsidRDefault="00A93C12">
      <w:pPr>
        <w:pStyle w:val="af"/>
        <w:spacing w:line="360" w:lineRule="auto"/>
        <w:ind w:firstLineChars="0" w:firstLine="0"/>
        <w:rPr>
          <w:rFonts w:ascii="仿宋_GB2312" w:hAnsi="宋体" w:cs="宋体"/>
          <w:b/>
          <w:bCs/>
          <w:kern w:val="0"/>
          <w:szCs w:val="24"/>
        </w:rPr>
      </w:pPr>
      <w:r>
        <w:rPr>
          <w:rFonts w:ascii="仿宋_GB2312" w:hAnsi="宋体" w:cs="宋体" w:hint="eastAsia"/>
          <w:b/>
          <w:bCs/>
          <w:kern w:val="0"/>
          <w:szCs w:val="24"/>
        </w:rPr>
        <w:t>●</w:t>
      </w:r>
      <w:r>
        <w:rPr>
          <w:rFonts w:ascii="仿宋_GB2312" w:hAnsi="宋体" w:cs="宋体" w:hint="eastAsia"/>
          <w:bCs/>
          <w:kern w:val="0"/>
          <w:szCs w:val="24"/>
        </w:rPr>
        <w:t>本理财产品涉及的主要风险包括政策风险、信用风险、市场风险、流动性风险、经营管理风险、交易对手风险、操作风险、代销风险、募集期延长/缩短风险、产品不成立风险、提前终止风险、延期分配风险、信息传递风险、关联关系及关联交易风险、再投资风险、估值风险、托管及清算风险、税务风险、不同理财产品份额类别存在差异的风险、其他风险等，</w:t>
      </w:r>
      <w:r>
        <w:rPr>
          <w:rFonts w:ascii="仿宋_GB2312" w:hAnsi="宋体" w:cs="宋体" w:hint="eastAsia"/>
          <w:b/>
          <w:bCs/>
          <w:kern w:val="0"/>
          <w:szCs w:val="24"/>
        </w:rPr>
        <w:t>请投资者仔细阅读《风险揭示书》。●本理财产品销售文件中的任何“业绩比较基准”“业绩比较基准区间”以及其他类似表述均不代表投资者可能获得的实际收益，亦不构成管理人对本理财产品的任何收益承诺，不具有法律效力。</w:t>
      </w:r>
    </w:p>
    <w:p w:rsidR="0089610B" w:rsidRDefault="00A93C12">
      <w:pPr>
        <w:pStyle w:val="af"/>
        <w:spacing w:line="360" w:lineRule="auto"/>
        <w:ind w:firstLineChars="0" w:firstLine="0"/>
        <w:rPr>
          <w:rFonts w:ascii="仿宋_GB2312" w:hAnsi="宋体" w:cs="宋体"/>
          <w:b/>
          <w:bCs/>
          <w:kern w:val="0"/>
          <w:szCs w:val="24"/>
        </w:rPr>
      </w:pPr>
      <w:r>
        <w:rPr>
          <w:rFonts w:ascii="仿宋_GB2312" w:hAnsi="宋体" w:cs="宋体" w:hint="eastAsia"/>
          <w:b/>
          <w:bCs/>
          <w:kern w:val="0"/>
          <w:szCs w:val="24"/>
        </w:rPr>
        <w:t>●本理财</w:t>
      </w:r>
      <w:r>
        <w:rPr>
          <w:rFonts w:ascii="仿宋_GB2312" w:hAnsi="宋体" w:cs="宋体"/>
          <w:b/>
          <w:bCs/>
          <w:kern w:val="0"/>
          <w:szCs w:val="24"/>
        </w:rPr>
        <w:t>产品的投资运作情况体现为产品净值变化，</w:t>
      </w:r>
      <w:r>
        <w:rPr>
          <w:rFonts w:ascii="仿宋_GB2312" w:hAnsi="宋体" w:cs="宋体" w:hint="eastAsia"/>
          <w:b/>
          <w:bCs/>
          <w:kern w:val="0"/>
          <w:szCs w:val="24"/>
        </w:rPr>
        <w:t>投资者最终理财收益以实际到账为准。本理财产品过往业绩不代表其未来表现，不等于投资者未来可获得的实际收益。</w:t>
      </w:r>
    </w:p>
    <w:p w:rsidR="0089610B" w:rsidRDefault="00A93C12">
      <w:pPr>
        <w:tabs>
          <w:tab w:val="left" w:pos="709"/>
        </w:tabs>
        <w:snapToGrid w:val="0"/>
        <w:spacing w:line="360" w:lineRule="auto"/>
        <w:rPr>
          <w:rFonts w:ascii="仿宋_GB2312" w:hAnsi="宋体" w:cs="宋体"/>
          <w:bCs/>
          <w:kern w:val="0"/>
          <w:szCs w:val="24"/>
        </w:rPr>
      </w:pPr>
      <w:r>
        <w:rPr>
          <w:rFonts w:ascii="仿宋_GB2312" w:hAnsi="宋体" w:cs="宋体" w:hint="eastAsia"/>
          <w:b/>
          <w:bCs/>
          <w:kern w:val="0"/>
          <w:szCs w:val="24"/>
        </w:rPr>
        <w:t>●本理财产品仅向依据中华人民共和国法律法规及监管规定可以购买本类理财产品的投资者发售。</w:t>
      </w:r>
      <w:r>
        <w:rPr>
          <w:rFonts w:ascii="仿宋_GB2312" w:hAnsi="宋体" w:cs="宋体"/>
          <w:b/>
          <w:kern w:val="0"/>
          <w:szCs w:val="24"/>
        </w:rPr>
        <w:t>投资者通过销售机构与浙银理财签订理财产品销售文件后，销售机构或浙银理财在划款时，不再通过任何方式与投资者进行最后确认，直接划款。</w:t>
      </w:r>
      <w:r>
        <w:rPr>
          <w:rFonts w:hint="eastAsia"/>
          <w:b/>
        </w:rPr>
        <w:t>投</w:t>
      </w:r>
      <w:r>
        <w:rPr>
          <w:rFonts w:ascii="仿宋_GB2312" w:hAnsi="宋体" w:cs="宋体"/>
          <w:b/>
          <w:kern w:val="0"/>
          <w:szCs w:val="24"/>
        </w:rPr>
        <w:t>资者通过销售机构电子渠道购买本理财产品，成功提交认购/申购申请后视同为投资者已完全知悉并接受本理财产品销售文件载明的风险揭示、重要提示以及其他约定，与浙银理财已完成理财产品销售</w:t>
      </w:r>
      <w:r>
        <w:rPr>
          <w:rFonts w:ascii="仿宋_GB2312" w:hAnsi="宋体" w:cs="宋体" w:hint="eastAsia"/>
          <w:b/>
          <w:kern w:val="0"/>
          <w:szCs w:val="24"/>
        </w:rPr>
        <w:t>文件</w:t>
      </w:r>
      <w:r>
        <w:rPr>
          <w:rFonts w:ascii="仿宋_GB2312" w:hAnsi="宋体" w:cs="宋体"/>
          <w:b/>
          <w:kern w:val="0"/>
          <w:szCs w:val="24"/>
        </w:rPr>
        <w:t>的签订。</w:t>
      </w:r>
    </w:p>
    <w:p w:rsidR="0089610B" w:rsidRDefault="00A93C12">
      <w:pPr>
        <w:tabs>
          <w:tab w:val="left" w:pos="709"/>
        </w:tabs>
        <w:snapToGrid w:val="0"/>
        <w:spacing w:line="360" w:lineRule="auto"/>
        <w:rPr>
          <w:rFonts w:ascii="仿宋_GB2312" w:hAnsi="宋体" w:cs="宋体"/>
          <w:bCs/>
          <w:kern w:val="0"/>
          <w:szCs w:val="24"/>
        </w:rPr>
      </w:pPr>
      <w:r>
        <w:rPr>
          <w:rFonts w:ascii="仿宋_GB2312" w:hAnsi="宋体" w:cs="宋体" w:hint="eastAsia"/>
          <w:b/>
          <w:bCs/>
          <w:kern w:val="0"/>
          <w:szCs w:val="24"/>
        </w:rPr>
        <w:t>●</w:t>
      </w:r>
      <w:r>
        <w:rPr>
          <w:rFonts w:ascii="仿宋_GB2312" w:hAnsi="宋体" w:cs="宋体" w:hint="eastAsia"/>
          <w:bCs/>
          <w:kern w:val="0"/>
          <w:szCs w:val="24"/>
        </w:rPr>
        <w:t>投资本理财产品后，投资者应随时关注本理财产品的信息披露情况，及时获取相关信息，相关信息</w:t>
      </w:r>
      <w:r>
        <w:rPr>
          <w:rFonts w:ascii="仿宋_GB2312" w:hAnsi="宋体" w:cs="宋体" w:hint="eastAsia"/>
          <w:bCs/>
          <w:kern w:val="0"/>
          <w:szCs w:val="24"/>
        </w:rPr>
        <w:lastRenderedPageBreak/>
        <w:t>以销售文件约定的信息披露方式进行披露。</w:t>
      </w:r>
    </w:p>
    <w:p w:rsidR="0089610B" w:rsidRDefault="00A93C12">
      <w:pPr>
        <w:tabs>
          <w:tab w:val="left" w:pos="709"/>
        </w:tabs>
        <w:snapToGrid w:val="0"/>
        <w:spacing w:line="360" w:lineRule="auto"/>
        <w:rPr>
          <w:rFonts w:ascii="仿宋_GB2312" w:hAnsi="宋体" w:cs="宋体"/>
          <w:bCs/>
          <w:kern w:val="0"/>
          <w:szCs w:val="24"/>
        </w:rPr>
      </w:pPr>
      <w:r>
        <w:rPr>
          <w:rFonts w:ascii="仿宋_GB2312" w:hAnsi="宋体" w:cs="宋体" w:hint="eastAsia"/>
          <w:b/>
          <w:bCs/>
          <w:kern w:val="0"/>
          <w:szCs w:val="24"/>
        </w:rPr>
        <w:t>●</w:t>
      </w:r>
      <w:r>
        <w:rPr>
          <w:rFonts w:ascii="仿宋_GB2312" w:hAnsi="宋体" w:cs="宋体" w:hint="eastAsia"/>
          <w:bCs/>
          <w:kern w:val="0"/>
          <w:szCs w:val="24"/>
        </w:rPr>
        <w:t>投资者承诺其用于购买本理财产品的资金来源合法合规，投资者应确保用于投资本理财产品的资金不来源于贷款、发行债券等筹集的非自有资金。</w:t>
      </w:r>
    </w:p>
    <w:p w:rsidR="0089610B" w:rsidRDefault="00A93C12">
      <w:pPr>
        <w:tabs>
          <w:tab w:val="left" w:pos="709"/>
        </w:tabs>
        <w:snapToGrid w:val="0"/>
        <w:spacing w:line="360" w:lineRule="auto"/>
        <w:rPr>
          <w:rFonts w:ascii="仿宋_GB2312" w:hAnsi="宋体" w:cs="宋体"/>
          <w:bCs/>
          <w:kern w:val="0"/>
          <w:szCs w:val="24"/>
        </w:rPr>
      </w:pPr>
      <w:r>
        <w:rPr>
          <w:rFonts w:ascii="仿宋_GB2312" w:hAnsi="宋体" w:cs="宋体" w:hint="eastAsia"/>
          <w:b/>
          <w:bCs/>
          <w:kern w:val="0"/>
          <w:szCs w:val="24"/>
        </w:rPr>
        <w:t>●</w:t>
      </w:r>
      <w:r>
        <w:rPr>
          <w:rFonts w:ascii="仿宋_GB2312" w:hAnsi="宋体" w:cs="宋体"/>
          <w:b/>
          <w:kern w:val="0"/>
          <w:szCs w:val="24"/>
        </w:rPr>
        <w:t>在本理财产品存续期内，</w:t>
      </w:r>
      <w:r>
        <w:rPr>
          <w:rFonts w:ascii="仿宋_GB2312" w:hAnsiTheme="minorEastAsia" w:cs="宋体"/>
          <w:b/>
          <w:kern w:val="0"/>
          <w:szCs w:val="32"/>
        </w:rPr>
        <w:t>如因维持本理财产品正常运营的需要且在不损害投资者利益的前提下，或因监管政策、法律法规发生变化</w:t>
      </w:r>
      <w:r>
        <w:rPr>
          <w:rFonts w:ascii="仿宋_GB2312" w:hAnsi="宋体" w:cs="宋体"/>
          <w:b/>
          <w:kern w:val="0"/>
          <w:szCs w:val="24"/>
        </w:rPr>
        <w:t>，浙银理财有权单方对本理财产品销售文件条款进行修订，并按本理财产品说明书约定的披露方式向投资者进行信息披露。浙银理财按照前述规则发布该信息披露即视为该修订通知已送达投资者并对投资者具有法律约束力。</w:t>
      </w:r>
    </w:p>
    <w:p w:rsidR="0089610B" w:rsidRDefault="00A93C12">
      <w:pPr>
        <w:tabs>
          <w:tab w:val="left" w:pos="709"/>
        </w:tabs>
        <w:snapToGrid w:val="0"/>
        <w:spacing w:line="360" w:lineRule="auto"/>
      </w:pPr>
      <w:r>
        <w:rPr>
          <w:rFonts w:ascii="仿宋_GB2312" w:hAnsiTheme="minorEastAsia" w:cs="宋体" w:hint="eastAsia"/>
          <w:bCs/>
          <w:kern w:val="0"/>
          <w:szCs w:val="32"/>
        </w:rPr>
        <w:t>●如对本理财产品、服务有任何疑问、意见或建议，敬请联系您的销售服务机构：</w:t>
      </w:r>
      <w:r>
        <w:rPr>
          <w:rFonts w:ascii="仿宋_GB2312" w:hAnsi="Times New Roman" w:hint="eastAsia"/>
          <w:kern w:val="0"/>
        </w:rPr>
        <w:t>浙江桐乡农村商业银行股份有限公司</w:t>
      </w:r>
      <w:r>
        <w:rPr>
          <w:rFonts w:ascii="仿宋_GB2312" w:hAnsiTheme="minorEastAsia" w:cs="宋体" w:hint="eastAsia"/>
          <w:bCs/>
          <w:kern w:val="0"/>
          <w:szCs w:val="32"/>
        </w:rPr>
        <w:t>服务热线96596</w:t>
      </w:r>
      <w:r>
        <w:rPr>
          <w:rFonts w:ascii="仿宋_GB2312" w:hAnsi="Times New Roman" w:hint="eastAsia"/>
          <w:kern w:val="0"/>
        </w:rPr>
        <w:t>、浙江萧山农村商业银行股份有限公司</w:t>
      </w:r>
      <w:r>
        <w:rPr>
          <w:rFonts w:ascii="仿宋_GB2312" w:hAnsiTheme="minorEastAsia" w:cs="宋体" w:hint="eastAsia"/>
          <w:bCs/>
          <w:kern w:val="0"/>
          <w:szCs w:val="32"/>
        </w:rPr>
        <w:t>服务热线96596、</w:t>
      </w:r>
      <w:r>
        <w:rPr>
          <w:rFonts w:ascii="仿宋_GB2312" w:hAnsi="Times New Roman" w:hint="eastAsia"/>
          <w:kern w:val="0"/>
        </w:rPr>
        <w:t>浙江德清农村商业银行股份有限公司</w:t>
      </w:r>
      <w:r>
        <w:rPr>
          <w:rFonts w:ascii="仿宋_GB2312" w:hAnsiTheme="minorEastAsia" w:cs="宋体" w:hint="eastAsia"/>
          <w:bCs/>
          <w:kern w:val="0"/>
          <w:szCs w:val="32"/>
        </w:rPr>
        <w:t>服务热线96596、</w:t>
      </w:r>
      <w:r>
        <w:rPr>
          <w:rFonts w:ascii="仿宋_GB2312" w:hAnsi="Times New Roman" w:hint="eastAsia"/>
          <w:kern w:val="0"/>
        </w:rPr>
        <w:t>浙江禾城农村商业银行股份有限公司</w:t>
      </w:r>
      <w:r>
        <w:rPr>
          <w:rFonts w:ascii="仿宋_GB2312" w:hAnsiTheme="minorEastAsia" w:cs="宋体" w:hint="eastAsia"/>
          <w:bCs/>
          <w:kern w:val="0"/>
          <w:szCs w:val="32"/>
        </w:rPr>
        <w:t>服务热线96596</w:t>
      </w:r>
      <w:r>
        <w:rPr>
          <w:rFonts w:ascii="仿宋_GB2312" w:hAnsi="Times New Roman" w:hint="eastAsia"/>
          <w:kern w:val="0"/>
        </w:rPr>
        <w:t>、浙江海宁农村商业银行股份有限公司</w:t>
      </w:r>
      <w:r>
        <w:rPr>
          <w:rFonts w:ascii="仿宋_GB2312" w:hAnsiTheme="minorEastAsia" w:cs="宋体" w:hint="eastAsia"/>
          <w:bCs/>
          <w:kern w:val="0"/>
          <w:szCs w:val="32"/>
        </w:rPr>
        <w:t>服务热线96596；或反馈至浙银理财：浙银理财服务电话，0571-57192881。</w:t>
      </w:r>
    </w:p>
    <w:p w:rsidR="0089610B" w:rsidRDefault="00A93C12">
      <w:r>
        <w:br w:type="page"/>
      </w:r>
    </w:p>
    <w:p w:rsidR="0089610B" w:rsidRDefault="00A93C12">
      <w:pPr>
        <w:pStyle w:val="1"/>
      </w:pPr>
      <w:r>
        <w:rPr>
          <w:rFonts w:hint="eastAsia"/>
        </w:rPr>
        <w:t>释义</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本说明书中，除非另有明确说明，否则下列词语或简称具有如下含义：</w:t>
      </w:r>
    </w:p>
    <w:p w:rsidR="0089610B" w:rsidRDefault="00A93C12">
      <w:pPr>
        <w:pStyle w:val="2"/>
        <w:ind w:firstLine="482"/>
        <w:rPr>
          <w:rFonts w:ascii="仿宋_GB2312" w:hAnsi="宋体" w:cs="宋体"/>
          <w:bCs/>
          <w:kern w:val="0"/>
          <w:szCs w:val="24"/>
        </w:rPr>
      </w:pPr>
      <w:r>
        <w:rPr>
          <w:rFonts w:ascii="仿宋_GB2312" w:hAnsi="宋体" w:cs="宋体" w:hint="eastAsia"/>
          <w:bCs/>
          <w:kern w:val="0"/>
          <w:szCs w:val="24"/>
        </w:rPr>
        <w:t>产品参与主体用语</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w:t>
      </w:r>
      <w:r>
        <w:rPr>
          <w:rFonts w:ascii="仿宋_GB2312" w:hAnsi="宋体" w:cs="宋体"/>
          <w:bCs/>
          <w:kern w:val="0"/>
          <w:szCs w:val="24"/>
        </w:rPr>
        <w:t>管理人/产品管理人/理财产品管理人：指浙银理财有限责任公司（简称</w:t>
      </w:r>
      <w:r>
        <w:rPr>
          <w:rFonts w:ascii="仿宋_GB2312" w:hAnsi="宋体" w:cs="宋体"/>
          <w:bCs/>
          <w:kern w:val="0"/>
          <w:szCs w:val="24"/>
        </w:rPr>
        <w:t>“</w:t>
      </w:r>
      <w:r>
        <w:rPr>
          <w:rFonts w:ascii="仿宋_GB2312" w:hAnsi="宋体" w:cs="宋体"/>
          <w:bCs/>
          <w:kern w:val="0"/>
          <w:szCs w:val="24"/>
        </w:rPr>
        <w:t>浙银理财</w:t>
      </w:r>
      <w:r>
        <w:rPr>
          <w:rFonts w:ascii="仿宋_GB2312" w:hAnsi="宋体" w:cs="宋体"/>
          <w:bCs/>
          <w:kern w:val="0"/>
          <w:szCs w:val="24"/>
        </w:rPr>
        <w:t>”</w:t>
      </w:r>
      <w:r>
        <w:rPr>
          <w:rFonts w:ascii="仿宋_GB2312" w:hAnsi="宋体" w:cs="宋体"/>
          <w:bCs/>
          <w:kern w:val="0"/>
          <w:szCs w:val="24"/>
        </w:rPr>
        <w:t>）。</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2.</w:t>
      </w:r>
      <w:r>
        <w:rPr>
          <w:rFonts w:ascii="仿宋_GB2312" w:hAnsi="宋体" w:cs="宋体" w:hint="eastAsia"/>
          <w:bCs/>
          <w:kern w:val="0"/>
          <w:szCs w:val="24"/>
        </w:rPr>
        <w:t>销售机构/理财产品销售机构：指符合</w:t>
      </w:r>
      <w:r>
        <w:rPr>
          <w:rFonts w:ascii="仿宋_GB2312" w:hAnsi="宋体" w:cs="宋体"/>
          <w:bCs/>
          <w:kern w:val="0"/>
          <w:szCs w:val="24"/>
        </w:rPr>
        <w:t>监管</w:t>
      </w:r>
      <w:r>
        <w:rPr>
          <w:rFonts w:ascii="仿宋_GB2312" w:hAnsi="宋体" w:cs="宋体" w:hint="eastAsia"/>
          <w:bCs/>
          <w:kern w:val="0"/>
          <w:szCs w:val="24"/>
        </w:rPr>
        <w:t>规定</w:t>
      </w:r>
      <w:r>
        <w:rPr>
          <w:rFonts w:ascii="仿宋_GB2312" w:hAnsi="宋体" w:cs="宋体"/>
          <w:bCs/>
          <w:kern w:val="0"/>
          <w:szCs w:val="24"/>
        </w:rPr>
        <w:t>具备理财产品销售资格</w:t>
      </w:r>
      <w:r>
        <w:rPr>
          <w:rFonts w:ascii="仿宋_GB2312" w:hAnsi="宋体" w:cs="宋体" w:hint="eastAsia"/>
          <w:bCs/>
          <w:kern w:val="0"/>
          <w:szCs w:val="24"/>
        </w:rPr>
        <w:t>的</w:t>
      </w:r>
      <w:r>
        <w:rPr>
          <w:rFonts w:ascii="仿宋_GB2312" w:hAnsi="宋体" w:cs="宋体"/>
          <w:bCs/>
          <w:kern w:val="0"/>
          <w:szCs w:val="24"/>
        </w:rPr>
        <w:t>机构</w:t>
      </w:r>
      <w:r>
        <w:rPr>
          <w:rFonts w:ascii="仿宋_GB2312" w:hAnsi="宋体" w:cs="宋体" w:hint="eastAsia"/>
          <w:bCs/>
          <w:kern w:val="0"/>
          <w:szCs w:val="24"/>
        </w:rPr>
        <w:t>，</w:t>
      </w:r>
      <w:r>
        <w:rPr>
          <w:rFonts w:ascii="仿宋_GB2312" w:hAnsi="宋体" w:cs="宋体"/>
          <w:bCs/>
          <w:kern w:val="0"/>
          <w:szCs w:val="24"/>
        </w:rPr>
        <w:t>销售机构在其渠道开展向投资者</w:t>
      </w:r>
      <w:r>
        <w:rPr>
          <w:rFonts w:ascii="仿宋_GB2312" w:hAnsi="宋体" w:cs="宋体" w:hint="eastAsia"/>
          <w:bCs/>
          <w:kern w:val="0"/>
          <w:szCs w:val="24"/>
        </w:rPr>
        <w:t>进行</w:t>
      </w:r>
      <w:r>
        <w:rPr>
          <w:rFonts w:ascii="仿宋_GB2312" w:hAnsi="宋体" w:cs="宋体"/>
          <w:bCs/>
          <w:kern w:val="0"/>
          <w:szCs w:val="24"/>
        </w:rPr>
        <w:t>宣传推介</w:t>
      </w:r>
      <w:r>
        <w:rPr>
          <w:rFonts w:ascii="仿宋_GB2312" w:hAnsi="宋体" w:cs="宋体" w:hint="eastAsia"/>
          <w:bCs/>
          <w:kern w:val="0"/>
          <w:szCs w:val="24"/>
        </w:rPr>
        <w:t>，为</w:t>
      </w:r>
      <w:r>
        <w:rPr>
          <w:rFonts w:ascii="仿宋_GB2312" w:hAnsi="宋体" w:cs="宋体"/>
          <w:bCs/>
          <w:kern w:val="0"/>
          <w:szCs w:val="24"/>
        </w:rPr>
        <w:t>投资者</w:t>
      </w:r>
      <w:r>
        <w:rPr>
          <w:rFonts w:ascii="仿宋_GB2312" w:hAnsi="宋体" w:cs="宋体" w:hint="eastAsia"/>
          <w:bCs/>
          <w:kern w:val="0"/>
          <w:szCs w:val="24"/>
        </w:rPr>
        <w:t>办理理财产品认购、申购和赎回，以及监管许可的其他销售活动。理财</w:t>
      </w:r>
      <w:r>
        <w:rPr>
          <w:rFonts w:ascii="仿宋_GB2312" w:hAnsi="宋体" w:cs="宋体"/>
          <w:bCs/>
          <w:kern w:val="0"/>
          <w:szCs w:val="24"/>
        </w:rPr>
        <w:t>产品</w:t>
      </w:r>
      <w:r>
        <w:rPr>
          <w:rFonts w:ascii="仿宋_GB2312" w:hAnsi="宋体" w:cs="宋体" w:hint="eastAsia"/>
          <w:bCs/>
          <w:kern w:val="0"/>
          <w:szCs w:val="24"/>
        </w:rPr>
        <w:t>销售可分为直销和代理</w:t>
      </w:r>
      <w:r>
        <w:rPr>
          <w:rFonts w:ascii="仿宋_GB2312" w:hAnsi="宋体" w:cs="宋体"/>
          <w:bCs/>
          <w:kern w:val="0"/>
          <w:szCs w:val="24"/>
        </w:rPr>
        <w:t>销售</w:t>
      </w:r>
      <w:r>
        <w:rPr>
          <w:rFonts w:ascii="仿宋_GB2312" w:hAnsi="宋体" w:cs="宋体" w:hint="eastAsia"/>
          <w:bCs/>
          <w:kern w:val="0"/>
          <w:szCs w:val="24"/>
        </w:rPr>
        <w:t>，直销机构指销售本公司发行理财产品的理财公司，代销机构指接受理财公司委托销售发行理财产品的代理销售机构。销售机构在其渠道开展向投资者宣传推介、销售产品管理人依法发行的资产管理产品的活动。</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3.</w:t>
      </w:r>
      <w:r>
        <w:rPr>
          <w:rFonts w:ascii="仿宋_GB2312" w:hAnsi="宋体" w:cs="宋体" w:hint="eastAsia"/>
          <w:bCs/>
          <w:kern w:val="0"/>
          <w:szCs w:val="24"/>
        </w:rPr>
        <w:t>托管人</w:t>
      </w:r>
      <w:r>
        <w:rPr>
          <w:rFonts w:ascii="仿宋_GB2312" w:hAnsi="宋体" w:cs="宋体"/>
          <w:bCs/>
          <w:kern w:val="0"/>
          <w:szCs w:val="24"/>
        </w:rPr>
        <w:t>/</w:t>
      </w:r>
      <w:r>
        <w:rPr>
          <w:rFonts w:ascii="仿宋_GB2312" w:hAnsi="宋体" w:cs="宋体" w:hint="eastAsia"/>
          <w:bCs/>
          <w:kern w:val="0"/>
          <w:szCs w:val="24"/>
        </w:rPr>
        <w:t>产品托管人</w:t>
      </w:r>
      <w:r>
        <w:rPr>
          <w:rFonts w:ascii="仿宋_GB2312" w:hAnsi="宋体" w:cs="宋体"/>
          <w:bCs/>
          <w:kern w:val="0"/>
          <w:szCs w:val="24"/>
        </w:rPr>
        <w:t>/</w:t>
      </w:r>
      <w:r>
        <w:rPr>
          <w:rFonts w:ascii="仿宋_GB2312" w:hAnsi="宋体" w:cs="宋体" w:hint="eastAsia"/>
          <w:bCs/>
          <w:kern w:val="0"/>
          <w:szCs w:val="24"/>
        </w:rPr>
        <w:t>理财产品托管人：</w:t>
      </w:r>
      <w:r>
        <w:rPr>
          <w:rFonts w:ascii="仿宋_GB2312" w:hAnsi="宋体" w:cs="宋体"/>
          <w:bCs/>
          <w:kern w:val="0"/>
          <w:szCs w:val="24"/>
        </w:rPr>
        <w:t>指</w:t>
      </w:r>
      <w:r>
        <w:rPr>
          <w:rFonts w:ascii="仿宋_GB2312" w:hAnsi="宋体" w:cs="宋体" w:hint="eastAsia"/>
          <w:bCs/>
          <w:kern w:val="0"/>
          <w:szCs w:val="24"/>
        </w:rPr>
        <w:t>根据管理人委托对理财产品财产进行托管的机构。本理财</w:t>
      </w:r>
      <w:r>
        <w:rPr>
          <w:rFonts w:ascii="仿宋_GB2312" w:hAnsi="宋体" w:cs="宋体"/>
          <w:bCs/>
          <w:kern w:val="0"/>
          <w:szCs w:val="24"/>
        </w:rPr>
        <w:t>产品托管人</w:t>
      </w:r>
      <w:r>
        <w:rPr>
          <w:rFonts w:ascii="仿宋_GB2312" w:hAnsi="宋体" w:cs="宋体" w:hint="eastAsia"/>
          <w:bCs/>
          <w:kern w:val="0"/>
          <w:szCs w:val="24"/>
        </w:rPr>
        <w:t>指浙商银行股份有限公司（简称</w:t>
      </w:r>
      <w:r>
        <w:rPr>
          <w:rFonts w:ascii="仿宋_GB2312" w:hAnsi="宋体" w:cs="宋体"/>
          <w:bCs/>
          <w:kern w:val="0"/>
          <w:szCs w:val="24"/>
        </w:rPr>
        <w:t>浙商银行</w:t>
      </w:r>
      <w:r>
        <w:rPr>
          <w:rFonts w:ascii="仿宋_GB2312" w:hAnsi="宋体" w:cs="宋体" w:hint="eastAsia"/>
          <w:bCs/>
          <w:kern w:val="0"/>
          <w:szCs w:val="24"/>
        </w:rPr>
        <w:t>）。浙商银行具备理财产品托管资格。</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4.投资者：指符合相关法律法规、监管规定要求的，可以购买理财产品份额的自然人、法人及</w:t>
      </w:r>
      <w:r>
        <w:rPr>
          <w:rFonts w:ascii="仿宋_GB2312" w:hAnsi="宋体" w:cs="宋体"/>
          <w:bCs/>
          <w:kern w:val="0"/>
          <w:szCs w:val="24"/>
        </w:rPr>
        <w:t>依法成立的</w:t>
      </w:r>
      <w:r>
        <w:rPr>
          <w:rFonts w:ascii="仿宋_GB2312" w:hAnsi="宋体" w:cs="宋体" w:hint="eastAsia"/>
          <w:bCs/>
          <w:kern w:val="0"/>
          <w:szCs w:val="24"/>
        </w:rPr>
        <w:t>其他</w:t>
      </w:r>
      <w:r>
        <w:rPr>
          <w:rFonts w:ascii="仿宋_GB2312" w:hAnsi="宋体" w:cs="宋体"/>
          <w:bCs/>
          <w:kern w:val="0"/>
          <w:szCs w:val="24"/>
        </w:rPr>
        <w:t>组织</w:t>
      </w:r>
      <w:r>
        <w:rPr>
          <w:rFonts w:ascii="仿宋_GB2312" w:hAnsi="宋体" w:cs="宋体" w:hint="eastAsia"/>
          <w:bCs/>
          <w:kern w:val="0"/>
          <w:szCs w:val="24"/>
        </w:rPr>
        <w:t>。</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5.合格投资者：合格投资者是指具备相应风险识别能力和风险承受能力，投资于单只理财产品不低于一定金额且符合下列条件的自然人、法人或者依法成立的其他组织：</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（1）具有2年以上投资经历，且满足家庭金融净资产不低于300万元人民币，或者家庭金融资产不低于500万元人民币，或者近3年本人年均收入不低于40万元人民币；</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（2）最近1年末净资产不低于1000万元人民币的法人或者依法成立的其他组织；</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（3）国务院银行业监督管理机构规定的其他情形。</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6.全国银行业理财信息登记系统：指供商业银行及商业银行理财公司进行理财产品电子化报告和信息登记的电子信息系统。</w:t>
      </w:r>
    </w:p>
    <w:p w:rsidR="0089610B" w:rsidRDefault="00A93C12">
      <w:pPr>
        <w:pStyle w:val="2"/>
        <w:ind w:firstLine="482"/>
        <w:rPr>
          <w:rFonts w:ascii="仿宋_GB2312" w:hAnsi="宋体" w:cs="宋体"/>
          <w:bCs/>
          <w:kern w:val="0"/>
          <w:szCs w:val="24"/>
        </w:rPr>
      </w:pPr>
      <w:r>
        <w:rPr>
          <w:rFonts w:ascii="仿宋_GB2312" w:hAnsi="宋体" w:cs="宋体" w:hint="eastAsia"/>
          <w:bCs/>
          <w:kern w:val="0"/>
          <w:szCs w:val="24"/>
        </w:rPr>
        <w:t>法律文件用语</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理财产品销售文件/销售文件：指产品管理人向投资者提供的，用于描述产品特征，约定权利义务的文件。具体指浙银理财琮简涌金丰收日开2号理财产品全套销售文件，包括《投资协议书》、《产品说明书》、《（代理）销售协议书》、《风险揭示书》、《投资者权益须知》以及对该文件的有效修改或补充。上述文件共同构成一份完整且不可分割的理财产品销售文件。经产品管理人委托，代理销售机构可以编制《（代理）销售协议书》、《风险揭示书》、《投资者权益须知》。</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2.《投资协议书》：指管理人统一编制的《浙银理财理财产品投资协议书》，以及对该文件的有效修改或补充。</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3.《产品说明书》：指管理人统一编制的《浙银理财琮简涌金丰收日开2号理财产品说明书》，以及对该文件的有效修改或补充。</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4.《（代理）销售协议书》：指管理人统一编制的《浙银理财理财产品（代理）销售协议书》或代理销售机构接受产品管理人委托自行编制的《理财产品（代理）销售协议书》（文件名称以代理销售机构实际编制为准），以及对该文件的有效修改或补充。</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5.《风险揭示书》：指管理人统一编制的《浙银理财琮简涌金丰收日开2号理财产品风险揭示书》或代理销售机构接受产品管理人委托自行编制的《浙银理财琮简涌金丰收日开2号理财产品风险揭示书》（文件名称以代理销售机构实际编制为准），以及对该文件的有效修改或补充。</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6.《投资者权益须知》：指管理人统一编制的《理财产品投资者权益须知》或代理销售机构接受产品管理人委托自行编制的《理财产品投资者权益须知》（文件名称以代理销售机构实际编制为准），以及对该文件的有效修改或补充。</w:t>
      </w:r>
    </w:p>
    <w:p w:rsidR="0089610B" w:rsidRDefault="00A93C12">
      <w:pPr>
        <w:pStyle w:val="2"/>
        <w:ind w:firstLine="482"/>
        <w:rPr>
          <w:rFonts w:ascii="仿宋_GB2312" w:hAnsi="宋体" w:cs="宋体"/>
          <w:bCs/>
          <w:kern w:val="0"/>
          <w:szCs w:val="24"/>
        </w:rPr>
      </w:pPr>
      <w:r>
        <w:rPr>
          <w:rFonts w:ascii="仿宋_GB2312" w:hAnsi="宋体" w:cs="宋体" w:hint="eastAsia"/>
          <w:bCs/>
          <w:kern w:val="0"/>
          <w:szCs w:val="24"/>
        </w:rPr>
        <w:t>理财产品用语</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理财产品登记编码：指本款理财产品在全国银行业理财信息登记系统对理财产品进行信息登记后，由全国银行业理财信息登记系统发放的唯一性的理财产品编码。投资者可依据登记编码在中国理财网（www.chinawealth.com.cn）查询产品信息。</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2.理财产品代码/产品代码：指产品管理人在全国银行业理财信息登记系统中为理财产品设置的内部识别码。</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3.理财产品销售代码/销售代码：指本款理财产品若设置不同产品份额类别，为在理财产品销售管理过程中区分不同产品份额类别，管理人在同一理财产品代码项下，为每类份额类别设置的唯一性内部识别码。</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4.理财产品风险等级：理财产品风险等级为产品管理人和销售机构经过审慎评估后确定的产品风险等级。若本产品通过代理销售机构销售的，理财产品风险等级以代理销售机构最终披露的风险等级结果为准。产品管理人和代理销售机构对理财产品的风险等级评估结果不一致时，代理销售机构应采用对应较高风险的评级结果。</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5.投资者风险承受能力评估：指销售机构对理财投资者的风险承受能力进行评价的过程。</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6.理财产品份额：指投资者持有本理财产品的单位数额。投资者基于其所持有的理财产品单位数额享有理财产品利益、承担理财产品风险。理财产品份额四舍五入保留2位小数。</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7.理财产品资产净值/理财资产净值/产品资产净值：理财产品资产净值=理财产品资产总值-理财产品负债总值。</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理财产品资产总值是指理财产品拥有的各类有价证券、银行存款、应收款项及其他资产的价值总和。</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理财产品负债总值是指理财产品运作及融资时形成的负债价值总和，包括融资资金本息、</w:t>
      </w:r>
      <w:r>
        <w:rPr>
          <w:rFonts w:ascii="仿宋_GB2312" w:hAnsi="宋体" w:cs="宋体" w:hint="eastAsia"/>
          <w:bCs/>
          <w:kern w:val="0"/>
          <w:sz w:val="22"/>
        </w:rPr>
        <w:t>应付各项费用</w:t>
      </w:r>
      <w:r>
        <w:rPr>
          <w:rFonts w:ascii="仿宋_GB2312" w:hAnsi="宋体" w:cs="宋体" w:hint="eastAsia"/>
          <w:bCs/>
          <w:kern w:val="0"/>
          <w:szCs w:val="24"/>
        </w:rPr>
        <w:t>（包括产品托管费、认购费、投资管理费、业绩</w:t>
      </w:r>
      <w:r>
        <w:rPr>
          <w:rFonts w:ascii="仿宋_GB2312" w:hAnsi="宋体" w:cs="宋体"/>
          <w:bCs/>
          <w:kern w:val="0"/>
          <w:szCs w:val="24"/>
        </w:rPr>
        <w:t>报酬</w:t>
      </w:r>
      <w:r>
        <w:rPr>
          <w:rFonts w:ascii="仿宋_GB2312" w:hAnsi="宋体" w:cs="宋体" w:hint="eastAsia"/>
          <w:bCs/>
          <w:kern w:val="0"/>
          <w:szCs w:val="24"/>
        </w:rPr>
        <w:t>、其他费用等）、应付税金及其他应付款项等。</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8.理财产品份额净值/理财份额净值/产品份额净值：指理财产品份额的单位净值，即每1份理财产品份额以人民币计价的价格。理财产品份额净值=理财资产净值/产品总份额。投资者按该份额净值进行理财产品申购、赎回和终止时分配。理财产品份额净值四舍五入保留</w:t>
      </w:r>
      <w:r>
        <w:rPr>
          <w:rFonts w:ascii="仿宋_GB2312" w:hAnsi="宋体" w:cs="宋体"/>
          <w:bCs/>
          <w:kern w:val="0"/>
          <w:szCs w:val="24"/>
        </w:rPr>
        <w:t>4</w:t>
      </w:r>
      <w:r>
        <w:rPr>
          <w:rFonts w:ascii="仿宋_GB2312" w:hAnsi="宋体" w:cs="宋体" w:hint="eastAsia"/>
          <w:bCs/>
          <w:kern w:val="0"/>
          <w:szCs w:val="24"/>
        </w:rPr>
        <w:t>位小数。</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理财产品份额净值可以展示为</w:t>
      </w:r>
      <w:r>
        <w:rPr>
          <w:rFonts w:ascii="仿宋_GB2312" w:hAnsi="宋体" w:cs="宋体"/>
          <w:b/>
          <w:kern w:val="0"/>
          <w:szCs w:val="24"/>
        </w:rPr>
        <w:t>当前理财产品份额净值</w:t>
      </w:r>
      <w:r>
        <w:rPr>
          <w:rFonts w:ascii="仿宋_GB2312" w:hAnsi="宋体" w:cs="宋体" w:hint="eastAsia"/>
          <w:bCs/>
          <w:kern w:val="0"/>
          <w:szCs w:val="24"/>
        </w:rPr>
        <w:t>和</w:t>
      </w:r>
      <w:r>
        <w:rPr>
          <w:rFonts w:ascii="仿宋_GB2312" w:hAnsi="宋体" w:cs="宋体"/>
          <w:b/>
          <w:kern w:val="0"/>
          <w:szCs w:val="24"/>
        </w:rPr>
        <w:t>累计理财产品份额净值</w:t>
      </w:r>
      <w:r>
        <w:rPr>
          <w:rFonts w:ascii="仿宋_GB2312" w:hAnsi="宋体" w:cs="宋体" w:hint="eastAsia"/>
          <w:bCs/>
          <w:kern w:val="0"/>
          <w:szCs w:val="24"/>
        </w:rPr>
        <w:t>。</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当前理财产品份额净值，指产品当前的份额净值。</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累计理财产品份额净值，指产品当前份额净值及产品成立到现在单位理财产品份额分红之和。</w:t>
      </w:r>
    </w:p>
    <w:p w:rsidR="0089610B" w:rsidRDefault="00A93C12">
      <w:pPr>
        <w:tabs>
          <w:tab w:val="left" w:pos="709"/>
        </w:tabs>
        <w:snapToGrid w:val="0"/>
        <w:spacing w:line="360" w:lineRule="auto"/>
        <w:ind w:firstLineChars="200" w:firstLine="482"/>
        <w:rPr>
          <w:rFonts w:ascii="仿宋_GB2312" w:hAnsi="宋体" w:cs="宋体"/>
          <w:b/>
          <w:kern w:val="0"/>
          <w:szCs w:val="24"/>
        </w:rPr>
      </w:pPr>
      <w:r>
        <w:rPr>
          <w:rFonts w:ascii="仿宋_GB2312" w:hAnsi="宋体" w:cs="宋体"/>
          <w:b/>
          <w:kern w:val="0"/>
          <w:szCs w:val="24"/>
        </w:rPr>
        <w:t>（注：若无特别说明，理财产品份额净值通常指当前理财产品份额净值）</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9.理财产品估值：指计算评估理财产品资产和理财产品负债的价值，以确定理财产品份额净值的过程。</w:t>
      </w:r>
    </w:p>
    <w:p w:rsidR="0089610B" w:rsidRDefault="00A93C12">
      <w:pPr>
        <w:tabs>
          <w:tab w:val="left" w:pos="709"/>
        </w:tabs>
        <w:snapToGrid w:val="0"/>
        <w:spacing w:line="360" w:lineRule="auto"/>
        <w:ind w:firstLineChars="200" w:firstLine="480"/>
        <w:rPr>
          <w:rFonts w:ascii="仿宋_GB2312" w:hAnsi="宋体" w:cs="宋体"/>
          <w:b/>
          <w:kern w:val="0"/>
          <w:szCs w:val="24"/>
        </w:rPr>
      </w:pPr>
      <w:r>
        <w:rPr>
          <w:rFonts w:ascii="仿宋_GB2312" w:hAnsi="宋体" w:cs="宋体" w:hint="eastAsia"/>
          <w:bCs/>
          <w:kern w:val="0"/>
          <w:szCs w:val="24"/>
        </w:rPr>
        <w:t>10.业绩比较基准：指管理人基于过往投资经验及对产品存续期投资市场波动的预判而对本产品所设定的投资目标。</w:t>
      </w:r>
      <w:r>
        <w:rPr>
          <w:rFonts w:ascii="仿宋_GB2312" w:hAnsi="宋体" w:cs="宋体"/>
          <w:b/>
          <w:kern w:val="0"/>
          <w:szCs w:val="24"/>
        </w:rPr>
        <w:t>业绩比较基准不代表理财产品未来表现，不等于理财产品实际收益，不作为产品收益的业绩保证，投资须谨慎。</w:t>
      </w:r>
    </w:p>
    <w:p w:rsidR="0089610B" w:rsidRDefault="00A93C12">
      <w:pPr>
        <w:tabs>
          <w:tab w:val="left" w:pos="709"/>
        </w:tabs>
        <w:snapToGrid w:val="0"/>
        <w:spacing w:line="360" w:lineRule="auto"/>
        <w:ind w:firstLineChars="200" w:firstLine="480"/>
        <w:rPr>
          <w:rFonts w:ascii="仿宋_GB2312" w:hAnsi="宋体" w:cs="宋体"/>
          <w:b/>
          <w:kern w:val="0"/>
          <w:szCs w:val="24"/>
        </w:rPr>
      </w:pPr>
      <w:r>
        <w:rPr>
          <w:rFonts w:ascii="仿宋_GB2312" w:hAnsi="宋体" w:cs="宋体"/>
          <w:bCs/>
          <w:kern w:val="0"/>
          <w:szCs w:val="24"/>
        </w:rPr>
        <w:t>11.</w:t>
      </w:r>
      <w:r>
        <w:rPr>
          <w:rFonts w:ascii="仿宋_GB2312" w:hAnsi="宋体" w:cs="宋体" w:hint="eastAsia"/>
          <w:bCs/>
          <w:kern w:val="0"/>
          <w:szCs w:val="24"/>
        </w:rPr>
        <w:t>业绩报酬</w:t>
      </w:r>
      <w:r>
        <w:rPr>
          <w:rFonts w:ascii="仿宋_GB2312" w:hAnsi="宋体" w:cs="宋体"/>
          <w:bCs/>
          <w:kern w:val="0"/>
          <w:szCs w:val="24"/>
        </w:rPr>
        <w:t>计提基准：指管理人收取</w:t>
      </w:r>
      <w:r>
        <w:rPr>
          <w:rFonts w:ascii="仿宋_GB2312" w:hAnsi="宋体" w:cs="宋体" w:hint="eastAsia"/>
          <w:bCs/>
          <w:kern w:val="0"/>
          <w:szCs w:val="24"/>
        </w:rPr>
        <w:t>业绩报酬</w:t>
      </w:r>
      <w:r>
        <w:rPr>
          <w:rFonts w:ascii="仿宋_GB2312" w:hAnsi="宋体" w:cs="宋体"/>
          <w:bCs/>
          <w:kern w:val="0"/>
          <w:szCs w:val="24"/>
        </w:rPr>
        <w:t>的参照相关数值标准。</w:t>
      </w:r>
      <w:r>
        <w:rPr>
          <w:rFonts w:ascii="仿宋_GB2312" w:hAnsi="宋体" w:cs="宋体" w:hint="eastAsia"/>
          <w:b/>
          <w:kern w:val="0"/>
          <w:szCs w:val="24"/>
        </w:rPr>
        <w:t>业绩报酬</w:t>
      </w:r>
      <w:r>
        <w:rPr>
          <w:rFonts w:ascii="仿宋_GB2312" w:hAnsi="宋体" w:cs="宋体"/>
          <w:b/>
          <w:kern w:val="0"/>
          <w:szCs w:val="24"/>
        </w:rPr>
        <w:t>计提基准不代表理财产品未来表现，不等于理财产品实际收益，不作为产品收益的业绩保证，投资须谨慎。</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12.理财产品利益/理财利益：指投资者因持有理财产品份额，按照销售文件约定取得或有权取得的理财产品管理人分配的理财产品资产。</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13.利益分配：指产品管理人向投资者进行理财产品利益分配。</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14.期间分配：指在理财产品终止日（不含当日）前的理财产品利益分配。</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15.终止分配：指在理财产品终止日当日及之后的理财产品利益分配。</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16.认购：指投资者根据本协议约定在认购期/募集期内申请购买本产品理财产品份额的行为。</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17.申购：指理财产品成立后，在理财产品申购期内，投资者申请购买理财产品份额的行为。</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首次申购，指未进行认购的投资者，在理财产品成立后申请购买理财产品份额的行为。投资者全额赎回不再持有理财产品份额后再次申购的，视同首次申购处理。</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追加申购，指已经完成认购或首次申购的投资者，在理财产品成立后申请购买理财产品份额的行为。</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18.赎回：指理财产品成立后，在理财产品赎回期内，投资者申请赎回理财产品份额的行为，即投资者申请将理财产品份额兑换为现金。</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19.巨额赎回：</w:t>
      </w:r>
      <w:r>
        <w:rPr>
          <w:rFonts w:ascii="仿宋_GB2312" w:hAnsi="宋体" w:cs="宋体" w:hint="eastAsia"/>
          <w:bCs/>
          <w:kern w:val="0"/>
          <w:szCs w:val="24"/>
        </w:rPr>
        <w:t>指</w:t>
      </w:r>
      <w:r>
        <w:rPr>
          <w:rFonts w:ascii="仿宋_GB2312" w:hAnsi="宋体" w:cs="宋体"/>
          <w:bCs/>
          <w:kern w:val="0"/>
          <w:szCs w:val="24"/>
        </w:rPr>
        <w:t>在理财产品存续期内，</w:t>
      </w:r>
      <w:r>
        <w:rPr>
          <w:rFonts w:ascii="仿宋_GB2312" w:hAnsi="宋体" w:cs="宋体" w:hint="eastAsia"/>
          <w:bCs/>
          <w:kern w:val="0"/>
          <w:szCs w:val="24"/>
        </w:rPr>
        <w:t>单个开放日产品净赎回申请（</w:t>
      </w:r>
      <w:r>
        <w:rPr>
          <w:rFonts w:ascii="仿宋_GB2312" w:hAnsi="宋体" w:cs="宋体"/>
          <w:bCs/>
          <w:kern w:val="0"/>
          <w:szCs w:val="24"/>
        </w:rPr>
        <w:t>赎回</w:t>
      </w:r>
      <w:r>
        <w:rPr>
          <w:rFonts w:ascii="仿宋_GB2312" w:hAnsi="宋体" w:cs="宋体" w:hint="eastAsia"/>
          <w:bCs/>
          <w:kern w:val="0"/>
          <w:szCs w:val="24"/>
        </w:rPr>
        <w:t>申请总份额扣除申购总份额后的余额</w:t>
      </w:r>
      <w:r>
        <w:rPr>
          <w:rFonts w:ascii="仿宋_GB2312" w:hAnsi="宋体" w:cs="宋体"/>
          <w:bCs/>
          <w:kern w:val="0"/>
          <w:szCs w:val="24"/>
        </w:rPr>
        <w:t>,下同）</w:t>
      </w:r>
      <w:r>
        <w:rPr>
          <w:rFonts w:ascii="仿宋_GB2312" w:hAnsi="宋体" w:cs="宋体" w:hint="eastAsia"/>
          <w:bCs/>
          <w:kern w:val="0"/>
          <w:szCs w:val="24"/>
        </w:rPr>
        <w:t>超过前一日终理财产品总份额的</w:t>
      </w:r>
      <w:r>
        <w:rPr>
          <w:rFonts w:ascii="仿宋_GB2312" w:hAnsi="宋体" w:cs="宋体"/>
          <w:bCs/>
          <w:kern w:val="0"/>
          <w:szCs w:val="24"/>
        </w:rPr>
        <w:t>10</w:t>
      </w:r>
      <w:r>
        <w:rPr>
          <w:rFonts w:ascii="仿宋_GB2312" w:hAnsi="宋体" w:cs="宋体" w:hint="eastAsia"/>
          <w:bCs/>
          <w:kern w:val="0"/>
          <w:szCs w:val="24"/>
        </w:rPr>
        <w:t>％的赎回行为，国家金融监督管理总局另有规定的除外。</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20.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21.7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22.摆动定价机制：指当开放式公募理财产品遭遇大额认/申购或赎回时，通过调整理财产品份额净值的方式，将理财产品调整投资组合的市场冲击成本分配给实际认/申购、赎回的投资者，从而减少对存量理财产品份额持有人利益的不利影响，确保投资者的合法权益不受损害并得到公平对待。</w:t>
      </w:r>
    </w:p>
    <w:p w:rsidR="0089610B" w:rsidRDefault="00A93C12">
      <w:pPr>
        <w:pStyle w:val="2"/>
        <w:ind w:firstLine="482"/>
        <w:rPr>
          <w:rFonts w:ascii="仿宋_GB2312" w:hAnsi="宋体" w:cs="宋体"/>
          <w:bCs/>
          <w:kern w:val="0"/>
          <w:szCs w:val="24"/>
        </w:rPr>
      </w:pPr>
      <w:r>
        <w:rPr>
          <w:rFonts w:ascii="仿宋_GB2312" w:hAnsi="宋体" w:cs="宋体" w:hint="eastAsia"/>
          <w:bCs/>
          <w:kern w:val="0"/>
          <w:szCs w:val="24"/>
        </w:rPr>
        <w:t>期间与日期</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1.日：指自然日。</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2.交易日：指证券交易所的正常开盘交易日。</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3.工作日：指国家法定工作日。</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4.成立日：指达到《产品说明书》约定的成立条件后本产品开始运作的日期。</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5.到期日/终止日：指本产品终止的日期，包括理财产品正常到期之日、提前终止之日及延期终止之日。根据《产品说明书》的约定，本产品无固定期限，但管理人有权在发生终止事件时终止该理财产品。如管理人终止理财产品，将通过约定方式向投资者进行信息披露。</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6.分配基准日：指本产品管理人以该日日终产品份额净值计算并确定可供分配的投资期间理财利益的日期。</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7.分配日：指产品管理人向投资者进行理财产品利益分配的日期。</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8.募集期/认购期：指理财产品成立前，理财产品管理人接受理财产品认购的时间。但在该期间内如认购人提交认购申请的认购份额提前达到《产品说明书》所载的发行规模上限的，管理人有权选择认购期提前结束并停止接受认购申请。该情形下，产品成立日维持《产品说明书》的约定，保持不变。</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9.持有期：指自产品成立日/申购确认日起，投资者持有该产品份额的期间。</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w:t>
      </w:r>
      <w:r>
        <w:rPr>
          <w:rFonts w:ascii="仿宋_GB2312" w:hAnsi="宋体" w:cs="宋体"/>
          <w:bCs/>
          <w:kern w:val="0"/>
          <w:szCs w:val="24"/>
        </w:rPr>
        <w:t>0</w:t>
      </w:r>
      <w:r>
        <w:rPr>
          <w:rFonts w:ascii="仿宋_GB2312" w:hAnsi="宋体" w:cs="宋体" w:hint="eastAsia"/>
          <w:bCs/>
          <w:kern w:val="0"/>
          <w:szCs w:val="24"/>
        </w:rPr>
        <w:t>.产品存续期：指自理财产品成立日起，至理财产品终止日的期间。</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11</w:t>
      </w:r>
      <w:r>
        <w:rPr>
          <w:rFonts w:ascii="仿宋_GB2312" w:hAnsi="宋体" w:cs="宋体" w:hint="eastAsia"/>
          <w:bCs/>
          <w:kern w:val="0"/>
          <w:szCs w:val="24"/>
        </w:rPr>
        <w:t>.清算期：指自本理财产品终止日至投资者理财利益到账日之间的期间。</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w:t>
      </w:r>
      <w:r>
        <w:rPr>
          <w:rFonts w:ascii="仿宋_GB2312" w:hAnsi="宋体" w:cs="宋体"/>
          <w:bCs/>
          <w:kern w:val="0"/>
          <w:szCs w:val="24"/>
        </w:rPr>
        <w:t>2</w:t>
      </w:r>
      <w:r>
        <w:rPr>
          <w:rFonts w:ascii="仿宋_GB2312" w:hAnsi="宋体" w:cs="宋体" w:hint="eastAsia"/>
          <w:bCs/>
          <w:kern w:val="0"/>
          <w:szCs w:val="24"/>
        </w:rPr>
        <w:t>.开放日：指投资者可提交申购与赎回申请的日期。</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w:t>
      </w:r>
      <w:r>
        <w:rPr>
          <w:rFonts w:ascii="仿宋_GB2312" w:hAnsi="宋体" w:cs="宋体"/>
          <w:bCs/>
          <w:kern w:val="0"/>
          <w:szCs w:val="24"/>
        </w:rPr>
        <w:t>3</w:t>
      </w:r>
      <w:r>
        <w:rPr>
          <w:rFonts w:ascii="仿宋_GB2312" w:hAnsi="宋体" w:cs="宋体" w:hint="eastAsia"/>
          <w:bCs/>
          <w:kern w:val="0"/>
          <w:szCs w:val="24"/>
        </w:rPr>
        <w:t>.申购/赎回日：指投资者提交申购、赎回申请的日期。</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w:t>
      </w:r>
      <w:r>
        <w:rPr>
          <w:rFonts w:ascii="仿宋_GB2312" w:hAnsi="宋体" w:cs="宋体"/>
          <w:bCs/>
          <w:kern w:val="0"/>
          <w:szCs w:val="24"/>
        </w:rPr>
        <w:t>4</w:t>
      </w:r>
      <w:r>
        <w:rPr>
          <w:rFonts w:ascii="仿宋_GB2312" w:hAnsi="宋体" w:cs="宋体" w:hint="eastAsia"/>
          <w:bCs/>
          <w:kern w:val="0"/>
          <w:szCs w:val="24"/>
        </w:rPr>
        <w:t>.申购/赎回确认日：指投资者提交申购、赎回申请后，管理人对申购、赎回申请进行确认的日期。</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w:t>
      </w:r>
      <w:r>
        <w:rPr>
          <w:rFonts w:ascii="仿宋_GB2312" w:hAnsi="宋体" w:cs="宋体"/>
          <w:bCs/>
          <w:kern w:val="0"/>
          <w:szCs w:val="24"/>
        </w:rPr>
        <w:t>5</w:t>
      </w:r>
      <w:r>
        <w:rPr>
          <w:rFonts w:ascii="仿宋_GB2312" w:hAnsi="宋体" w:cs="宋体" w:hint="eastAsia"/>
          <w:bCs/>
          <w:kern w:val="0"/>
          <w:szCs w:val="24"/>
        </w:rPr>
        <w:t>.T日：指某一事件或行为发生的当日。</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w:t>
      </w:r>
      <w:r>
        <w:rPr>
          <w:rFonts w:ascii="仿宋_GB2312" w:hAnsi="宋体" w:cs="宋体"/>
          <w:bCs/>
          <w:kern w:val="0"/>
          <w:szCs w:val="24"/>
        </w:rPr>
        <w:t>6</w:t>
      </w:r>
      <w:r>
        <w:rPr>
          <w:rFonts w:ascii="仿宋_GB2312" w:hAnsi="宋体" w:cs="宋体" w:hint="eastAsia"/>
          <w:bCs/>
          <w:kern w:val="0"/>
          <w:szCs w:val="24"/>
        </w:rPr>
        <w:t>.T+n日：指T日后（不包括T日）的第n个交易日。</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w:t>
      </w:r>
      <w:r>
        <w:rPr>
          <w:rFonts w:ascii="仿宋_GB2312" w:hAnsi="宋体" w:cs="宋体"/>
          <w:bCs/>
          <w:kern w:val="0"/>
          <w:szCs w:val="24"/>
        </w:rPr>
        <w:t>7</w:t>
      </w:r>
      <w:r>
        <w:rPr>
          <w:rFonts w:ascii="仿宋_GB2312" w:hAnsi="宋体" w:cs="宋体" w:hint="eastAsia"/>
          <w:bCs/>
          <w:kern w:val="0"/>
          <w:szCs w:val="24"/>
        </w:rPr>
        <w:t>.T-n日：指T前（不包括T日）的第n个交易日。</w:t>
      </w:r>
    </w:p>
    <w:p w:rsidR="0089610B" w:rsidRDefault="00A93C12">
      <w:pPr>
        <w:pStyle w:val="2"/>
        <w:ind w:firstLine="482"/>
        <w:rPr>
          <w:rFonts w:ascii="仿宋_GB2312" w:hAnsi="宋体" w:cs="宋体"/>
          <w:bCs/>
          <w:kern w:val="0"/>
          <w:szCs w:val="24"/>
        </w:rPr>
      </w:pPr>
      <w:r>
        <w:rPr>
          <w:rFonts w:ascii="仿宋_GB2312" w:hAnsi="宋体" w:cs="宋体" w:hint="eastAsia"/>
          <w:bCs/>
          <w:kern w:val="0"/>
          <w:szCs w:val="24"/>
        </w:rPr>
        <w:t>费用</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1.认购费：指投资者认购产品时需缴纳的费用。</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2.申购费：指投资者申购产品时需缴纳的费用。</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3.赎回费：指投资者赎回产品时需缴纳的费用。</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4.销售服务费：指因理财产品销售行为产生，销售机构所收取的费用。</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5.投资管理费：指因理财产品投资管理产生，管理人所收取的费用。</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6.产品托管费：指因理财产品进行托管产生，托管人收取的费用。</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7.业绩报酬：指产品管理人依照理财产品销售文件约定规则收取的浮动性质的管理费用。</w:t>
      </w:r>
    </w:p>
    <w:p w:rsidR="0089610B" w:rsidRDefault="00A93C12">
      <w:pPr>
        <w:tabs>
          <w:tab w:val="left" w:pos="709"/>
        </w:tabs>
        <w:snapToGrid w:val="0"/>
        <w:spacing w:line="360" w:lineRule="auto"/>
        <w:ind w:firstLineChars="200" w:firstLine="480"/>
      </w:pPr>
      <w:r>
        <w:rPr>
          <w:rFonts w:ascii="仿宋_GB2312" w:hAnsi="宋体" w:cs="宋体" w:hint="eastAsia"/>
          <w:bCs/>
          <w:kern w:val="0"/>
          <w:szCs w:val="24"/>
        </w:rPr>
        <w:t>8.其他费</w:t>
      </w:r>
      <w:r>
        <w:rPr>
          <w:rFonts w:hint="eastAsia"/>
        </w:rPr>
        <w:t>用（如有）：与理财</w:t>
      </w:r>
      <w:r>
        <w:t>产品相关的</w:t>
      </w:r>
      <w:r>
        <w:rPr>
          <w:rFonts w:hint="eastAsia"/>
        </w:rPr>
        <w:t>账户服务费用、资产服务费用、交易费用（包括但不限于交易佣金、撮合费用等）、注册登记费、验资费、审计费、信息披露费、清算费用、执行费用（包括但不限于律师费、诉讼费、仲裁费、公证费、保全费、执行费等）以及按照法律法规、监管规定和理财产品销售文件约定可以列入的其他费用，具体以实际发生为准。</w:t>
      </w:r>
    </w:p>
    <w:p w:rsidR="0089610B" w:rsidRDefault="00A93C12">
      <w:pPr>
        <w:pStyle w:val="2"/>
        <w:snapToGrid w:val="0"/>
        <w:ind w:firstLine="482"/>
      </w:pPr>
      <w:r>
        <w:rPr>
          <w:rFonts w:hint="eastAsia"/>
        </w:rPr>
        <w:t>其他</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1.不可抗力：指理财产品各方不能预见、不能避免且不能克服的客观情况，该事件妨碍、影响或延误任何一方依相关理财产品销售文件履行其全部或部分义务。该事件包括但不限于：</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A、地震、台风、海啸、洪水、火灾、停电、瘟疫；</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B、战争、政变、恐怖主义行动、骚乱、罢工；</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C、新的适用法律或国家政策的颁布或实施、对原适用法律或国家政策的修改；</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D、金融管理部门强制要求终止理财产品（该等强制要求不可归咎于任何一方）；</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E、因理财产品各方和/或其关联方运营网络系统遭受黑客攻击、电信部门技术调整或故障等原因而造成的理财产品各方和/或其关联方之服务、营业的中断或者延迟。</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2.元：指人民币元。</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适用法律：指在理财产品销售文件签署日和履行过程中，适用中华人民共和国法律（为本协议之目的，在此不包括香港、澳门特别行政区和台湾地区的法律），包括中国任何立法机构、政府部门、银行业理财登记托管中心、银行间交易商协会、证券交易所、证券登记结算机构、相关行业协会依法颁布的，适用于本理财产品相关事宜的法律、行政法规、地方法规、部委规章、地方政府规章、规范性文件、规则、通知、须知、业务指南、指引或操作规程，及其有效的修改、更新或补充。</w:t>
      </w:r>
    </w:p>
    <w:p w:rsidR="0089610B" w:rsidRDefault="00A93C12">
      <w:pPr>
        <w:rPr>
          <w:rFonts w:ascii="仿宋_GB2312" w:hAnsi="宋体" w:cs="宋体"/>
          <w:bCs/>
          <w:kern w:val="0"/>
          <w:szCs w:val="24"/>
        </w:rPr>
      </w:pPr>
      <w:r>
        <w:rPr>
          <w:rFonts w:ascii="仿宋_GB2312" w:hAnsi="宋体" w:cs="宋体" w:hint="eastAsia"/>
          <w:bCs/>
          <w:kern w:val="0"/>
          <w:szCs w:val="24"/>
        </w:rPr>
        <w:br w:type="page"/>
      </w:r>
    </w:p>
    <w:p w:rsidR="0089610B" w:rsidRDefault="00A93C12">
      <w:pPr>
        <w:pStyle w:val="1"/>
      </w:pPr>
      <w:r>
        <w:rPr>
          <w:rFonts w:hint="eastAsia"/>
        </w:rPr>
        <w:t>理财产品基本情况</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427"/>
        <w:gridCol w:w="1628"/>
        <w:gridCol w:w="2029"/>
        <w:gridCol w:w="1720"/>
      </w:tblGrid>
      <w:tr w:rsidR="0089610B">
        <w:trPr>
          <w:trHeight w:val="425"/>
          <w:jc w:val="center"/>
        </w:trPr>
        <w:tc>
          <w:tcPr>
            <w:tcW w:w="2411" w:type="dxa"/>
            <w:vAlign w:val="center"/>
          </w:tcPr>
          <w:p w:rsidR="0089610B" w:rsidRDefault="00A93C12">
            <w:pPr>
              <w:snapToGrid w:val="0"/>
              <w:ind w:leftChars="-74" w:left="-163" w:hanging="15"/>
              <w:jc w:val="center"/>
              <w:rPr>
                <w:rFonts w:ascii="宋体" w:hAnsi="宋体" w:cs="宋体"/>
                <w:szCs w:val="24"/>
              </w:rPr>
            </w:pPr>
            <w:r>
              <w:rPr>
                <w:rFonts w:ascii="宋体" w:hAnsi="宋体" w:hint="eastAsia"/>
                <w:szCs w:val="24"/>
              </w:rPr>
              <w:t>产品名称</w:t>
            </w:r>
          </w:p>
        </w:tc>
        <w:tc>
          <w:tcPr>
            <w:tcW w:w="6804" w:type="dxa"/>
            <w:gridSpan w:val="4"/>
            <w:vAlign w:val="center"/>
          </w:tcPr>
          <w:p w:rsidR="0089610B" w:rsidRDefault="00A93C12">
            <w:pPr>
              <w:snapToGrid w:val="0"/>
              <w:rPr>
                <w:rFonts w:ascii="宋体" w:hAnsi="宋体"/>
                <w:szCs w:val="24"/>
              </w:rPr>
            </w:pPr>
            <w:r>
              <w:rPr>
                <w:rFonts w:ascii="宋体" w:hAnsi="宋体" w:hint="eastAsia"/>
                <w:szCs w:val="24"/>
              </w:rPr>
              <w:t>浙银理财琮简涌金丰收日开</w:t>
            </w:r>
            <w:r>
              <w:rPr>
                <w:rFonts w:ascii="宋体" w:hAnsi="宋体" w:hint="eastAsia"/>
                <w:szCs w:val="24"/>
              </w:rPr>
              <w:t>2</w:t>
            </w:r>
            <w:r>
              <w:rPr>
                <w:rFonts w:ascii="宋体" w:hAnsi="宋体" w:hint="eastAsia"/>
                <w:szCs w:val="24"/>
              </w:rPr>
              <w:t>号理财产品</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产品代码</w:t>
            </w:r>
          </w:p>
        </w:tc>
        <w:tc>
          <w:tcPr>
            <w:tcW w:w="6804" w:type="dxa"/>
            <w:gridSpan w:val="4"/>
            <w:vAlign w:val="center"/>
          </w:tcPr>
          <w:p w:rsidR="0089610B" w:rsidRDefault="00A93C12">
            <w:pPr>
              <w:snapToGrid w:val="0"/>
              <w:rPr>
                <w:rFonts w:ascii="宋体" w:hAnsi="宋体"/>
                <w:b/>
                <w:szCs w:val="24"/>
              </w:rPr>
            </w:pPr>
            <w:r>
              <w:rPr>
                <w:rFonts w:ascii="宋体" w:hAnsi="宋体" w:hint="eastAsia"/>
                <w:szCs w:val="24"/>
              </w:rPr>
              <w:t>【</w:t>
            </w:r>
            <w:r>
              <w:rPr>
                <w:rFonts w:ascii="宋体" w:hAnsi="宋体" w:hint="eastAsia"/>
                <w:szCs w:val="24"/>
              </w:rPr>
              <w:t>ZYYJG00130</w:t>
            </w:r>
            <w:r>
              <w:rPr>
                <w:rFonts w:ascii="宋体" w:hAnsi="宋体" w:hint="eastAsia"/>
                <w:szCs w:val="24"/>
              </w:rPr>
              <w:t>】</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理财产品登记编码</w:t>
            </w:r>
          </w:p>
        </w:tc>
        <w:tc>
          <w:tcPr>
            <w:tcW w:w="6804" w:type="dxa"/>
            <w:gridSpan w:val="4"/>
            <w:vAlign w:val="center"/>
          </w:tcPr>
          <w:p w:rsidR="0089610B" w:rsidRDefault="00A93C12">
            <w:pPr>
              <w:snapToGrid w:val="0"/>
              <w:rPr>
                <w:rFonts w:ascii="宋体" w:hAnsi="宋体"/>
                <w:b/>
                <w:szCs w:val="24"/>
              </w:rPr>
            </w:pPr>
            <w:r>
              <w:rPr>
                <w:rFonts w:ascii="宋体" w:hAnsi="宋体" w:hint="eastAsia"/>
                <w:szCs w:val="24"/>
              </w:rPr>
              <w:t>【</w:t>
            </w:r>
            <w:r>
              <w:rPr>
                <w:rFonts w:ascii="宋体" w:hAnsi="宋体" w:hint="eastAsia"/>
                <w:szCs w:val="24"/>
              </w:rPr>
              <w:t>Z7011825000201</w:t>
            </w:r>
            <w:r>
              <w:rPr>
                <w:rFonts w:ascii="宋体" w:hAnsi="宋体" w:hint="eastAsia"/>
                <w:szCs w:val="24"/>
              </w:rPr>
              <w:t>】投资者可根据该登记编码在中国理财网（</w:t>
            </w:r>
            <w:r>
              <w:rPr>
                <w:rFonts w:ascii="宋体" w:hAnsi="宋体" w:hint="eastAsia"/>
                <w:szCs w:val="24"/>
              </w:rPr>
              <w:t>www.chinawealth.com.cn</w:t>
            </w:r>
            <w:r>
              <w:rPr>
                <w:rFonts w:ascii="宋体" w:hAnsi="宋体" w:hint="eastAsia"/>
                <w:szCs w:val="24"/>
              </w:rPr>
              <w:t>）查询该产品信息。</w:t>
            </w:r>
          </w:p>
        </w:tc>
      </w:tr>
      <w:tr w:rsidR="0089610B">
        <w:trPr>
          <w:trHeight w:val="358"/>
          <w:jc w:val="center"/>
        </w:trPr>
        <w:tc>
          <w:tcPr>
            <w:tcW w:w="2411" w:type="dxa"/>
            <w:vMerge w:val="restart"/>
            <w:vAlign w:val="center"/>
          </w:tcPr>
          <w:p w:rsidR="0089610B" w:rsidRDefault="00A93C12">
            <w:pPr>
              <w:snapToGrid w:val="0"/>
              <w:ind w:leftChars="-74" w:left="-163" w:hanging="15"/>
              <w:jc w:val="center"/>
              <w:rPr>
                <w:rFonts w:ascii="宋体" w:hAnsi="宋体"/>
                <w:kern w:val="0"/>
                <w:szCs w:val="24"/>
              </w:rPr>
            </w:pPr>
            <w:r>
              <w:rPr>
                <w:rFonts w:ascii="宋体" w:hAnsi="宋体" w:hint="eastAsia"/>
                <w:kern w:val="0"/>
                <w:szCs w:val="24"/>
              </w:rPr>
              <w:t>【份额分类】</w:t>
            </w:r>
          </w:p>
        </w:tc>
        <w:tc>
          <w:tcPr>
            <w:tcW w:w="6804" w:type="dxa"/>
            <w:gridSpan w:val="4"/>
            <w:vAlign w:val="center"/>
          </w:tcPr>
          <w:p w:rsidR="0089610B" w:rsidRDefault="00A93C12">
            <w:pPr>
              <w:snapToGrid w:val="0"/>
              <w:jc w:val="left"/>
              <w:rPr>
                <w:rFonts w:ascii="宋体" w:hAnsi="宋体" w:cs="宋体"/>
                <w:kern w:val="0"/>
                <w:szCs w:val="24"/>
              </w:rPr>
            </w:pPr>
            <w:r>
              <w:rPr>
                <w:rFonts w:ascii="宋体" w:hAnsi="宋体" w:cs="宋体" w:hint="eastAsia"/>
                <w:kern w:val="0"/>
                <w:szCs w:val="24"/>
              </w:rPr>
              <w:t>本产品根据投资者购买理财产品的金额、销售渠道、客户类型等因素设置不同的产品份额类别，各类产品份额可能分别设置不同的销售名称、销售代码、销售渠道、销售客群、销售服务费率、托管费率、收费方式、业绩比较基准、认</w:t>
            </w:r>
            <w:r>
              <w:rPr>
                <w:rFonts w:ascii="宋体" w:hAnsi="宋体" w:cs="宋体"/>
                <w:kern w:val="0"/>
                <w:szCs w:val="24"/>
              </w:rPr>
              <w:t>/</w:t>
            </w:r>
            <w:r>
              <w:rPr>
                <w:rFonts w:ascii="宋体" w:hAnsi="宋体" w:cs="宋体" w:hint="eastAsia"/>
                <w:kern w:val="0"/>
                <w:szCs w:val="24"/>
              </w:rPr>
              <w:t>申购起点金额</w:t>
            </w:r>
            <w:r>
              <w:rPr>
                <w:rFonts w:ascii="仿宋_GB2312" w:hAnsi="宋体" w:cs="宋体" w:hint="eastAsia"/>
                <w:kern w:val="0"/>
                <w:szCs w:val="24"/>
              </w:rPr>
              <w:t>及递增金额</w:t>
            </w:r>
            <w:r>
              <w:rPr>
                <w:rFonts w:ascii="宋体" w:hAnsi="宋体" w:cs="宋体" w:hint="eastAsia"/>
                <w:kern w:val="0"/>
                <w:szCs w:val="24"/>
              </w:rPr>
              <w:t>、认</w:t>
            </w:r>
            <w:r>
              <w:rPr>
                <w:rFonts w:ascii="宋体" w:hAnsi="宋体" w:cs="宋体"/>
                <w:kern w:val="0"/>
                <w:szCs w:val="24"/>
              </w:rPr>
              <w:t>/</w:t>
            </w:r>
            <w:r>
              <w:rPr>
                <w:rFonts w:ascii="宋体" w:hAnsi="宋体" w:cs="宋体" w:hint="eastAsia"/>
                <w:kern w:val="0"/>
                <w:szCs w:val="24"/>
              </w:rPr>
              <w:t>申购上限</w:t>
            </w:r>
            <w:r>
              <w:rPr>
                <w:rFonts w:ascii="宋体" w:hAnsi="宋体" w:cs="宋体"/>
                <w:kern w:val="0"/>
                <w:szCs w:val="24"/>
              </w:rPr>
              <w:t>金额、</w:t>
            </w:r>
            <w:r>
              <w:rPr>
                <w:rFonts w:ascii="宋体" w:hAnsi="宋体" w:cs="宋体" w:hint="eastAsia"/>
                <w:kern w:val="0"/>
                <w:szCs w:val="24"/>
              </w:rPr>
              <w:t>认</w:t>
            </w:r>
            <w:r>
              <w:rPr>
                <w:rFonts w:ascii="宋体" w:hAnsi="宋体" w:cs="宋体"/>
                <w:kern w:val="0"/>
                <w:szCs w:val="24"/>
              </w:rPr>
              <w:t>/</w:t>
            </w:r>
            <w:r>
              <w:rPr>
                <w:rFonts w:ascii="宋体" w:hAnsi="宋体" w:cs="宋体" w:hint="eastAsia"/>
                <w:kern w:val="0"/>
                <w:szCs w:val="24"/>
              </w:rPr>
              <w:t>申购和赎回数量限制、持有金额上</w:t>
            </w:r>
            <w:r>
              <w:rPr>
                <w:rFonts w:ascii="宋体" w:hAnsi="宋体" w:cs="宋体" w:hint="eastAsia"/>
                <w:kern w:val="0"/>
                <w:szCs w:val="24"/>
              </w:rPr>
              <w:t>/</w:t>
            </w:r>
            <w:r>
              <w:rPr>
                <w:rFonts w:ascii="宋体" w:hAnsi="宋体" w:cs="宋体" w:hint="eastAsia"/>
                <w:kern w:val="0"/>
                <w:szCs w:val="24"/>
              </w:rPr>
              <w:t>下限</w:t>
            </w:r>
            <w:r>
              <w:rPr>
                <w:rFonts w:hint="eastAsia"/>
              </w:rPr>
              <w:t>、单一投资者持有份额占比上限、产品规模上限</w:t>
            </w:r>
            <w:r>
              <w:rPr>
                <w:rFonts w:ascii="宋体" w:hAnsi="宋体" w:cs="宋体" w:hint="eastAsia"/>
                <w:kern w:val="0"/>
                <w:szCs w:val="24"/>
              </w:rPr>
              <w:t>等要素，并分别计算和公告各类产品份额单位净值，具体以对应的理财产品销售文件约定为准。</w:t>
            </w:r>
          </w:p>
          <w:p w:rsidR="0089610B" w:rsidRDefault="00A93C12">
            <w:pPr>
              <w:snapToGrid w:val="0"/>
              <w:jc w:val="left"/>
              <w:rPr>
                <w:rFonts w:ascii="宋体" w:hAnsi="宋体" w:cs="宋体"/>
                <w:kern w:val="0"/>
                <w:szCs w:val="24"/>
              </w:rPr>
            </w:pPr>
            <w:r>
              <w:rPr>
                <w:rFonts w:ascii="宋体" w:hAnsi="宋体" w:cs="宋体" w:hint="eastAsia"/>
                <w:kern w:val="0"/>
                <w:szCs w:val="24"/>
              </w:rPr>
              <w:t>投资者可根据实际情况自行选择认</w:t>
            </w:r>
            <w:r>
              <w:rPr>
                <w:rFonts w:ascii="宋体" w:hAnsi="宋体" w:cs="宋体" w:hint="eastAsia"/>
                <w:kern w:val="0"/>
                <w:szCs w:val="24"/>
              </w:rPr>
              <w:t>/</w:t>
            </w:r>
            <w:r>
              <w:rPr>
                <w:rFonts w:ascii="宋体" w:hAnsi="宋体" w:cs="宋体" w:hint="eastAsia"/>
                <w:kern w:val="0"/>
                <w:szCs w:val="24"/>
              </w:rPr>
              <w:t>申购的产品份额类别。</w:t>
            </w:r>
          </w:p>
          <w:p w:rsidR="0089610B" w:rsidRDefault="00A93C12">
            <w:pPr>
              <w:snapToGrid w:val="0"/>
              <w:jc w:val="left"/>
              <w:rPr>
                <w:rFonts w:ascii="宋体" w:hAnsi="宋体" w:cs="宋体"/>
                <w:kern w:val="0"/>
                <w:szCs w:val="24"/>
              </w:rPr>
            </w:pPr>
            <w:r>
              <w:rPr>
                <w:rFonts w:ascii="宋体" w:hAnsi="宋体" w:cs="宋体" w:hint="eastAsia"/>
                <w:kern w:val="0"/>
                <w:szCs w:val="24"/>
              </w:rPr>
              <w:t>注：本理财产品合作所列示产品份额类别仅为本产品项下某一类产品份额类别，其他类别的产品份额相关约定以对应的理财产品销售文件及产品管理人的信息披露为准。</w:t>
            </w:r>
          </w:p>
          <w:p w:rsidR="0089610B" w:rsidRDefault="00A93C12">
            <w:pPr>
              <w:snapToGrid w:val="0"/>
              <w:jc w:val="left"/>
              <w:rPr>
                <w:rFonts w:ascii="宋体" w:hAnsi="宋体" w:cs="宋体"/>
                <w:kern w:val="0"/>
                <w:szCs w:val="24"/>
              </w:rPr>
            </w:pPr>
            <w:r>
              <w:rPr>
                <w:rFonts w:ascii="宋体" w:hAnsi="宋体" w:cs="宋体" w:hint="eastAsia"/>
                <w:kern w:val="0"/>
                <w:szCs w:val="24"/>
              </w:rPr>
              <w:t>产品管理人有权在本理财产品项下增设新的产品份额类别，届时，产品管理人将依据本理财产品销售文件的约定进行信息披露。</w:t>
            </w:r>
          </w:p>
        </w:tc>
      </w:tr>
      <w:tr w:rsidR="0089610B">
        <w:trPr>
          <w:trHeight w:val="358"/>
          <w:jc w:val="center"/>
        </w:trPr>
        <w:tc>
          <w:tcPr>
            <w:tcW w:w="2411" w:type="dxa"/>
            <w:vMerge/>
            <w:vAlign w:val="center"/>
          </w:tcPr>
          <w:p w:rsidR="0089610B" w:rsidRDefault="0089610B">
            <w:pPr>
              <w:snapToGrid w:val="0"/>
              <w:ind w:leftChars="-74" w:left="-163" w:hanging="15"/>
              <w:jc w:val="center"/>
              <w:rPr>
                <w:rFonts w:ascii="宋体" w:hAnsi="宋体"/>
                <w:kern w:val="0"/>
                <w:szCs w:val="24"/>
              </w:rPr>
            </w:pPr>
          </w:p>
        </w:tc>
        <w:tc>
          <w:tcPr>
            <w:tcW w:w="1427" w:type="dxa"/>
            <w:vAlign w:val="center"/>
          </w:tcPr>
          <w:p w:rsidR="0089610B" w:rsidRDefault="00A93C12">
            <w:pPr>
              <w:snapToGrid w:val="0"/>
              <w:jc w:val="center"/>
              <w:rPr>
                <w:rFonts w:ascii="宋体" w:hAnsi="宋体" w:cs="宋体"/>
                <w:kern w:val="0"/>
                <w:szCs w:val="24"/>
              </w:rPr>
            </w:pPr>
            <w:r>
              <w:rPr>
                <w:rFonts w:ascii="宋体" w:hAnsi="宋体" w:cs="宋体" w:hint="eastAsia"/>
                <w:kern w:val="0"/>
                <w:szCs w:val="24"/>
              </w:rPr>
              <w:t>份额名称</w:t>
            </w:r>
          </w:p>
        </w:tc>
        <w:tc>
          <w:tcPr>
            <w:tcW w:w="1628" w:type="dxa"/>
            <w:vAlign w:val="center"/>
          </w:tcPr>
          <w:p w:rsidR="0089610B" w:rsidRDefault="00A93C12">
            <w:pPr>
              <w:snapToGrid w:val="0"/>
              <w:jc w:val="center"/>
              <w:rPr>
                <w:rFonts w:ascii="宋体" w:hAnsi="宋体" w:cs="宋体"/>
                <w:kern w:val="0"/>
                <w:szCs w:val="24"/>
              </w:rPr>
            </w:pPr>
            <w:r>
              <w:rPr>
                <w:rFonts w:ascii="宋体" w:hAnsi="宋体" w:cs="宋体" w:hint="eastAsia"/>
                <w:kern w:val="0"/>
                <w:szCs w:val="24"/>
              </w:rPr>
              <w:t>销售代码</w:t>
            </w:r>
          </w:p>
        </w:tc>
        <w:tc>
          <w:tcPr>
            <w:tcW w:w="2029" w:type="dxa"/>
            <w:vAlign w:val="center"/>
          </w:tcPr>
          <w:p w:rsidR="0089610B" w:rsidRDefault="00A93C12">
            <w:pPr>
              <w:snapToGrid w:val="0"/>
              <w:jc w:val="center"/>
              <w:rPr>
                <w:rFonts w:ascii="宋体" w:hAnsi="宋体" w:cs="宋体"/>
                <w:kern w:val="0"/>
                <w:szCs w:val="24"/>
              </w:rPr>
            </w:pPr>
            <w:r>
              <w:rPr>
                <w:rFonts w:ascii="宋体" w:hAnsi="宋体" w:cs="宋体" w:hint="eastAsia"/>
                <w:kern w:val="0"/>
                <w:szCs w:val="24"/>
              </w:rPr>
              <w:t>销售名称</w:t>
            </w:r>
          </w:p>
        </w:tc>
        <w:tc>
          <w:tcPr>
            <w:tcW w:w="1720" w:type="dxa"/>
            <w:vAlign w:val="center"/>
          </w:tcPr>
          <w:p w:rsidR="0089610B" w:rsidRDefault="00A93C12">
            <w:pPr>
              <w:snapToGrid w:val="0"/>
              <w:jc w:val="center"/>
              <w:rPr>
                <w:rFonts w:ascii="宋体" w:hAnsi="宋体" w:cs="宋体"/>
                <w:kern w:val="0"/>
                <w:szCs w:val="24"/>
              </w:rPr>
            </w:pPr>
            <w:r>
              <w:rPr>
                <w:rFonts w:ascii="宋体" w:hAnsi="宋体" w:cs="宋体" w:hint="eastAsia"/>
                <w:kern w:val="0"/>
                <w:szCs w:val="24"/>
              </w:rPr>
              <w:t>销售客群</w:t>
            </w:r>
          </w:p>
        </w:tc>
      </w:tr>
      <w:tr w:rsidR="0089610B">
        <w:trPr>
          <w:trHeight w:val="620"/>
          <w:jc w:val="center"/>
        </w:trPr>
        <w:tc>
          <w:tcPr>
            <w:tcW w:w="2411" w:type="dxa"/>
            <w:vMerge/>
            <w:vAlign w:val="center"/>
          </w:tcPr>
          <w:p w:rsidR="0089610B" w:rsidRDefault="0089610B">
            <w:pPr>
              <w:snapToGrid w:val="0"/>
              <w:ind w:leftChars="-74" w:left="-163" w:hanging="15"/>
              <w:jc w:val="center"/>
              <w:rPr>
                <w:rFonts w:ascii="宋体" w:hAnsi="宋体"/>
                <w:kern w:val="0"/>
                <w:szCs w:val="24"/>
              </w:rPr>
            </w:pPr>
          </w:p>
        </w:tc>
        <w:tc>
          <w:tcPr>
            <w:tcW w:w="1427" w:type="dxa"/>
            <w:vAlign w:val="center"/>
          </w:tcPr>
          <w:p w:rsidR="0089610B" w:rsidRDefault="00A93C12">
            <w:pPr>
              <w:snapToGrid w:val="0"/>
              <w:rPr>
                <w:rFonts w:ascii="宋体" w:hAnsi="宋体" w:cs="宋体"/>
                <w:kern w:val="0"/>
                <w:szCs w:val="24"/>
              </w:rPr>
            </w:pPr>
            <w:r>
              <w:rPr>
                <w:rFonts w:ascii="宋体" w:hAnsi="宋体" w:cs="宋体" w:hint="eastAsia"/>
                <w:kern w:val="0"/>
                <w:szCs w:val="24"/>
              </w:rPr>
              <w:t>A</w:t>
            </w:r>
            <w:r>
              <w:rPr>
                <w:rFonts w:ascii="宋体" w:hAnsi="宋体" w:cs="宋体" w:hint="eastAsia"/>
                <w:kern w:val="0"/>
                <w:szCs w:val="24"/>
              </w:rPr>
              <w:t>类份额</w:t>
            </w:r>
          </w:p>
        </w:tc>
        <w:tc>
          <w:tcPr>
            <w:tcW w:w="1628" w:type="dxa"/>
            <w:vAlign w:val="center"/>
          </w:tcPr>
          <w:p w:rsidR="0089610B" w:rsidRDefault="00A93C12">
            <w:pPr>
              <w:snapToGrid w:val="0"/>
              <w:rPr>
                <w:rFonts w:ascii="宋体" w:hAnsi="宋体" w:cs="宋体"/>
                <w:kern w:val="0"/>
                <w:szCs w:val="24"/>
              </w:rPr>
            </w:pPr>
            <w:r>
              <w:rPr>
                <w:rFonts w:ascii="宋体" w:hAnsi="宋体" w:cs="宋体" w:hint="eastAsia"/>
                <w:kern w:val="0"/>
                <w:szCs w:val="24"/>
              </w:rPr>
              <w:t>ZYYJG0013A</w:t>
            </w:r>
          </w:p>
        </w:tc>
        <w:tc>
          <w:tcPr>
            <w:tcW w:w="2029" w:type="dxa"/>
            <w:vAlign w:val="center"/>
          </w:tcPr>
          <w:p w:rsidR="0089610B" w:rsidRDefault="00A93C12">
            <w:pPr>
              <w:snapToGrid w:val="0"/>
              <w:rPr>
                <w:rFonts w:ascii="宋体" w:hAnsi="宋体" w:cs="宋体"/>
                <w:kern w:val="0"/>
                <w:szCs w:val="24"/>
              </w:rPr>
            </w:pPr>
            <w:r>
              <w:rPr>
                <w:rFonts w:ascii="宋体" w:hAnsi="宋体" w:hint="eastAsia"/>
                <w:szCs w:val="24"/>
              </w:rPr>
              <w:t>浙银理财琮简涌金丰收日开</w:t>
            </w:r>
            <w:r>
              <w:rPr>
                <w:rFonts w:ascii="宋体" w:hAnsi="宋体" w:hint="eastAsia"/>
                <w:szCs w:val="24"/>
              </w:rPr>
              <w:t>2</w:t>
            </w:r>
            <w:r>
              <w:rPr>
                <w:rFonts w:ascii="宋体" w:hAnsi="宋体" w:hint="eastAsia"/>
                <w:szCs w:val="24"/>
              </w:rPr>
              <w:t>号理财产品</w:t>
            </w:r>
            <w:r>
              <w:rPr>
                <w:rFonts w:ascii="宋体" w:hAnsi="宋体" w:hint="eastAsia"/>
                <w:szCs w:val="24"/>
              </w:rPr>
              <w:t>A</w:t>
            </w:r>
            <w:r>
              <w:rPr>
                <w:rFonts w:ascii="宋体" w:hAnsi="宋体" w:hint="eastAsia"/>
                <w:szCs w:val="24"/>
              </w:rPr>
              <w:t>份额</w:t>
            </w:r>
          </w:p>
        </w:tc>
        <w:tc>
          <w:tcPr>
            <w:tcW w:w="1720" w:type="dxa"/>
            <w:vAlign w:val="center"/>
          </w:tcPr>
          <w:p w:rsidR="0089610B" w:rsidRDefault="00A93C12">
            <w:pPr>
              <w:snapToGrid w:val="0"/>
              <w:rPr>
                <w:rFonts w:ascii="宋体" w:hAnsi="宋体" w:cs="宋体"/>
                <w:kern w:val="0"/>
                <w:szCs w:val="24"/>
              </w:rPr>
            </w:pPr>
            <w:r>
              <w:rPr>
                <w:rFonts w:ascii="宋体" w:hAnsi="宋体" w:cs="宋体" w:hint="eastAsia"/>
                <w:kern w:val="0"/>
                <w:szCs w:val="24"/>
              </w:rPr>
              <w:t>浙江桐乡农村商业银行股份有限公司、浙江禾城农村商业银行股份有限公司认定的个人、机构投资者。</w:t>
            </w:r>
          </w:p>
        </w:tc>
      </w:tr>
      <w:tr w:rsidR="0089610B" w:rsidRPr="00A93C12">
        <w:trPr>
          <w:trHeight w:val="620"/>
          <w:jc w:val="center"/>
        </w:trPr>
        <w:tc>
          <w:tcPr>
            <w:tcW w:w="2411" w:type="dxa"/>
            <w:vMerge/>
            <w:vAlign w:val="center"/>
          </w:tcPr>
          <w:p w:rsidR="0089610B" w:rsidRDefault="0089610B">
            <w:pPr>
              <w:snapToGrid w:val="0"/>
              <w:ind w:leftChars="-74" w:left="-163" w:hanging="15"/>
              <w:jc w:val="center"/>
              <w:rPr>
                <w:rFonts w:ascii="宋体" w:hAnsi="宋体"/>
                <w:kern w:val="0"/>
                <w:szCs w:val="24"/>
              </w:rPr>
            </w:pPr>
          </w:p>
        </w:tc>
        <w:tc>
          <w:tcPr>
            <w:tcW w:w="1427" w:type="dxa"/>
            <w:vAlign w:val="center"/>
          </w:tcPr>
          <w:p w:rsidR="0089610B" w:rsidRDefault="00A93C12">
            <w:pPr>
              <w:snapToGrid w:val="0"/>
              <w:rPr>
                <w:rFonts w:ascii="宋体" w:hAnsi="宋体" w:cs="宋体"/>
                <w:kern w:val="0"/>
                <w:szCs w:val="24"/>
              </w:rPr>
            </w:pPr>
            <w:r>
              <w:rPr>
                <w:rFonts w:ascii="宋体" w:hAnsi="宋体" w:cs="宋体" w:hint="eastAsia"/>
                <w:kern w:val="0"/>
                <w:szCs w:val="24"/>
              </w:rPr>
              <w:t>B</w:t>
            </w:r>
            <w:r>
              <w:rPr>
                <w:rFonts w:ascii="宋体" w:hAnsi="宋体" w:cs="宋体" w:hint="eastAsia"/>
                <w:kern w:val="0"/>
                <w:szCs w:val="24"/>
              </w:rPr>
              <w:t>类份额</w:t>
            </w:r>
          </w:p>
        </w:tc>
        <w:tc>
          <w:tcPr>
            <w:tcW w:w="1628" w:type="dxa"/>
            <w:vAlign w:val="center"/>
          </w:tcPr>
          <w:p w:rsidR="0089610B" w:rsidRDefault="00A93C12">
            <w:pPr>
              <w:snapToGrid w:val="0"/>
              <w:rPr>
                <w:rFonts w:ascii="宋体" w:hAnsi="宋体" w:cs="宋体"/>
                <w:kern w:val="0"/>
                <w:szCs w:val="24"/>
              </w:rPr>
            </w:pPr>
            <w:r>
              <w:rPr>
                <w:rFonts w:ascii="宋体" w:hAnsi="宋体" w:cs="宋体" w:hint="eastAsia"/>
                <w:kern w:val="0"/>
                <w:szCs w:val="24"/>
              </w:rPr>
              <w:t>ZYYJG0013B</w:t>
            </w:r>
          </w:p>
        </w:tc>
        <w:tc>
          <w:tcPr>
            <w:tcW w:w="2029" w:type="dxa"/>
            <w:vAlign w:val="center"/>
          </w:tcPr>
          <w:p w:rsidR="0089610B" w:rsidRDefault="00A93C12">
            <w:pPr>
              <w:snapToGrid w:val="0"/>
              <w:rPr>
                <w:rFonts w:ascii="宋体" w:hAnsi="宋体"/>
                <w:szCs w:val="24"/>
              </w:rPr>
            </w:pPr>
            <w:r>
              <w:rPr>
                <w:rFonts w:ascii="宋体" w:hAnsi="宋体" w:hint="eastAsia"/>
                <w:szCs w:val="24"/>
              </w:rPr>
              <w:t>浙银理财琮简涌金丰收日开</w:t>
            </w:r>
            <w:r>
              <w:rPr>
                <w:rFonts w:ascii="宋体" w:hAnsi="宋体" w:hint="eastAsia"/>
                <w:szCs w:val="24"/>
              </w:rPr>
              <w:t>2</w:t>
            </w:r>
            <w:r>
              <w:rPr>
                <w:rFonts w:ascii="宋体" w:hAnsi="宋体" w:hint="eastAsia"/>
                <w:szCs w:val="24"/>
              </w:rPr>
              <w:t>号理财产品</w:t>
            </w:r>
            <w:r>
              <w:rPr>
                <w:rFonts w:ascii="宋体" w:hAnsi="宋体" w:hint="eastAsia"/>
                <w:szCs w:val="24"/>
              </w:rPr>
              <w:t>B</w:t>
            </w:r>
            <w:r>
              <w:rPr>
                <w:rFonts w:ascii="宋体" w:hAnsi="宋体" w:hint="eastAsia"/>
                <w:szCs w:val="24"/>
              </w:rPr>
              <w:t>份额</w:t>
            </w:r>
          </w:p>
        </w:tc>
        <w:tc>
          <w:tcPr>
            <w:tcW w:w="1720" w:type="dxa"/>
            <w:vAlign w:val="center"/>
          </w:tcPr>
          <w:p w:rsidR="0089610B" w:rsidRDefault="00A93C12" w:rsidP="00A93C12">
            <w:pPr>
              <w:snapToGrid w:val="0"/>
              <w:rPr>
                <w:rFonts w:ascii="宋体" w:hAnsi="宋体" w:cs="宋体"/>
                <w:kern w:val="0"/>
                <w:szCs w:val="24"/>
              </w:rPr>
            </w:pPr>
            <w:r>
              <w:rPr>
                <w:rFonts w:ascii="宋体" w:hAnsi="宋体" w:cs="宋体" w:hint="eastAsia"/>
                <w:kern w:val="0"/>
                <w:szCs w:val="24"/>
              </w:rPr>
              <w:t>浙江萧山农村商业银行股份有限公司、浙江德清农村商业银行股份有限公司、浙江禾城农村商业银行股份有限公司、浙江海宁农村商业银行股份有限公司认定的个人、机构投资者。</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kern w:val="0"/>
                <w:szCs w:val="24"/>
              </w:rPr>
              <w:t>理财产品管理人</w:t>
            </w:r>
          </w:p>
        </w:tc>
        <w:tc>
          <w:tcPr>
            <w:tcW w:w="6804" w:type="dxa"/>
            <w:gridSpan w:val="4"/>
            <w:vAlign w:val="center"/>
          </w:tcPr>
          <w:p w:rsidR="0089610B" w:rsidRDefault="00A93C12">
            <w:pPr>
              <w:snapToGrid w:val="0"/>
              <w:rPr>
                <w:rFonts w:ascii="宋体" w:hAnsi="宋体"/>
                <w:szCs w:val="24"/>
              </w:rPr>
            </w:pPr>
            <w:r>
              <w:rPr>
                <w:rFonts w:ascii="宋体" w:hAnsi="宋体" w:cs="宋体" w:hint="eastAsia"/>
                <w:kern w:val="0"/>
                <w:szCs w:val="24"/>
              </w:rPr>
              <w:t>浙银理财有限责任公司</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kern w:val="0"/>
                <w:szCs w:val="24"/>
              </w:rPr>
              <w:t>理财产品托管人</w:t>
            </w:r>
          </w:p>
        </w:tc>
        <w:tc>
          <w:tcPr>
            <w:tcW w:w="6804" w:type="dxa"/>
            <w:gridSpan w:val="4"/>
            <w:vAlign w:val="center"/>
          </w:tcPr>
          <w:p w:rsidR="0089610B" w:rsidRDefault="00A93C12">
            <w:pPr>
              <w:snapToGrid w:val="0"/>
              <w:rPr>
                <w:rFonts w:ascii="宋体" w:hAnsi="宋体"/>
                <w:szCs w:val="24"/>
              </w:rPr>
            </w:pPr>
            <w:r>
              <w:rPr>
                <w:rFonts w:ascii="宋体" w:hAnsi="宋体" w:cs="宋体" w:hint="eastAsia"/>
                <w:kern w:val="0"/>
                <w:szCs w:val="24"/>
              </w:rPr>
              <w:t>浙商银行股份有限公司</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发行方式</w:t>
            </w:r>
          </w:p>
        </w:tc>
        <w:tc>
          <w:tcPr>
            <w:tcW w:w="6804" w:type="dxa"/>
            <w:gridSpan w:val="4"/>
            <w:vAlign w:val="center"/>
          </w:tcPr>
          <w:p w:rsidR="0089610B" w:rsidRDefault="00A93C12">
            <w:pPr>
              <w:snapToGrid w:val="0"/>
              <w:rPr>
                <w:rFonts w:ascii="宋体" w:hAnsi="宋体"/>
                <w:szCs w:val="24"/>
              </w:rPr>
            </w:pPr>
            <w:r>
              <w:rPr>
                <w:rFonts w:ascii="宋体" w:hAnsi="宋体" w:hint="eastAsia"/>
                <w:szCs w:val="24"/>
              </w:rPr>
              <w:t>【公募】发行</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本金及收益类型</w:t>
            </w:r>
          </w:p>
        </w:tc>
        <w:tc>
          <w:tcPr>
            <w:tcW w:w="6804" w:type="dxa"/>
            <w:gridSpan w:val="4"/>
            <w:vAlign w:val="center"/>
          </w:tcPr>
          <w:p w:rsidR="0089610B" w:rsidRDefault="00A93C12">
            <w:pPr>
              <w:snapToGrid w:val="0"/>
              <w:rPr>
                <w:rFonts w:ascii="宋体" w:hAnsi="宋体"/>
                <w:szCs w:val="24"/>
              </w:rPr>
            </w:pPr>
            <w:r>
              <w:rPr>
                <w:rFonts w:ascii="宋体" w:hAnsi="宋体" w:hint="eastAsia"/>
                <w:szCs w:val="24"/>
              </w:rPr>
              <w:t>非保本浮动收益。本产品不保证理财本金且不保证收益。本产品的收益随投资收益浮动，投资者可能会因市场变动而蒙受损失。</w:t>
            </w:r>
          </w:p>
          <w:p w:rsidR="0089610B" w:rsidRDefault="00A93C12">
            <w:pPr>
              <w:snapToGrid w:val="0"/>
              <w:rPr>
                <w:rFonts w:ascii="宋体" w:hAnsi="宋体"/>
                <w:szCs w:val="24"/>
              </w:rPr>
            </w:pPr>
            <w:r>
              <w:rPr>
                <w:rFonts w:ascii="宋体" w:hAnsi="宋体" w:hint="eastAsia"/>
                <w:szCs w:val="24"/>
              </w:rPr>
              <w:t>理财产品管理人对本产品的本金并不提供保证，也不承诺任何固定收益。</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产品类型</w:t>
            </w:r>
          </w:p>
        </w:tc>
        <w:tc>
          <w:tcPr>
            <w:tcW w:w="6804" w:type="dxa"/>
            <w:gridSpan w:val="4"/>
            <w:vAlign w:val="center"/>
          </w:tcPr>
          <w:p w:rsidR="0089610B" w:rsidRDefault="00A93C12">
            <w:pPr>
              <w:snapToGrid w:val="0"/>
              <w:rPr>
                <w:rFonts w:ascii="宋体" w:hAnsi="宋体"/>
                <w:szCs w:val="24"/>
              </w:rPr>
            </w:pPr>
            <w:r>
              <w:rPr>
                <w:rFonts w:ascii="宋体" w:hAnsi="宋体" w:hint="eastAsia"/>
                <w:szCs w:val="24"/>
              </w:rPr>
              <w:t>固定收益类</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产品</w:t>
            </w:r>
            <w:r>
              <w:rPr>
                <w:rFonts w:ascii="宋体" w:hAnsi="宋体"/>
                <w:szCs w:val="24"/>
              </w:rPr>
              <w:t>运作</w:t>
            </w:r>
            <w:r>
              <w:rPr>
                <w:rFonts w:ascii="宋体" w:hAnsi="宋体" w:hint="eastAsia"/>
                <w:szCs w:val="24"/>
              </w:rPr>
              <w:t>模式</w:t>
            </w:r>
          </w:p>
        </w:tc>
        <w:tc>
          <w:tcPr>
            <w:tcW w:w="6804" w:type="dxa"/>
            <w:gridSpan w:val="4"/>
            <w:vAlign w:val="center"/>
          </w:tcPr>
          <w:p w:rsidR="0089610B" w:rsidRDefault="00A93C12">
            <w:pPr>
              <w:snapToGrid w:val="0"/>
              <w:rPr>
                <w:rFonts w:ascii="宋体" w:hAnsi="宋体"/>
                <w:szCs w:val="24"/>
              </w:rPr>
            </w:pPr>
            <w:r>
              <w:rPr>
                <w:rFonts w:ascii="宋体" w:hAnsi="宋体" w:hint="eastAsia"/>
                <w:szCs w:val="24"/>
              </w:rPr>
              <w:t>开放式净值型</w:t>
            </w:r>
          </w:p>
        </w:tc>
      </w:tr>
      <w:tr w:rsidR="0089610B">
        <w:trPr>
          <w:trHeight w:val="425"/>
          <w:jc w:val="center"/>
        </w:trPr>
        <w:tc>
          <w:tcPr>
            <w:tcW w:w="2411" w:type="dxa"/>
            <w:vAlign w:val="center"/>
          </w:tcPr>
          <w:p w:rsidR="0089610B" w:rsidRDefault="00A93C12">
            <w:pPr>
              <w:autoSpaceDE w:val="0"/>
              <w:autoSpaceDN w:val="0"/>
              <w:adjustRightInd w:val="0"/>
              <w:snapToGrid w:val="0"/>
              <w:ind w:leftChars="-74" w:left="-163" w:hanging="15"/>
              <w:jc w:val="center"/>
              <w:rPr>
                <w:rFonts w:ascii="宋体" w:hAnsi="宋体"/>
                <w:szCs w:val="24"/>
              </w:rPr>
            </w:pPr>
            <w:r>
              <w:rPr>
                <w:rFonts w:ascii="宋体" w:hAnsi="宋体" w:hint="eastAsia"/>
                <w:szCs w:val="24"/>
              </w:rPr>
              <w:t>理财币种</w:t>
            </w:r>
          </w:p>
        </w:tc>
        <w:tc>
          <w:tcPr>
            <w:tcW w:w="6804" w:type="dxa"/>
            <w:gridSpan w:val="4"/>
            <w:vAlign w:val="center"/>
          </w:tcPr>
          <w:p w:rsidR="0089610B" w:rsidRDefault="00A93C12">
            <w:pPr>
              <w:autoSpaceDE w:val="0"/>
              <w:autoSpaceDN w:val="0"/>
              <w:adjustRightInd w:val="0"/>
              <w:snapToGrid w:val="0"/>
              <w:rPr>
                <w:rFonts w:ascii="宋体" w:hAnsi="宋体"/>
                <w:szCs w:val="24"/>
              </w:rPr>
            </w:pPr>
            <w:r>
              <w:rPr>
                <w:rFonts w:ascii="宋体" w:hAnsi="宋体" w:hint="eastAsia"/>
                <w:szCs w:val="24"/>
              </w:rPr>
              <w:t>人民币</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产品风险等级</w:t>
            </w:r>
          </w:p>
        </w:tc>
        <w:tc>
          <w:tcPr>
            <w:tcW w:w="6804" w:type="dxa"/>
            <w:gridSpan w:val="4"/>
            <w:vAlign w:val="center"/>
          </w:tcPr>
          <w:p w:rsidR="0089610B" w:rsidRDefault="00A93C12">
            <w:pPr>
              <w:widowControl/>
              <w:tabs>
                <w:tab w:val="left" w:pos="709"/>
              </w:tabs>
              <w:snapToGrid w:val="0"/>
              <w:rPr>
                <w:rFonts w:ascii="宋体" w:hAnsi="宋体"/>
                <w:szCs w:val="24"/>
              </w:rPr>
            </w:pPr>
            <w:r>
              <w:rPr>
                <w:rFonts w:ascii="宋体" w:hAnsi="宋体" w:hint="eastAsia"/>
                <w:szCs w:val="24"/>
              </w:rPr>
              <w:t>【</w:t>
            </w:r>
            <w:r>
              <w:rPr>
                <w:rFonts w:ascii="宋体" w:hAnsi="宋体" w:hint="eastAsia"/>
                <w:szCs w:val="24"/>
              </w:rPr>
              <w:t>R2</w:t>
            </w:r>
            <w:r>
              <w:rPr>
                <w:rFonts w:ascii="宋体" w:hAnsi="宋体" w:hint="eastAsia"/>
                <w:b/>
                <w:szCs w:val="24"/>
              </w:rPr>
              <w:t>】</w:t>
            </w:r>
            <w:r>
              <w:rPr>
                <w:rFonts w:ascii="宋体" w:hAnsi="宋体" w:hint="eastAsia"/>
                <w:szCs w:val="24"/>
              </w:rPr>
              <w:t>对应风险等级为【中低风险】。</w:t>
            </w:r>
          </w:p>
          <w:p w:rsidR="0089610B" w:rsidRDefault="00A93C12">
            <w:pPr>
              <w:widowControl/>
              <w:tabs>
                <w:tab w:val="left" w:pos="709"/>
              </w:tabs>
              <w:snapToGrid w:val="0"/>
              <w:rPr>
                <w:rFonts w:ascii="宋体" w:hAnsi="宋体"/>
                <w:szCs w:val="24"/>
              </w:rPr>
            </w:pPr>
            <w:r>
              <w:rPr>
                <w:rFonts w:ascii="宋体" w:hAnsi="宋体" w:hint="eastAsia"/>
                <w:szCs w:val="24"/>
              </w:rPr>
              <w:t>本评级为管理人内部测评结果，仅供投资者参考。</w:t>
            </w:r>
            <w:r>
              <w:rPr>
                <w:rFonts w:ascii="宋体" w:hAnsi="宋体" w:hint="eastAsia"/>
                <w:b/>
                <w:szCs w:val="24"/>
              </w:rPr>
              <w:t>本产品通过代理销售机构渠道销售的，理财产品评级应当以代理销售机构最终披露的评级结果为准。</w:t>
            </w:r>
            <w:r>
              <w:rPr>
                <w:rFonts w:ascii="宋体" w:hAnsi="宋体"/>
                <w:szCs w:val="24"/>
              </w:rPr>
              <w:t>(</w:t>
            </w:r>
            <w:r>
              <w:rPr>
                <w:rFonts w:ascii="宋体" w:hAnsi="宋体" w:hint="eastAsia"/>
                <w:szCs w:val="24"/>
              </w:rPr>
              <w:t>管理</w:t>
            </w:r>
            <w:r>
              <w:rPr>
                <w:rFonts w:ascii="宋体" w:hAnsi="宋体"/>
                <w:szCs w:val="24"/>
              </w:rPr>
              <w:t>人与</w:t>
            </w:r>
            <w:r>
              <w:rPr>
                <w:rFonts w:ascii="宋体" w:hAnsi="宋体" w:hint="eastAsia"/>
                <w:szCs w:val="24"/>
              </w:rPr>
              <w:t>代理</w:t>
            </w:r>
            <w:r>
              <w:rPr>
                <w:rFonts w:ascii="宋体" w:hAnsi="宋体"/>
                <w:szCs w:val="24"/>
              </w:rPr>
              <w:t>销售机构</w:t>
            </w:r>
            <w:r>
              <w:rPr>
                <w:rFonts w:ascii="宋体" w:hAnsi="宋体" w:hint="eastAsia"/>
                <w:szCs w:val="24"/>
              </w:rPr>
              <w:t>的</w:t>
            </w:r>
            <w:r>
              <w:rPr>
                <w:rFonts w:ascii="宋体" w:hAnsi="宋体"/>
                <w:szCs w:val="24"/>
              </w:rPr>
              <w:t>风险</w:t>
            </w:r>
            <w:r>
              <w:rPr>
                <w:rFonts w:ascii="宋体" w:hAnsi="宋体" w:hint="eastAsia"/>
                <w:szCs w:val="24"/>
              </w:rPr>
              <w:t>等级评估结果</w:t>
            </w:r>
            <w:r>
              <w:rPr>
                <w:rFonts w:ascii="宋体" w:hAnsi="宋体"/>
                <w:szCs w:val="24"/>
              </w:rPr>
              <w:t>不一致的应采用</w:t>
            </w:r>
            <w:r>
              <w:rPr>
                <w:rFonts w:ascii="宋体" w:hAnsi="宋体" w:hint="eastAsia"/>
                <w:szCs w:val="24"/>
              </w:rPr>
              <w:t>对应</w:t>
            </w:r>
            <w:r>
              <w:rPr>
                <w:rFonts w:ascii="宋体" w:hAnsi="宋体"/>
                <w:szCs w:val="24"/>
              </w:rPr>
              <w:t>较高风险</w:t>
            </w:r>
            <w:r>
              <w:rPr>
                <w:rFonts w:ascii="宋体" w:hAnsi="宋体" w:hint="eastAsia"/>
                <w:szCs w:val="24"/>
              </w:rPr>
              <w:t>的</w:t>
            </w:r>
            <w:r>
              <w:rPr>
                <w:rFonts w:ascii="宋体" w:hAnsi="宋体"/>
                <w:szCs w:val="24"/>
              </w:rPr>
              <w:t>评级</w:t>
            </w:r>
            <w:r>
              <w:rPr>
                <w:rFonts w:ascii="宋体" w:hAnsi="宋体" w:hint="eastAsia"/>
                <w:szCs w:val="24"/>
              </w:rPr>
              <w:t>结果。</w:t>
            </w:r>
            <w:r>
              <w:rPr>
                <w:rFonts w:ascii="宋体" w:hAnsi="宋体"/>
                <w:szCs w:val="24"/>
              </w:rPr>
              <w:t>)</w:t>
            </w:r>
          </w:p>
        </w:tc>
      </w:tr>
      <w:tr w:rsidR="0089610B">
        <w:trPr>
          <w:trHeight w:val="1520"/>
          <w:jc w:val="center"/>
        </w:trPr>
        <w:tc>
          <w:tcPr>
            <w:tcW w:w="2411" w:type="dxa"/>
            <w:vAlign w:val="center"/>
          </w:tcPr>
          <w:p w:rsidR="0089610B" w:rsidRDefault="00A93C12">
            <w:pPr>
              <w:snapToGrid w:val="0"/>
              <w:ind w:leftChars="-74" w:left="-163" w:hanging="15"/>
              <w:jc w:val="center"/>
              <w:rPr>
                <w:rFonts w:ascii="宋体" w:hAnsi="宋体" w:cs="宋体"/>
                <w:szCs w:val="24"/>
              </w:rPr>
            </w:pPr>
            <w:r>
              <w:rPr>
                <w:rFonts w:ascii="宋体" w:hAnsi="宋体" w:hint="eastAsia"/>
                <w:szCs w:val="24"/>
              </w:rPr>
              <w:t>投资者范围</w:t>
            </w:r>
          </w:p>
        </w:tc>
        <w:tc>
          <w:tcPr>
            <w:tcW w:w="6804" w:type="dxa"/>
            <w:gridSpan w:val="4"/>
            <w:vAlign w:val="center"/>
          </w:tcPr>
          <w:p w:rsidR="0089610B" w:rsidRDefault="00A93C12">
            <w:pPr>
              <w:snapToGrid w:val="0"/>
              <w:rPr>
                <w:rFonts w:ascii="宋体" w:hAnsi="宋体"/>
                <w:szCs w:val="24"/>
              </w:rPr>
            </w:pPr>
            <w:r>
              <w:rPr>
                <w:rFonts w:ascii="宋体" w:hAnsi="宋体" w:hint="eastAsia"/>
                <w:szCs w:val="24"/>
              </w:rPr>
              <w:t>不特定社会公众（个人、机构投资者）；其中，个人投资者应符合相关法律法规、监管规定，经销售机构评估评定投资者风险承受能力与本产品风险等级相适应。</w:t>
            </w:r>
          </w:p>
          <w:p w:rsidR="0089610B" w:rsidRDefault="00A93C12">
            <w:pPr>
              <w:snapToGrid w:val="0"/>
              <w:rPr>
                <w:rFonts w:ascii="宋体" w:hAnsi="宋体"/>
                <w:szCs w:val="24"/>
              </w:rPr>
            </w:pPr>
            <w:r>
              <w:rPr>
                <w:rFonts w:ascii="宋体" w:hAnsi="宋体" w:hint="eastAsia"/>
                <w:szCs w:val="24"/>
              </w:rPr>
              <w:t>本产品通过销售机构销售的，产品风险等级应当以销售机构最终披露的评级结果为准。</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cs="宋体"/>
                <w:szCs w:val="24"/>
              </w:rPr>
            </w:pPr>
            <w:r>
              <w:rPr>
                <w:rFonts w:ascii="宋体" w:hAnsi="宋体" w:hint="eastAsia"/>
                <w:szCs w:val="24"/>
              </w:rPr>
              <w:t>计划发行规模</w:t>
            </w:r>
          </w:p>
        </w:tc>
        <w:tc>
          <w:tcPr>
            <w:tcW w:w="6804" w:type="dxa"/>
            <w:gridSpan w:val="4"/>
            <w:vAlign w:val="center"/>
          </w:tcPr>
          <w:p w:rsidR="0089610B" w:rsidRDefault="00A93C12">
            <w:pPr>
              <w:widowControl/>
              <w:jc w:val="left"/>
              <w:rPr>
                <w:rFonts w:ascii="宋体" w:hAnsi="宋体"/>
                <w:b/>
                <w:szCs w:val="24"/>
              </w:rPr>
            </w:pPr>
            <w:r>
              <w:rPr>
                <w:rFonts w:ascii="宋体" w:hAnsi="宋体" w:hint="eastAsia"/>
                <w:szCs w:val="24"/>
              </w:rPr>
              <w:t>发行规模上限【</w:t>
            </w:r>
            <w:r>
              <w:rPr>
                <w:rFonts w:ascii="宋体" w:hAnsi="宋体" w:hint="eastAsia"/>
                <w:szCs w:val="24"/>
              </w:rPr>
              <w:t>200</w:t>
            </w:r>
            <w:r>
              <w:rPr>
                <w:rFonts w:ascii="宋体" w:hAnsi="宋体" w:hint="eastAsia"/>
                <w:szCs w:val="24"/>
              </w:rPr>
              <w:t>】</w:t>
            </w:r>
            <w:r>
              <w:rPr>
                <w:rFonts w:ascii="宋体" w:hAnsi="宋体" w:hint="eastAsia"/>
                <w:b/>
                <w:szCs w:val="24"/>
              </w:rPr>
              <w:t>亿元。</w:t>
            </w:r>
          </w:p>
          <w:p w:rsidR="0089610B" w:rsidRDefault="00A93C12">
            <w:pPr>
              <w:widowControl/>
              <w:jc w:val="left"/>
              <w:rPr>
                <w:rFonts w:ascii="宋体" w:hAnsi="宋体" w:cs="宋体"/>
                <w:b/>
                <w:szCs w:val="24"/>
              </w:rPr>
            </w:pPr>
            <w:r>
              <w:rPr>
                <w:rFonts w:hint="eastAsia"/>
                <w:szCs w:val="24"/>
              </w:rPr>
              <w:t>管理人有权根据实际需要调整发行规模上限。</w:t>
            </w:r>
          </w:p>
        </w:tc>
      </w:tr>
      <w:tr w:rsidR="0089610B">
        <w:trPr>
          <w:trHeight w:val="90"/>
          <w:jc w:val="center"/>
        </w:trPr>
        <w:tc>
          <w:tcPr>
            <w:tcW w:w="2411" w:type="dxa"/>
            <w:vAlign w:val="center"/>
          </w:tcPr>
          <w:p w:rsidR="0089610B" w:rsidRDefault="00A93C12">
            <w:pPr>
              <w:snapToGrid w:val="0"/>
              <w:ind w:leftChars="-74" w:left="-163" w:hanging="15"/>
              <w:jc w:val="center"/>
              <w:rPr>
                <w:rFonts w:ascii="宋体" w:hAnsi="宋体" w:cs="宋体"/>
                <w:szCs w:val="24"/>
              </w:rPr>
            </w:pPr>
            <w:r>
              <w:rPr>
                <w:rFonts w:ascii="宋体" w:hAnsi="宋体" w:hint="eastAsia"/>
                <w:szCs w:val="24"/>
              </w:rPr>
              <w:t>产品最低成立规模</w:t>
            </w:r>
          </w:p>
        </w:tc>
        <w:tc>
          <w:tcPr>
            <w:tcW w:w="6804" w:type="dxa"/>
            <w:gridSpan w:val="4"/>
            <w:vAlign w:val="center"/>
          </w:tcPr>
          <w:p w:rsidR="0089610B" w:rsidRDefault="00A93C12">
            <w:pPr>
              <w:widowControl/>
              <w:jc w:val="left"/>
              <w:rPr>
                <w:rFonts w:ascii="宋体" w:hAnsi="宋体"/>
                <w:bCs/>
                <w:szCs w:val="24"/>
              </w:rPr>
            </w:pPr>
            <w:r>
              <w:rPr>
                <w:rFonts w:ascii="宋体" w:hAnsi="宋体" w:hint="eastAsia"/>
                <w:szCs w:val="24"/>
              </w:rPr>
              <w:t>【</w:t>
            </w:r>
            <w:r>
              <w:rPr>
                <w:rFonts w:ascii="宋体" w:hAnsi="宋体" w:hint="eastAsia"/>
                <w:szCs w:val="24"/>
              </w:rPr>
              <w:t>/</w:t>
            </w:r>
            <w:r>
              <w:rPr>
                <w:rFonts w:ascii="宋体" w:hAnsi="宋体" w:hint="eastAsia"/>
                <w:szCs w:val="24"/>
              </w:rPr>
              <w:t>】</w:t>
            </w:r>
            <w:r>
              <w:rPr>
                <w:rFonts w:ascii="宋体" w:hAnsi="宋体" w:hint="eastAsia"/>
                <w:bCs/>
                <w:szCs w:val="24"/>
              </w:rPr>
              <w:t>亿元。</w:t>
            </w:r>
          </w:p>
          <w:p w:rsidR="0089610B" w:rsidRDefault="00A93C12">
            <w:pPr>
              <w:widowControl/>
              <w:jc w:val="left"/>
              <w:rPr>
                <w:szCs w:val="24"/>
              </w:rPr>
            </w:pPr>
            <w:r>
              <w:rPr>
                <w:rFonts w:hint="eastAsia"/>
                <w:szCs w:val="24"/>
              </w:rPr>
              <w:t>若认购金额不足</w:t>
            </w:r>
            <w:r>
              <w:rPr>
                <w:rFonts w:ascii="宋体" w:hAnsi="宋体" w:hint="eastAsia"/>
                <w:szCs w:val="24"/>
              </w:rPr>
              <w:t>【</w:t>
            </w:r>
            <w:r>
              <w:rPr>
                <w:rFonts w:ascii="宋体" w:hAnsi="宋体" w:hint="eastAsia"/>
                <w:szCs w:val="24"/>
              </w:rPr>
              <w:t>/</w:t>
            </w:r>
            <w:r>
              <w:rPr>
                <w:rFonts w:ascii="宋体" w:hAnsi="宋体" w:hint="eastAsia"/>
                <w:szCs w:val="24"/>
              </w:rPr>
              <w:t>】</w:t>
            </w:r>
            <w:r>
              <w:rPr>
                <w:rFonts w:ascii="宋体" w:hAnsi="宋体" w:hint="eastAsia"/>
                <w:bCs/>
                <w:szCs w:val="24"/>
              </w:rPr>
              <w:t>亿元</w:t>
            </w:r>
            <w:r>
              <w:rPr>
                <w:rFonts w:hint="eastAsia"/>
                <w:szCs w:val="24"/>
              </w:rPr>
              <w:t>，</w:t>
            </w:r>
            <w:r>
              <w:rPr>
                <w:rFonts w:hint="eastAsia"/>
                <w:b/>
                <w:bCs/>
                <w:szCs w:val="24"/>
              </w:rPr>
              <w:t>管理人有权宣布理财产品不成立，亦有权调整</w:t>
            </w:r>
            <w:r>
              <w:rPr>
                <w:rFonts w:ascii="宋体" w:hAnsi="宋体" w:hint="eastAsia"/>
                <w:b/>
                <w:bCs/>
                <w:szCs w:val="24"/>
              </w:rPr>
              <w:t>产品最低成立规模，具体以管理人公告为准</w:t>
            </w:r>
            <w:r>
              <w:rPr>
                <w:rFonts w:hint="eastAsia"/>
                <w:szCs w:val="24"/>
              </w:rPr>
              <w:t>。</w:t>
            </w:r>
          </w:p>
        </w:tc>
        <w:bookmarkStart w:id="0" w:name="_GoBack"/>
        <w:bookmarkEnd w:id="0"/>
      </w:tr>
      <w:tr w:rsidR="0089610B">
        <w:trPr>
          <w:trHeight w:val="425"/>
          <w:jc w:val="center"/>
        </w:trPr>
        <w:tc>
          <w:tcPr>
            <w:tcW w:w="2411" w:type="dxa"/>
            <w:vAlign w:val="center"/>
          </w:tcPr>
          <w:p w:rsidR="0089610B" w:rsidRDefault="00A93C12">
            <w:pPr>
              <w:autoSpaceDE w:val="0"/>
              <w:autoSpaceDN w:val="0"/>
              <w:adjustRightInd w:val="0"/>
              <w:snapToGrid w:val="0"/>
              <w:ind w:leftChars="-74" w:left="-163" w:hanging="15"/>
              <w:jc w:val="center"/>
              <w:rPr>
                <w:rFonts w:ascii="宋体" w:hAnsi="宋体"/>
                <w:szCs w:val="24"/>
              </w:rPr>
            </w:pPr>
            <w:r>
              <w:rPr>
                <w:rFonts w:ascii="宋体" w:hAnsi="宋体" w:hint="eastAsia"/>
                <w:szCs w:val="24"/>
              </w:rPr>
              <w:t>产品认购期</w:t>
            </w:r>
            <w:r>
              <w:rPr>
                <w:rFonts w:ascii="宋体" w:hAnsi="宋体" w:hint="eastAsia"/>
                <w:szCs w:val="24"/>
              </w:rPr>
              <w:t>/</w:t>
            </w:r>
            <w:r>
              <w:rPr>
                <w:rFonts w:ascii="宋体" w:hAnsi="宋体" w:hint="eastAsia"/>
                <w:szCs w:val="24"/>
              </w:rPr>
              <w:t>募集期</w:t>
            </w:r>
          </w:p>
        </w:tc>
        <w:tc>
          <w:tcPr>
            <w:tcW w:w="6804" w:type="dxa"/>
            <w:gridSpan w:val="4"/>
            <w:vAlign w:val="center"/>
          </w:tcPr>
          <w:p w:rsidR="0089610B" w:rsidRDefault="00A93C12">
            <w:pPr>
              <w:autoSpaceDE w:val="0"/>
              <w:autoSpaceDN w:val="0"/>
              <w:adjustRightInd w:val="0"/>
              <w:snapToGrid w:val="0"/>
              <w:rPr>
                <w:rFonts w:ascii="宋体" w:hAnsi="宋体"/>
                <w:b/>
                <w:szCs w:val="24"/>
              </w:rPr>
            </w:pPr>
            <w:r>
              <w:rPr>
                <w:rFonts w:ascii="宋体" w:hAnsi="宋体" w:hint="eastAsia"/>
                <w:szCs w:val="24"/>
              </w:rPr>
              <w:t>【</w:t>
            </w:r>
            <w:r>
              <w:rPr>
                <w:rFonts w:ascii="宋体" w:hAnsi="宋体" w:hint="eastAsia"/>
                <w:b/>
                <w:szCs w:val="24"/>
              </w:rPr>
              <w:t>2025</w:t>
            </w:r>
            <w:r>
              <w:rPr>
                <w:rFonts w:ascii="宋体" w:hAnsi="宋体" w:hint="eastAsia"/>
                <w:b/>
                <w:szCs w:val="24"/>
              </w:rPr>
              <w:t>】年【</w:t>
            </w:r>
            <w:r>
              <w:rPr>
                <w:rFonts w:ascii="宋体" w:hAnsi="宋体" w:hint="eastAsia"/>
                <w:b/>
                <w:szCs w:val="24"/>
              </w:rPr>
              <w:t>9</w:t>
            </w:r>
            <w:r>
              <w:rPr>
                <w:rFonts w:ascii="宋体" w:hAnsi="宋体" w:hint="eastAsia"/>
                <w:b/>
                <w:szCs w:val="24"/>
              </w:rPr>
              <w:t>】月【</w:t>
            </w:r>
            <w:r>
              <w:rPr>
                <w:rFonts w:ascii="宋体" w:hAnsi="宋体" w:hint="eastAsia"/>
                <w:b/>
                <w:szCs w:val="24"/>
              </w:rPr>
              <w:t>23</w:t>
            </w:r>
            <w:r>
              <w:rPr>
                <w:rFonts w:ascii="宋体" w:hAnsi="宋体" w:hint="eastAsia"/>
                <w:b/>
                <w:szCs w:val="24"/>
              </w:rPr>
              <w:t>】日【</w:t>
            </w:r>
            <w:r>
              <w:rPr>
                <w:rFonts w:ascii="宋体" w:hAnsi="宋体"/>
                <w:b/>
                <w:szCs w:val="24"/>
              </w:rPr>
              <w:t>9</w:t>
            </w:r>
            <w:r>
              <w:rPr>
                <w:rFonts w:ascii="宋体" w:hAnsi="宋体" w:hint="eastAsia"/>
                <w:b/>
                <w:szCs w:val="24"/>
              </w:rPr>
              <w:t>:00</w:t>
            </w:r>
            <w:r>
              <w:rPr>
                <w:rFonts w:ascii="宋体" w:hAnsi="宋体" w:hint="eastAsia"/>
                <w:b/>
                <w:szCs w:val="24"/>
              </w:rPr>
              <w:t>】—</w:t>
            </w:r>
            <w:r>
              <w:rPr>
                <w:rFonts w:ascii="宋体" w:hAnsi="宋体" w:hint="eastAsia"/>
                <w:szCs w:val="24"/>
              </w:rPr>
              <w:t>【</w:t>
            </w:r>
            <w:r>
              <w:rPr>
                <w:rFonts w:ascii="宋体" w:hAnsi="宋体" w:hint="eastAsia"/>
                <w:b/>
                <w:szCs w:val="24"/>
              </w:rPr>
              <w:t>2025</w:t>
            </w:r>
            <w:r>
              <w:rPr>
                <w:rFonts w:ascii="宋体" w:hAnsi="宋体" w:hint="eastAsia"/>
                <w:b/>
                <w:szCs w:val="24"/>
              </w:rPr>
              <w:t>】年【</w:t>
            </w:r>
            <w:r>
              <w:rPr>
                <w:rFonts w:ascii="宋体" w:hAnsi="宋体" w:hint="eastAsia"/>
                <w:b/>
                <w:szCs w:val="24"/>
              </w:rPr>
              <w:t>9</w:t>
            </w:r>
            <w:r>
              <w:rPr>
                <w:rFonts w:ascii="宋体" w:hAnsi="宋体" w:hint="eastAsia"/>
                <w:b/>
                <w:szCs w:val="24"/>
              </w:rPr>
              <w:t>】月【</w:t>
            </w:r>
            <w:r>
              <w:rPr>
                <w:rFonts w:ascii="宋体" w:hAnsi="宋体" w:hint="eastAsia"/>
                <w:b/>
                <w:szCs w:val="24"/>
              </w:rPr>
              <w:t>23</w:t>
            </w:r>
            <w:r>
              <w:rPr>
                <w:rFonts w:ascii="宋体" w:hAnsi="宋体" w:hint="eastAsia"/>
                <w:b/>
                <w:szCs w:val="24"/>
              </w:rPr>
              <w:t>】日【</w:t>
            </w:r>
            <w:r>
              <w:rPr>
                <w:rFonts w:ascii="宋体" w:hAnsi="宋体" w:hint="eastAsia"/>
                <w:b/>
                <w:szCs w:val="24"/>
              </w:rPr>
              <w:t>1</w:t>
            </w:r>
            <w:r>
              <w:rPr>
                <w:rFonts w:ascii="宋体" w:hAnsi="宋体"/>
                <w:b/>
                <w:szCs w:val="24"/>
              </w:rPr>
              <w:t>5</w:t>
            </w:r>
            <w:r>
              <w:rPr>
                <w:rFonts w:ascii="宋体" w:hAnsi="宋体" w:hint="eastAsia"/>
                <w:b/>
                <w:szCs w:val="24"/>
              </w:rPr>
              <w:t>:00</w:t>
            </w:r>
            <w:r>
              <w:rPr>
                <w:rFonts w:ascii="宋体" w:hAnsi="宋体" w:hint="eastAsia"/>
                <w:b/>
                <w:szCs w:val="24"/>
              </w:rPr>
              <w:t>】</w:t>
            </w:r>
          </w:p>
          <w:p w:rsidR="0089610B" w:rsidRDefault="00A93C12">
            <w:pPr>
              <w:autoSpaceDE w:val="0"/>
              <w:autoSpaceDN w:val="0"/>
              <w:adjustRightInd w:val="0"/>
              <w:snapToGrid w:val="0"/>
              <w:rPr>
                <w:rFonts w:ascii="宋体" w:hAnsi="宋体"/>
                <w:b/>
                <w:szCs w:val="24"/>
              </w:rPr>
            </w:pPr>
            <w:r>
              <w:rPr>
                <w:rFonts w:hint="eastAsia"/>
                <w:szCs w:val="24"/>
              </w:rPr>
              <w:t>销售机构实际受理时间可能与说明书不一致，具体以销售机构通知为准。</w:t>
            </w:r>
            <w:r>
              <w:rPr>
                <w:rFonts w:ascii="宋体" w:hAnsi="宋体" w:hint="eastAsia"/>
                <w:b/>
                <w:szCs w:val="24"/>
              </w:rPr>
              <w:t>管理人有权提前结束募集并提前成立理财产品或延长募集期，具体以管理人或销售机构公告为准。</w:t>
            </w:r>
          </w:p>
        </w:tc>
      </w:tr>
      <w:tr w:rsidR="0089610B">
        <w:trPr>
          <w:trHeight w:val="425"/>
          <w:jc w:val="center"/>
        </w:trPr>
        <w:tc>
          <w:tcPr>
            <w:tcW w:w="2411" w:type="dxa"/>
            <w:vAlign w:val="center"/>
          </w:tcPr>
          <w:p w:rsidR="0089610B" w:rsidRDefault="00A93C12">
            <w:pPr>
              <w:autoSpaceDE w:val="0"/>
              <w:autoSpaceDN w:val="0"/>
              <w:adjustRightInd w:val="0"/>
              <w:snapToGrid w:val="0"/>
              <w:ind w:leftChars="-74" w:left="-163" w:hanging="15"/>
              <w:jc w:val="center"/>
              <w:rPr>
                <w:rFonts w:ascii="宋体" w:hAnsi="宋体"/>
                <w:szCs w:val="24"/>
              </w:rPr>
            </w:pPr>
            <w:r>
              <w:rPr>
                <w:rFonts w:ascii="宋体" w:hAnsi="宋体" w:hint="eastAsia"/>
                <w:szCs w:val="24"/>
              </w:rPr>
              <w:t>产品期限</w:t>
            </w:r>
          </w:p>
        </w:tc>
        <w:tc>
          <w:tcPr>
            <w:tcW w:w="6804" w:type="dxa"/>
            <w:gridSpan w:val="4"/>
            <w:vAlign w:val="center"/>
          </w:tcPr>
          <w:p w:rsidR="0089610B" w:rsidRDefault="00A93C12">
            <w:pPr>
              <w:autoSpaceDE w:val="0"/>
              <w:autoSpaceDN w:val="0"/>
              <w:adjustRightInd w:val="0"/>
              <w:snapToGrid w:val="0"/>
              <w:rPr>
                <w:rFonts w:ascii="宋体" w:hAnsi="宋体"/>
                <w:szCs w:val="24"/>
              </w:rPr>
            </w:pPr>
            <w:r>
              <w:rPr>
                <w:rFonts w:ascii="宋体" w:hAnsi="宋体" w:hint="eastAsia"/>
                <w:b/>
                <w:szCs w:val="24"/>
              </w:rPr>
              <w:t>无固定期限</w:t>
            </w:r>
            <w:r>
              <w:rPr>
                <w:rFonts w:ascii="宋体" w:hAnsi="宋体" w:hint="eastAsia"/>
                <w:szCs w:val="24"/>
              </w:rPr>
              <w:t>。产品管理人有权根据实际情况提前终止，并提前【</w:t>
            </w:r>
            <w:r>
              <w:rPr>
                <w:rFonts w:ascii="宋体" w:hAnsi="宋体" w:hint="eastAsia"/>
                <w:szCs w:val="24"/>
              </w:rPr>
              <w:t>2</w:t>
            </w:r>
            <w:r>
              <w:rPr>
                <w:rFonts w:ascii="宋体" w:hAnsi="宋体" w:hint="eastAsia"/>
                <w:szCs w:val="24"/>
              </w:rPr>
              <w:t>】个工作日按照本《产品说明书》“信息披露”约定的方式通知投资者。</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产品成立日</w:t>
            </w:r>
          </w:p>
        </w:tc>
        <w:tc>
          <w:tcPr>
            <w:tcW w:w="6804" w:type="dxa"/>
            <w:gridSpan w:val="4"/>
            <w:vAlign w:val="center"/>
          </w:tcPr>
          <w:p w:rsidR="0089610B" w:rsidRDefault="00A93C12">
            <w:pPr>
              <w:snapToGrid w:val="0"/>
              <w:rPr>
                <w:rFonts w:ascii="宋体" w:hAnsi="宋体"/>
                <w:b/>
                <w:szCs w:val="24"/>
              </w:rPr>
            </w:pPr>
            <w:r>
              <w:rPr>
                <w:rFonts w:ascii="宋体" w:hAnsi="宋体" w:hint="eastAsia"/>
                <w:b/>
                <w:szCs w:val="24"/>
              </w:rPr>
              <w:t>本产品</w:t>
            </w:r>
            <w:r>
              <w:rPr>
                <w:rFonts w:ascii="宋体" w:hAnsi="宋体"/>
                <w:b/>
                <w:szCs w:val="24"/>
              </w:rPr>
              <w:t>计划成立日</w:t>
            </w:r>
            <w:r>
              <w:rPr>
                <w:rFonts w:ascii="宋体" w:hAnsi="宋体" w:hint="eastAsia"/>
                <w:b/>
                <w:szCs w:val="24"/>
              </w:rPr>
              <w:t>为</w:t>
            </w:r>
            <w:r>
              <w:rPr>
                <w:rFonts w:ascii="宋体" w:hAnsi="宋体" w:hint="eastAsia"/>
                <w:szCs w:val="24"/>
              </w:rPr>
              <w:t>【</w:t>
            </w:r>
            <w:r>
              <w:rPr>
                <w:rFonts w:ascii="宋体" w:hAnsi="宋体" w:hint="eastAsia"/>
                <w:b/>
                <w:szCs w:val="24"/>
              </w:rPr>
              <w:t>2025</w:t>
            </w:r>
            <w:r>
              <w:rPr>
                <w:rFonts w:ascii="宋体" w:hAnsi="宋体" w:hint="eastAsia"/>
                <w:b/>
                <w:szCs w:val="24"/>
              </w:rPr>
              <w:t>】年【</w:t>
            </w:r>
            <w:r>
              <w:rPr>
                <w:rFonts w:ascii="宋体" w:hAnsi="宋体" w:hint="eastAsia"/>
                <w:b/>
                <w:szCs w:val="24"/>
              </w:rPr>
              <w:t>9</w:t>
            </w:r>
            <w:r>
              <w:rPr>
                <w:rFonts w:ascii="宋体" w:hAnsi="宋体" w:hint="eastAsia"/>
                <w:b/>
                <w:szCs w:val="24"/>
              </w:rPr>
              <w:t>】月【</w:t>
            </w:r>
            <w:r>
              <w:rPr>
                <w:rFonts w:ascii="宋体" w:hAnsi="宋体" w:hint="eastAsia"/>
                <w:b/>
                <w:szCs w:val="24"/>
              </w:rPr>
              <w:t>24</w:t>
            </w:r>
            <w:r>
              <w:rPr>
                <w:rFonts w:ascii="宋体" w:hAnsi="宋体" w:hint="eastAsia"/>
                <w:b/>
                <w:szCs w:val="24"/>
              </w:rPr>
              <w:t>】日，如遇非工作日则顺延至下一</w:t>
            </w:r>
            <w:r>
              <w:rPr>
                <w:rFonts w:ascii="宋体" w:hAnsi="宋体" w:hint="eastAsia"/>
                <w:b/>
                <w:bCs/>
                <w:szCs w:val="24"/>
              </w:rPr>
              <w:t>交易日</w:t>
            </w:r>
            <w:r>
              <w:rPr>
                <w:rFonts w:ascii="宋体" w:hAnsi="宋体" w:hint="eastAsia"/>
                <w:b/>
                <w:szCs w:val="24"/>
              </w:rPr>
              <w:t>。</w:t>
            </w:r>
          </w:p>
          <w:p w:rsidR="0089610B" w:rsidRDefault="00A93C12">
            <w:pPr>
              <w:snapToGrid w:val="0"/>
              <w:rPr>
                <w:rFonts w:ascii="宋体" w:hAnsi="宋体"/>
                <w:b/>
                <w:szCs w:val="24"/>
              </w:rPr>
            </w:pPr>
            <w:r>
              <w:rPr>
                <w:rFonts w:ascii="宋体" w:hAnsi="宋体" w:hint="eastAsia"/>
                <w:b/>
                <w:szCs w:val="24"/>
              </w:rPr>
              <w:t>如本理财产品募集期提前终止或延长，实际成立日以管理人或销售机构公告为准。</w:t>
            </w:r>
          </w:p>
        </w:tc>
      </w:tr>
      <w:tr w:rsidR="0089610B">
        <w:trPr>
          <w:trHeight w:val="349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申购</w:t>
            </w:r>
            <w:r>
              <w:rPr>
                <w:rFonts w:ascii="宋体" w:hAnsi="宋体" w:hint="eastAsia"/>
                <w:szCs w:val="24"/>
              </w:rPr>
              <w:t>/</w:t>
            </w:r>
            <w:r>
              <w:rPr>
                <w:rFonts w:ascii="宋体" w:hAnsi="宋体" w:hint="eastAsia"/>
                <w:szCs w:val="24"/>
              </w:rPr>
              <w:t>赎回安排</w:t>
            </w:r>
          </w:p>
        </w:tc>
        <w:tc>
          <w:tcPr>
            <w:tcW w:w="6804" w:type="dxa"/>
            <w:gridSpan w:val="4"/>
            <w:vAlign w:val="center"/>
          </w:tcPr>
          <w:p w:rsidR="0089610B" w:rsidRDefault="00A93C12">
            <w:pPr>
              <w:snapToGrid w:val="0"/>
              <w:rPr>
                <w:rFonts w:ascii="宋体" w:hAnsi="宋体"/>
                <w:szCs w:val="24"/>
              </w:rPr>
            </w:pPr>
            <w:r>
              <w:rPr>
                <w:rFonts w:ascii="宋体" w:hAnsi="宋体"/>
                <w:szCs w:val="24"/>
              </w:rPr>
              <w:t>1.</w:t>
            </w:r>
            <w:r>
              <w:rPr>
                <w:rFonts w:ascii="宋体" w:hAnsi="宋体" w:hint="eastAsia"/>
                <w:szCs w:val="24"/>
              </w:rPr>
              <w:t>本产品的封闭期</w:t>
            </w:r>
          </w:p>
          <w:p w:rsidR="0089610B" w:rsidRDefault="00A93C12">
            <w:pPr>
              <w:snapToGrid w:val="0"/>
              <w:rPr>
                <w:rFonts w:ascii="宋体" w:hAnsi="宋体"/>
                <w:szCs w:val="24"/>
              </w:rPr>
            </w:pPr>
            <w:r>
              <w:rPr>
                <w:rFonts w:ascii="宋体" w:hAnsi="宋体" w:hint="eastAsia"/>
                <w:szCs w:val="24"/>
              </w:rPr>
              <w:t>本产品成立后，产品封闭期为【</w:t>
            </w:r>
            <w:r>
              <w:rPr>
                <w:rFonts w:ascii="宋体" w:hAnsi="宋体" w:hint="eastAsia"/>
                <w:b/>
                <w:szCs w:val="24"/>
              </w:rPr>
              <w:t>2025</w:t>
            </w:r>
            <w:r>
              <w:rPr>
                <w:rFonts w:ascii="宋体" w:hAnsi="宋体" w:hint="eastAsia"/>
                <w:b/>
                <w:szCs w:val="24"/>
              </w:rPr>
              <w:t>】年【</w:t>
            </w:r>
            <w:r>
              <w:rPr>
                <w:rFonts w:ascii="宋体" w:hAnsi="宋体" w:hint="eastAsia"/>
                <w:b/>
                <w:szCs w:val="24"/>
              </w:rPr>
              <w:t>9</w:t>
            </w:r>
            <w:r>
              <w:rPr>
                <w:rFonts w:ascii="宋体" w:hAnsi="宋体" w:hint="eastAsia"/>
                <w:b/>
                <w:szCs w:val="24"/>
              </w:rPr>
              <w:t>】月【</w:t>
            </w:r>
            <w:r>
              <w:rPr>
                <w:rFonts w:ascii="宋体" w:hAnsi="宋体" w:hint="eastAsia"/>
                <w:b/>
                <w:szCs w:val="24"/>
              </w:rPr>
              <w:t>24</w:t>
            </w:r>
            <w:r>
              <w:rPr>
                <w:rFonts w:ascii="宋体" w:hAnsi="宋体" w:hint="eastAsia"/>
                <w:b/>
                <w:szCs w:val="24"/>
              </w:rPr>
              <w:t>】</w:t>
            </w:r>
            <w:r>
              <w:rPr>
                <w:rFonts w:ascii="宋体" w:hAnsi="宋体" w:hint="eastAsia"/>
                <w:szCs w:val="24"/>
              </w:rPr>
              <w:t>日至【</w:t>
            </w:r>
            <w:r>
              <w:rPr>
                <w:rFonts w:ascii="宋体" w:hAnsi="宋体" w:hint="eastAsia"/>
                <w:b/>
                <w:szCs w:val="24"/>
              </w:rPr>
              <w:t>2025</w:t>
            </w:r>
            <w:r>
              <w:rPr>
                <w:rFonts w:ascii="宋体" w:hAnsi="宋体" w:hint="eastAsia"/>
                <w:b/>
                <w:szCs w:val="24"/>
              </w:rPr>
              <w:t>】年【</w:t>
            </w:r>
            <w:r>
              <w:rPr>
                <w:rFonts w:ascii="宋体" w:hAnsi="宋体" w:hint="eastAsia"/>
                <w:b/>
                <w:szCs w:val="24"/>
              </w:rPr>
              <w:t>9</w:t>
            </w:r>
            <w:r>
              <w:rPr>
                <w:rFonts w:ascii="宋体" w:hAnsi="宋体" w:hint="eastAsia"/>
                <w:b/>
                <w:szCs w:val="24"/>
              </w:rPr>
              <w:t>】月【</w:t>
            </w:r>
            <w:r>
              <w:rPr>
                <w:rFonts w:ascii="宋体" w:hAnsi="宋体" w:hint="eastAsia"/>
                <w:b/>
                <w:szCs w:val="24"/>
              </w:rPr>
              <w:t>24</w:t>
            </w:r>
            <w:r>
              <w:rPr>
                <w:rFonts w:ascii="宋体" w:hAnsi="宋体" w:hint="eastAsia"/>
                <w:b/>
                <w:szCs w:val="24"/>
              </w:rPr>
              <w:t>】</w:t>
            </w:r>
            <w:r>
              <w:rPr>
                <w:rFonts w:ascii="宋体" w:hAnsi="宋体" w:hint="eastAsia"/>
                <w:szCs w:val="24"/>
              </w:rPr>
              <w:t>日，封闭期内不接受申购或赎回申请。</w:t>
            </w:r>
          </w:p>
          <w:p w:rsidR="0089610B" w:rsidRDefault="00A93C12">
            <w:pPr>
              <w:snapToGrid w:val="0"/>
              <w:rPr>
                <w:rFonts w:ascii="宋体" w:hAnsi="宋体"/>
                <w:szCs w:val="24"/>
              </w:rPr>
            </w:pPr>
            <w:r>
              <w:rPr>
                <w:rFonts w:ascii="宋体" w:hAnsi="宋体"/>
                <w:szCs w:val="24"/>
              </w:rPr>
              <w:t>2.</w:t>
            </w:r>
            <w:r>
              <w:rPr>
                <w:rFonts w:ascii="宋体" w:hAnsi="宋体" w:hint="eastAsia"/>
                <w:szCs w:val="24"/>
              </w:rPr>
              <w:t>本产品的开放期</w:t>
            </w:r>
          </w:p>
          <w:p w:rsidR="0089610B" w:rsidRDefault="00A93C12">
            <w:pPr>
              <w:snapToGrid w:val="0"/>
              <w:rPr>
                <w:rFonts w:ascii="宋体" w:hAnsi="宋体"/>
                <w:szCs w:val="24"/>
              </w:rPr>
            </w:pPr>
            <w:r>
              <w:rPr>
                <w:rFonts w:ascii="宋体" w:hAnsi="宋体" w:hint="eastAsia"/>
                <w:szCs w:val="24"/>
              </w:rPr>
              <w:t>本产品封闭期结束后（不含</w:t>
            </w:r>
            <w:r>
              <w:rPr>
                <w:rFonts w:ascii="宋体" w:hAnsi="宋体"/>
                <w:szCs w:val="24"/>
              </w:rPr>
              <w:t>封闭期结束日</w:t>
            </w:r>
            <w:r>
              <w:rPr>
                <w:rFonts w:ascii="宋体" w:hAnsi="宋体" w:hint="eastAsia"/>
                <w:szCs w:val="24"/>
              </w:rPr>
              <w:t>、管理人公告暂停开放的日期</w:t>
            </w:r>
            <w:r>
              <w:rPr>
                <w:rFonts w:ascii="宋体" w:hAnsi="宋体"/>
                <w:szCs w:val="24"/>
              </w:rPr>
              <w:t>）</w:t>
            </w:r>
            <w:r>
              <w:rPr>
                <w:rFonts w:ascii="宋体" w:hAnsi="宋体" w:hint="eastAsia"/>
                <w:szCs w:val="24"/>
              </w:rPr>
              <w:t>的每个交易日，首次开放日为【</w:t>
            </w:r>
            <w:r>
              <w:rPr>
                <w:rFonts w:ascii="宋体" w:hAnsi="宋体" w:hint="eastAsia"/>
                <w:b/>
                <w:szCs w:val="24"/>
              </w:rPr>
              <w:t>2025</w:t>
            </w:r>
            <w:r>
              <w:rPr>
                <w:rFonts w:ascii="宋体" w:hAnsi="宋体" w:hint="eastAsia"/>
                <w:b/>
                <w:szCs w:val="24"/>
              </w:rPr>
              <w:t>】年【</w:t>
            </w:r>
            <w:r>
              <w:rPr>
                <w:rFonts w:ascii="宋体" w:hAnsi="宋体" w:hint="eastAsia"/>
                <w:b/>
                <w:szCs w:val="24"/>
              </w:rPr>
              <w:t>9</w:t>
            </w:r>
            <w:r>
              <w:rPr>
                <w:rFonts w:ascii="宋体" w:hAnsi="宋体" w:hint="eastAsia"/>
                <w:b/>
                <w:szCs w:val="24"/>
              </w:rPr>
              <w:t>】月【</w:t>
            </w:r>
            <w:r>
              <w:rPr>
                <w:rFonts w:ascii="宋体" w:hAnsi="宋体" w:hint="eastAsia"/>
                <w:b/>
                <w:szCs w:val="24"/>
              </w:rPr>
              <w:t>25</w:t>
            </w:r>
            <w:r>
              <w:rPr>
                <w:rFonts w:ascii="宋体" w:hAnsi="宋体" w:hint="eastAsia"/>
                <w:b/>
                <w:szCs w:val="24"/>
              </w:rPr>
              <w:t>】</w:t>
            </w:r>
            <w:r>
              <w:rPr>
                <w:rFonts w:ascii="宋体" w:hAnsi="宋体" w:hint="eastAsia"/>
                <w:szCs w:val="24"/>
              </w:rPr>
              <w:t>日。</w:t>
            </w:r>
          </w:p>
          <w:p w:rsidR="0089610B" w:rsidRDefault="00A93C12">
            <w:pPr>
              <w:snapToGrid w:val="0"/>
              <w:rPr>
                <w:rFonts w:ascii="宋体" w:hAnsi="宋体"/>
                <w:szCs w:val="24"/>
              </w:rPr>
            </w:pPr>
            <w:r>
              <w:rPr>
                <w:rFonts w:ascii="宋体" w:hAnsi="宋体"/>
                <w:szCs w:val="24"/>
              </w:rPr>
              <w:t>3.</w:t>
            </w:r>
            <w:r>
              <w:rPr>
                <w:rFonts w:ascii="宋体" w:hAnsi="宋体" w:hint="eastAsia"/>
                <w:szCs w:val="24"/>
              </w:rPr>
              <w:t>申购安排：</w:t>
            </w:r>
          </w:p>
          <w:p w:rsidR="0089610B" w:rsidRDefault="00A93C12">
            <w:pPr>
              <w:snapToGrid w:val="0"/>
              <w:rPr>
                <w:rFonts w:ascii="宋体" w:hAnsi="宋体"/>
                <w:szCs w:val="24"/>
              </w:rPr>
            </w:pPr>
            <w:r>
              <w:rPr>
                <w:rFonts w:ascii="宋体" w:hAnsi="宋体" w:hint="eastAsia"/>
                <w:szCs w:val="24"/>
              </w:rPr>
              <w:t>（</w:t>
            </w:r>
            <w:r>
              <w:rPr>
                <w:rFonts w:ascii="宋体" w:hAnsi="宋体"/>
                <w:szCs w:val="24"/>
              </w:rPr>
              <w:t>1</w:t>
            </w:r>
            <w:r>
              <w:rPr>
                <w:rFonts w:ascii="宋体" w:hAnsi="宋体" w:hint="eastAsia"/>
                <w:szCs w:val="24"/>
              </w:rPr>
              <w:t>）申购的时间投资者在交易日【</w:t>
            </w:r>
            <w:r>
              <w:rPr>
                <w:rFonts w:ascii="宋体" w:hAnsi="宋体"/>
                <w:szCs w:val="24"/>
              </w:rPr>
              <w:t>15</w:t>
            </w:r>
            <w:r>
              <w:rPr>
                <w:rFonts w:ascii="宋体" w:hAnsi="宋体" w:hint="eastAsia"/>
                <w:szCs w:val="24"/>
              </w:rPr>
              <w:t>:0</w:t>
            </w:r>
            <w:r>
              <w:rPr>
                <w:rFonts w:ascii="宋体" w:hAnsi="宋体"/>
                <w:szCs w:val="24"/>
              </w:rPr>
              <w:t>0</w:t>
            </w:r>
            <w:r>
              <w:rPr>
                <w:rFonts w:ascii="宋体" w:hAnsi="宋体" w:hint="eastAsia"/>
                <w:szCs w:val="24"/>
              </w:rPr>
              <w:t>】前提交申购申请的，提交当日为申购日。</w:t>
            </w:r>
          </w:p>
          <w:p w:rsidR="0089610B" w:rsidRDefault="00A93C12">
            <w:pPr>
              <w:snapToGrid w:val="0"/>
              <w:rPr>
                <w:rFonts w:ascii="宋体" w:hAnsi="宋体"/>
                <w:szCs w:val="24"/>
              </w:rPr>
            </w:pPr>
            <w:r>
              <w:rPr>
                <w:rFonts w:ascii="宋体" w:hAnsi="宋体" w:hint="eastAsia"/>
                <w:szCs w:val="24"/>
              </w:rPr>
              <w:t>投资者在交易日【</w:t>
            </w:r>
            <w:r>
              <w:rPr>
                <w:rFonts w:ascii="宋体" w:hAnsi="宋体"/>
                <w:szCs w:val="24"/>
              </w:rPr>
              <w:t>15</w:t>
            </w:r>
            <w:r>
              <w:rPr>
                <w:rFonts w:ascii="宋体" w:hAnsi="宋体" w:hint="eastAsia"/>
                <w:szCs w:val="24"/>
              </w:rPr>
              <w:t>:0</w:t>
            </w:r>
            <w:r>
              <w:rPr>
                <w:rFonts w:ascii="宋体" w:hAnsi="宋体"/>
                <w:szCs w:val="24"/>
              </w:rPr>
              <w:t>0</w:t>
            </w:r>
            <w:r>
              <w:rPr>
                <w:rFonts w:ascii="宋体" w:hAnsi="宋体" w:hint="eastAsia"/>
                <w:szCs w:val="24"/>
              </w:rPr>
              <w:t>】后提交申购申请的，下一个交易日为申购日。</w:t>
            </w:r>
          </w:p>
          <w:p w:rsidR="0089610B" w:rsidRDefault="00A93C12">
            <w:pPr>
              <w:snapToGrid w:val="0"/>
              <w:rPr>
                <w:rFonts w:ascii="宋体" w:hAnsi="宋体"/>
                <w:szCs w:val="24"/>
              </w:rPr>
            </w:pPr>
            <w:r>
              <w:rPr>
                <w:rFonts w:ascii="宋体" w:hAnsi="宋体" w:hint="eastAsia"/>
                <w:szCs w:val="24"/>
              </w:rPr>
              <w:t>投资者在非交易日提交申购申请的，下一个交易日为申购日。</w:t>
            </w:r>
          </w:p>
          <w:p w:rsidR="0089610B" w:rsidRDefault="00A93C12">
            <w:pPr>
              <w:snapToGrid w:val="0"/>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）申购的确认</w:t>
            </w:r>
          </w:p>
          <w:p w:rsidR="0089610B" w:rsidRDefault="00A93C12">
            <w:pPr>
              <w:snapToGrid w:val="0"/>
              <w:rPr>
                <w:rFonts w:ascii="宋体" w:hAnsi="宋体"/>
                <w:szCs w:val="24"/>
              </w:rPr>
            </w:pPr>
            <w:r>
              <w:rPr>
                <w:rFonts w:ascii="宋体" w:hAnsi="宋体" w:hint="eastAsia"/>
                <w:szCs w:val="24"/>
              </w:rPr>
              <w:t>申购日后的【</w:t>
            </w:r>
            <w:r>
              <w:rPr>
                <w:rFonts w:ascii="宋体" w:hAnsi="宋体"/>
                <w:szCs w:val="24"/>
              </w:rPr>
              <w:t>1</w:t>
            </w:r>
            <w:r>
              <w:rPr>
                <w:rFonts w:ascii="宋体" w:hAnsi="宋体" w:hint="eastAsia"/>
                <w:szCs w:val="24"/>
              </w:rPr>
              <w:t>】个交易日内为申购确认日。</w:t>
            </w:r>
          </w:p>
          <w:p w:rsidR="0089610B" w:rsidRDefault="00A93C12">
            <w:pPr>
              <w:snapToGrid w:val="0"/>
              <w:rPr>
                <w:rFonts w:ascii="宋体" w:hAnsi="宋体"/>
                <w:szCs w:val="24"/>
              </w:rPr>
            </w:pPr>
            <w:r>
              <w:rPr>
                <w:rFonts w:ascii="宋体" w:hAnsi="宋体"/>
                <w:szCs w:val="24"/>
              </w:rPr>
              <w:t>4.</w:t>
            </w:r>
            <w:r>
              <w:rPr>
                <w:rFonts w:ascii="宋体" w:hAnsi="宋体" w:hint="eastAsia"/>
                <w:szCs w:val="24"/>
              </w:rPr>
              <w:t>赎回安排</w:t>
            </w:r>
          </w:p>
          <w:p w:rsidR="0089610B" w:rsidRDefault="00A93C12">
            <w:pPr>
              <w:snapToGrid w:val="0"/>
              <w:rPr>
                <w:rFonts w:ascii="宋体" w:hAnsi="宋体"/>
                <w:szCs w:val="24"/>
              </w:rPr>
            </w:pPr>
            <w:r>
              <w:rPr>
                <w:rFonts w:ascii="宋体" w:hAnsi="宋体" w:hint="eastAsia"/>
                <w:szCs w:val="24"/>
              </w:rPr>
              <w:t>（</w:t>
            </w:r>
            <w:r>
              <w:rPr>
                <w:rFonts w:ascii="宋体" w:hAnsi="宋体"/>
                <w:szCs w:val="24"/>
              </w:rPr>
              <w:t>1</w:t>
            </w:r>
            <w:r>
              <w:rPr>
                <w:rFonts w:ascii="宋体" w:hAnsi="宋体" w:hint="eastAsia"/>
                <w:szCs w:val="24"/>
              </w:rPr>
              <w:t>）赎回的时间</w:t>
            </w:r>
          </w:p>
          <w:p w:rsidR="0089610B" w:rsidRDefault="00A93C12">
            <w:pPr>
              <w:snapToGrid w:val="0"/>
              <w:rPr>
                <w:rFonts w:ascii="宋体" w:hAnsi="宋体"/>
                <w:szCs w:val="24"/>
              </w:rPr>
            </w:pPr>
            <w:r>
              <w:rPr>
                <w:rFonts w:ascii="宋体" w:hAnsi="宋体" w:hint="eastAsia"/>
                <w:szCs w:val="24"/>
              </w:rPr>
              <w:t>投资者认购、申购本理财产品并成功确认份额后，在产品首次开放日（含）后可申请赎回。</w:t>
            </w:r>
          </w:p>
          <w:p w:rsidR="0089610B" w:rsidRDefault="00A93C12">
            <w:pPr>
              <w:snapToGrid w:val="0"/>
              <w:rPr>
                <w:rFonts w:ascii="宋体" w:hAnsi="宋体"/>
                <w:szCs w:val="24"/>
              </w:rPr>
            </w:pPr>
            <w:r>
              <w:rPr>
                <w:rFonts w:ascii="宋体" w:hAnsi="宋体" w:hint="eastAsia"/>
                <w:szCs w:val="24"/>
              </w:rPr>
              <w:t>投资者在交易日【</w:t>
            </w:r>
            <w:r>
              <w:rPr>
                <w:rFonts w:ascii="宋体" w:hAnsi="宋体"/>
                <w:szCs w:val="24"/>
              </w:rPr>
              <w:t>15</w:t>
            </w:r>
            <w:r>
              <w:rPr>
                <w:rFonts w:ascii="宋体" w:hAnsi="宋体" w:hint="eastAsia"/>
                <w:szCs w:val="24"/>
              </w:rPr>
              <w:t>:0</w:t>
            </w:r>
            <w:r>
              <w:rPr>
                <w:rFonts w:ascii="宋体" w:hAnsi="宋体"/>
                <w:szCs w:val="24"/>
              </w:rPr>
              <w:t>0</w:t>
            </w:r>
            <w:r>
              <w:rPr>
                <w:rFonts w:ascii="宋体" w:hAnsi="宋体" w:hint="eastAsia"/>
                <w:szCs w:val="24"/>
              </w:rPr>
              <w:t>】前提交赎回申请的，提交当日为赎回日。</w:t>
            </w:r>
          </w:p>
          <w:p w:rsidR="0089610B" w:rsidRDefault="00A93C12">
            <w:pPr>
              <w:snapToGrid w:val="0"/>
              <w:rPr>
                <w:rFonts w:ascii="宋体" w:hAnsi="宋体"/>
                <w:szCs w:val="24"/>
              </w:rPr>
            </w:pPr>
            <w:r>
              <w:rPr>
                <w:rFonts w:ascii="宋体" w:hAnsi="宋体" w:hint="eastAsia"/>
                <w:szCs w:val="24"/>
              </w:rPr>
              <w:t>投资者在交易日【</w:t>
            </w:r>
            <w:r>
              <w:rPr>
                <w:rFonts w:ascii="宋体" w:hAnsi="宋体"/>
                <w:szCs w:val="24"/>
              </w:rPr>
              <w:t>15</w:t>
            </w:r>
            <w:r>
              <w:rPr>
                <w:rFonts w:ascii="宋体" w:hAnsi="宋体" w:hint="eastAsia"/>
                <w:szCs w:val="24"/>
              </w:rPr>
              <w:t>:0</w:t>
            </w:r>
            <w:r>
              <w:rPr>
                <w:rFonts w:ascii="宋体" w:hAnsi="宋体"/>
                <w:szCs w:val="24"/>
              </w:rPr>
              <w:t>0</w:t>
            </w:r>
            <w:r>
              <w:rPr>
                <w:rFonts w:ascii="宋体" w:hAnsi="宋体" w:hint="eastAsia"/>
                <w:szCs w:val="24"/>
              </w:rPr>
              <w:t>】后提交赎回申请的，下一个交易日为赎回日。</w:t>
            </w:r>
          </w:p>
          <w:p w:rsidR="0089610B" w:rsidRDefault="00A93C12">
            <w:pPr>
              <w:snapToGrid w:val="0"/>
              <w:rPr>
                <w:rFonts w:ascii="宋体" w:hAnsi="宋体"/>
                <w:szCs w:val="24"/>
              </w:rPr>
            </w:pPr>
            <w:r>
              <w:rPr>
                <w:rFonts w:ascii="宋体" w:hAnsi="宋体" w:hint="eastAsia"/>
                <w:szCs w:val="24"/>
              </w:rPr>
              <w:t>投资者在非交易日提交赎回申请的，下一个交易日为赎回日。</w:t>
            </w:r>
          </w:p>
          <w:p w:rsidR="0089610B" w:rsidRDefault="00A93C12">
            <w:pPr>
              <w:snapToGrid w:val="0"/>
              <w:rPr>
                <w:rFonts w:ascii="宋体" w:hAnsi="宋体"/>
                <w:szCs w:val="24"/>
              </w:rPr>
            </w:pPr>
            <w:r>
              <w:rPr>
                <w:rFonts w:ascii="宋体" w:hAnsi="宋体" w:hint="eastAsia"/>
                <w:szCs w:val="24"/>
              </w:rPr>
              <w:t>（</w:t>
            </w:r>
            <w:r>
              <w:rPr>
                <w:rFonts w:ascii="宋体" w:hAnsi="宋体"/>
                <w:szCs w:val="24"/>
              </w:rPr>
              <w:t>2</w:t>
            </w:r>
            <w:r>
              <w:rPr>
                <w:rFonts w:ascii="宋体" w:hAnsi="宋体" w:hint="eastAsia"/>
                <w:szCs w:val="24"/>
              </w:rPr>
              <w:t>）赎回的确认</w:t>
            </w:r>
          </w:p>
          <w:p w:rsidR="0089610B" w:rsidRDefault="00A93C12">
            <w:pPr>
              <w:snapToGrid w:val="0"/>
              <w:rPr>
                <w:rFonts w:ascii="宋体" w:hAnsi="宋体"/>
                <w:szCs w:val="24"/>
              </w:rPr>
            </w:pPr>
            <w:r>
              <w:rPr>
                <w:rFonts w:ascii="宋体" w:hAnsi="宋体" w:hint="eastAsia"/>
                <w:szCs w:val="24"/>
              </w:rPr>
              <w:t>赎回日后的【</w:t>
            </w:r>
            <w:r>
              <w:rPr>
                <w:rFonts w:ascii="宋体" w:hAnsi="宋体" w:hint="eastAsia"/>
                <w:szCs w:val="24"/>
              </w:rPr>
              <w:t>1</w:t>
            </w:r>
            <w:r>
              <w:rPr>
                <w:rFonts w:ascii="宋体" w:hAnsi="宋体" w:hint="eastAsia"/>
                <w:szCs w:val="24"/>
              </w:rPr>
              <w:t>】个交易日内为赎回确认日。</w:t>
            </w:r>
          </w:p>
          <w:p w:rsidR="0089610B" w:rsidRDefault="00A93C12">
            <w:pPr>
              <w:snapToGrid w:val="0"/>
              <w:rPr>
                <w:rFonts w:ascii="宋体" w:hAnsi="宋体"/>
                <w:szCs w:val="24"/>
              </w:rPr>
            </w:pPr>
            <w:r>
              <w:rPr>
                <w:rFonts w:ascii="宋体" w:hAnsi="宋体"/>
                <w:szCs w:val="24"/>
              </w:rPr>
              <w:t>5.</w:t>
            </w:r>
            <w:r>
              <w:rPr>
                <w:rFonts w:ascii="宋体" w:hAnsi="宋体" w:hint="eastAsia"/>
                <w:szCs w:val="24"/>
              </w:rPr>
              <w:t>赎回款项于赎回日后【</w:t>
            </w:r>
            <w:r>
              <w:rPr>
                <w:rFonts w:ascii="宋体" w:hAnsi="宋体" w:hint="eastAsia"/>
                <w:szCs w:val="24"/>
              </w:rPr>
              <w:t>5</w:t>
            </w:r>
            <w:r>
              <w:rPr>
                <w:rFonts w:ascii="宋体" w:hAnsi="宋体" w:hint="eastAsia"/>
                <w:szCs w:val="24"/>
              </w:rPr>
              <w:t>】个交易日内支付给投资者。</w:t>
            </w:r>
          </w:p>
          <w:p w:rsidR="0089610B" w:rsidRDefault="00A93C12">
            <w:pPr>
              <w:snapToGrid w:val="0"/>
              <w:rPr>
                <w:rFonts w:ascii="宋体" w:hAnsi="宋体"/>
                <w:szCs w:val="24"/>
              </w:rPr>
            </w:pPr>
            <w:r>
              <w:rPr>
                <w:rFonts w:ascii="宋体" w:hAnsi="宋体" w:hint="eastAsia"/>
                <w:szCs w:val="24"/>
              </w:rPr>
              <w:t>★注：关于销售机构的实际工作服务时段的提示</w:t>
            </w:r>
          </w:p>
          <w:p w:rsidR="0089610B" w:rsidRDefault="00A93C12">
            <w:pPr>
              <w:snapToGrid w:val="0"/>
              <w:rPr>
                <w:rFonts w:ascii="宋体" w:hAnsi="宋体"/>
                <w:szCs w:val="24"/>
              </w:rPr>
            </w:pPr>
            <w:r>
              <w:rPr>
                <w:rFonts w:ascii="宋体" w:hAnsi="宋体" w:hint="eastAsia"/>
                <w:szCs w:val="24"/>
              </w:rPr>
              <w:t>①为本产品办理相关交易的实际工作服务时段，因销售机构的不同可能存在差异（可能晚于销售文件约定的起始时点开始或早于销售文件约定的终止时点结束），投资者应当以销售机</w:t>
            </w:r>
          </w:p>
          <w:p w:rsidR="0089610B" w:rsidRDefault="00A93C12">
            <w:pPr>
              <w:snapToGrid w:val="0"/>
              <w:rPr>
                <w:rFonts w:ascii="宋体" w:hAnsi="宋体"/>
                <w:szCs w:val="24"/>
              </w:rPr>
            </w:pPr>
            <w:r>
              <w:rPr>
                <w:rFonts w:ascii="宋体" w:hAnsi="宋体" w:hint="eastAsia"/>
                <w:szCs w:val="24"/>
              </w:rPr>
              <w:t>构的展示为准。</w:t>
            </w:r>
          </w:p>
          <w:p w:rsidR="0089610B" w:rsidRDefault="00A93C12">
            <w:pPr>
              <w:snapToGrid w:val="0"/>
              <w:rPr>
                <w:rFonts w:ascii="宋体" w:hAnsi="宋体"/>
                <w:szCs w:val="24"/>
              </w:rPr>
            </w:pPr>
            <w:r>
              <w:rPr>
                <w:rFonts w:ascii="宋体" w:hAnsi="宋体" w:hint="eastAsia"/>
                <w:szCs w:val="24"/>
              </w:rPr>
              <w:t>②销售机构的实际工作服务时段，最早不得早于销售文件约定的起始时点、最晚不得晚于销售文件约定的终止时点。</w:t>
            </w:r>
          </w:p>
        </w:tc>
      </w:tr>
      <w:tr w:rsidR="0089610B">
        <w:trPr>
          <w:trHeight w:val="667"/>
          <w:jc w:val="center"/>
        </w:trPr>
        <w:tc>
          <w:tcPr>
            <w:tcW w:w="2411" w:type="dxa"/>
            <w:vAlign w:val="center"/>
          </w:tcPr>
          <w:p w:rsidR="0089610B" w:rsidRDefault="00A93C12">
            <w:pPr>
              <w:snapToGrid w:val="0"/>
              <w:ind w:leftChars="-74" w:left="-163" w:hanging="15"/>
              <w:jc w:val="center"/>
              <w:rPr>
                <w:rFonts w:asciiTheme="minorEastAsia" w:hAnsiTheme="minorEastAsia"/>
                <w:kern w:val="0"/>
                <w:szCs w:val="24"/>
              </w:rPr>
            </w:pPr>
            <w:r>
              <w:rPr>
                <w:rFonts w:asciiTheme="minorEastAsia" w:hAnsiTheme="minorEastAsia" w:hint="eastAsia"/>
                <w:kern w:val="0"/>
                <w:szCs w:val="24"/>
              </w:rPr>
              <w:t>撤销规则</w:t>
            </w:r>
          </w:p>
        </w:tc>
        <w:tc>
          <w:tcPr>
            <w:tcW w:w="6804" w:type="dxa"/>
            <w:gridSpan w:val="4"/>
            <w:vAlign w:val="center"/>
          </w:tcPr>
          <w:p w:rsidR="0089610B" w:rsidRDefault="00A93C12">
            <w:pPr>
              <w:snapToGrid w:val="0"/>
              <w:jc w:val="left"/>
              <w:rPr>
                <w:rFonts w:asciiTheme="minorEastAsia" w:hAnsiTheme="minorEastAsia"/>
                <w:szCs w:val="24"/>
              </w:rPr>
            </w:pPr>
            <w:r>
              <w:rPr>
                <w:rFonts w:asciiTheme="minorEastAsia" w:hAnsiTheme="minorEastAsia" w:hint="eastAsia"/>
                <w:szCs w:val="24"/>
              </w:rPr>
              <w:t>1.</w:t>
            </w:r>
            <w:r>
              <w:rPr>
                <w:rFonts w:asciiTheme="minorEastAsia" w:hAnsiTheme="minorEastAsia" w:hint="eastAsia"/>
                <w:szCs w:val="24"/>
              </w:rPr>
              <w:t>投资者可在本理财产品募集期结束前撤销已成功提交的产品认购申请；</w:t>
            </w:r>
          </w:p>
          <w:p w:rsidR="0089610B" w:rsidRDefault="00A93C12">
            <w:pPr>
              <w:snapToGrid w:val="0"/>
              <w:jc w:val="left"/>
              <w:rPr>
                <w:rFonts w:asciiTheme="minorEastAsia" w:hAnsiTheme="minorEastAsia"/>
                <w:szCs w:val="24"/>
              </w:rPr>
            </w:pPr>
            <w:r>
              <w:rPr>
                <w:rFonts w:asciiTheme="minorEastAsia" w:hAnsiTheme="minorEastAsia" w:hint="eastAsia"/>
                <w:szCs w:val="24"/>
              </w:rPr>
              <w:t>2.</w:t>
            </w:r>
            <w:r>
              <w:rPr>
                <w:rFonts w:asciiTheme="minorEastAsia" w:hAnsiTheme="minorEastAsia" w:hint="eastAsia"/>
                <w:szCs w:val="24"/>
              </w:rPr>
              <w:t>投资者可</w:t>
            </w:r>
            <w:r>
              <w:rPr>
                <w:rFonts w:asciiTheme="minorEastAsia" w:hAnsiTheme="minorEastAsia" w:hint="eastAsia"/>
                <w:b/>
                <w:szCs w:val="24"/>
              </w:rPr>
              <w:t>在任一开放日</w:t>
            </w:r>
            <w:r>
              <w:rPr>
                <w:rFonts w:asciiTheme="minorEastAsia" w:hAnsiTheme="minorEastAsia" w:hint="eastAsia"/>
                <w:b/>
                <w:szCs w:val="24"/>
              </w:rPr>
              <w:t>15:00</w:t>
            </w:r>
            <w:r>
              <w:rPr>
                <w:rFonts w:asciiTheme="minorEastAsia" w:hAnsiTheme="minorEastAsia" w:hint="eastAsia"/>
                <w:b/>
                <w:szCs w:val="24"/>
              </w:rPr>
              <w:t>前（含）撤销已成功提交的理财产品申购、赎回申请，</w:t>
            </w:r>
            <w:r>
              <w:rPr>
                <w:rFonts w:asciiTheme="minorEastAsia" w:hAnsiTheme="minorEastAsia" w:hint="eastAsia"/>
                <w:b/>
                <w:szCs w:val="24"/>
              </w:rPr>
              <w:t>15:00</w:t>
            </w:r>
            <w:r>
              <w:rPr>
                <w:rFonts w:asciiTheme="minorEastAsia" w:hAnsiTheme="minorEastAsia" w:hint="eastAsia"/>
                <w:b/>
                <w:szCs w:val="24"/>
              </w:rPr>
              <w:t>后不可撤销</w:t>
            </w:r>
            <w:r>
              <w:rPr>
                <w:rFonts w:asciiTheme="minorEastAsia" w:hAnsiTheme="minorEastAsia" w:hint="eastAsia"/>
                <w:szCs w:val="24"/>
              </w:rPr>
              <w:t>；</w:t>
            </w:r>
          </w:p>
          <w:p w:rsidR="0089610B" w:rsidRDefault="00A93C12">
            <w:pPr>
              <w:snapToGrid w:val="0"/>
              <w:jc w:val="left"/>
              <w:rPr>
                <w:rFonts w:asciiTheme="minorEastAsia" w:hAnsiTheme="minorEastAsia"/>
                <w:kern w:val="0"/>
                <w:szCs w:val="24"/>
              </w:rPr>
            </w:pPr>
            <w:r>
              <w:rPr>
                <w:rFonts w:asciiTheme="minorEastAsia" w:hAnsiTheme="minorEastAsia" w:hint="eastAsia"/>
                <w:szCs w:val="24"/>
              </w:rPr>
              <w:t>3.</w:t>
            </w:r>
            <w:r>
              <w:rPr>
                <w:rFonts w:hint="eastAsia"/>
                <w:b/>
                <w:szCs w:val="24"/>
              </w:rPr>
              <w:t>销售机构实际受理撤销申请时间可能与说明书不一致，具体以销售机构展示为准。</w:t>
            </w:r>
          </w:p>
        </w:tc>
      </w:tr>
      <w:tr w:rsidR="0089610B">
        <w:trPr>
          <w:trHeight w:val="667"/>
          <w:jc w:val="center"/>
        </w:trPr>
        <w:tc>
          <w:tcPr>
            <w:tcW w:w="2411" w:type="dxa"/>
            <w:vAlign w:val="center"/>
          </w:tcPr>
          <w:p w:rsidR="0089610B" w:rsidRDefault="00A93C12">
            <w:pPr>
              <w:snapToGrid w:val="0"/>
              <w:ind w:leftChars="-74" w:left="-163" w:hanging="15"/>
              <w:jc w:val="center"/>
              <w:rPr>
                <w:rFonts w:ascii="宋体" w:hAnsi="宋体"/>
                <w:bCs/>
                <w:szCs w:val="24"/>
              </w:rPr>
            </w:pPr>
            <w:r>
              <w:rPr>
                <w:rFonts w:ascii="宋体" w:hAnsi="宋体" w:hint="eastAsia"/>
                <w:szCs w:val="24"/>
              </w:rPr>
              <w:t>认购、申购起点金额及递增</w:t>
            </w:r>
            <w:r>
              <w:rPr>
                <w:rFonts w:ascii="宋体" w:hAnsi="宋体"/>
                <w:szCs w:val="24"/>
              </w:rPr>
              <w:t>金额</w:t>
            </w:r>
          </w:p>
        </w:tc>
        <w:tc>
          <w:tcPr>
            <w:tcW w:w="6804" w:type="dxa"/>
            <w:gridSpan w:val="4"/>
            <w:vAlign w:val="center"/>
          </w:tcPr>
          <w:p w:rsidR="0089610B" w:rsidRDefault="00A93C12">
            <w:pPr>
              <w:snapToGrid w:val="0"/>
              <w:rPr>
                <w:rFonts w:ascii="宋体" w:hAnsi="宋体"/>
                <w:szCs w:val="24"/>
              </w:rPr>
            </w:pPr>
            <w:r>
              <w:rPr>
                <w:rFonts w:ascii="宋体" w:hAnsi="宋体" w:hint="eastAsia"/>
                <w:szCs w:val="24"/>
              </w:rPr>
              <w:t>【</w:t>
            </w:r>
            <w:r>
              <w:rPr>
                <w:rFonts w:ascii="宋体" w:hAnsi="宋体" w:hint="eastAsia"/>
                <w:szCs w:val="24"/>
              </w:rPr>
              <w:t>A</w:t>
            </w:r>
            <w:r>
              <w:rPr>
                <w:rFonts w:ascii="宋体" w:hAnsi="宋体" w:hint="eastAsia"/>
                <w:szCs w:val="24"/>
              </w:rPr>
              <w:t>份额】：认购起点为【</w:t>
            </w:r>
            <w:r>
              <w:rPr>
                <w:rFonts w:ascii="宋体" w:hAnsi="宋体"/>
                <w:szCs w:val="24"/>
              </w:rPr>
              <w:t>1</w:t>
            </w:r>
            <w:r>
              <w:rPr>
                <w:rFonts w:ascii="宋体" w:hAnsi="宋体" w:hint="eastAsia"/>
                <w:szCs w:val="24"/>
              </w:rPr>
              <w:t>】元，超过部分以【</w:t>
            </w:r>
            <w:r>
              <w:rPr>
                <w:rFonts w:ascii="宋体" w:hAnsi="宋体"/>
                <w:szCs w:val="24"/>
              </w:rPr>
              <w:t>1</w:t>
            </w:r>
            <w:r>
              <w:rPr>
                <w:rFonts w:ascii="宋体" w:hAnsi="宋体" w:hint="eastAsia"/>
                <w:szCs w:val="24"/>
              </w:rPr>
              <w:t>】元的整数倍增加。</w:t>
            </w:r>
          </w:p>
          <w:p w:rsidR="0089610B" w:rsidRDefault="00A93C12">
            <w:pPr>
              <w:snapToGrid w:val="0"/>
              <w:rPr>
                <w:rFonts w:ascii="宋体" w:hAnsi="宋体"/>
                <w:szCs w:val="24"/>
              </w:rPr>
            </w:pPr>
            <w:r>
              <w:rPr>
                <w:rFonts w:ascii="宋体" w:hAnsi="宋体" w:hint="eastAsia"/>
                <w:szCs w:val="24"/>
              </w:rPr>
              <w:t>【</w:t>
            </w:r>
            <w:r>
              <w:rPr>
                <w:rFonts w:ascii="宋体" w:hAnsi="宋体" w:hint="eastAsia"/>
                <w:szCs w:val="24"/>
              </w:rPr>
              <w:t>B</w:t>
            </w:r>
            <w:r>
              <w:rPr>
                <w:rFonts w:ascii="宋体" w:hAnsi="宋体" w:hint="eastAsia"/>
                <w:szCs w:val="24"/>
              </w:rPr>
              <w:t>份额】：认购起点为【</w:t>
            </w:r>
            <w:r>
              <w:rPr>
                <w:rFonts w:ascii="宋体" w:hAnsi="宋体"/>
                <w:szCs w:val="24"/>
              </w:rPr>
              <w:t>1</w:t>
            </w:r>
            <w:r>
              <w:rPr>
                <w:rFonts w:ascii="宋体" w:hAnsi="宋体" w:hint="eastAsia"/>
                <w:szCs w:val="24"/>
              </w:rPr>
              <w:t>】元，超过部分以【</w:t>
            </w:r>
            <w:r>
              <w:rPr>
                <w:rFonts w:ascii="宋体" w:hAnsi="宋体"/>
                <w:szCs w:val="24"/>
              </w:rPr>
              <w:t>1</w:t>
            </w:r>
            <w:r>
              <w:rPr>
                <w:rFonts w:ascii="宋体" w:hAnsi="宋体" w:hint="eastAsia"/>
                <w:szCs w:val="24"/>
              </w:rPr>
              <w:t>】元的整数倍增加。</w:t>
            </w:r>
          </w:p>
          <w:p w:rsidR="0089610B" w:rsidRDefault="00A93C12">
            <w:pPr>
              <w:snapToGrid w:val="0"/>
              <w:rPr>
                <w:rFonts w:ascii="宋体" w:hAnsi="宋体"/>
                <w:bCs/>
                <w:szCs w:val="24"/>
              </w:rPr>
            </w:pPr>
            <w:r>
              <w:rPr>
                <w:rFonts w:ascii="宋体" w:hAnsi="宋体" w:hint="eastAsia"/>
                <w:b/>
                <w:szCs w:val="24"/>
              </w:rPr>
              <w:t>管理人有权以公告形式调整投资者认购、申购起点金额。销售机构的认购、申购起点金额可能</w:t>
            </w:r>
            <w:r>
              <w:rPr>
                <w:rFonts w:ascii="宋体" w:hAnsi="宋体"/>
                <w:b/>
                <w:szCs w:val="24"/>
              </w:rPr>
              <w:t>与本</w:t>
            </w:r>
            <w:r>
              <w:rPr>
                <w:rFonts w:ascii="宋体" w:hAnsi="宋体" w:hint="eastAsia"/>
                <w:b/>
                <w:szCs w:val="24"/>
              </w:rPr>
              <w:t>产品</w:t>
            </w:r>
            <w:r>
              <w:rPr>
                <w:rFonts w:ascii="宋体" w:hAnsi="宋体"/>
                <w:b/>
                <w:szCs w:val="24"/>
              </w:rPr>
              <w:t>说明书</w:t>
            </w:r>
            <w:r>
              <w:rPr>
                <w:rFonts w:ascii="宋体" w:hAnsi="宋体" w:hint="eastAsia"/>
                <w:b/>
                <w:szCs w:val="24"/>
              </w:rPr>
              <w:t>不一致</w:t>
            </w:r>
            <w:r>
              <w:rPr>
                <w:rFonts w:ascii="宋体" w:hAnsi="宋体"/>
                <w:b/>
                <w:szCs w:val="24"/>
              </w:rPr>
              <w:t>，</w:t>
            </w:r>
            <w:r>
              <w:rPr>
                <w:rFonts w:ascii="宋体" w:hAnsi="宋体" w:hint="eastAsia"/>
                <w:b/>
                <w:szCs w:val="24"/>
              </w:rPr>
              <w:t>通过销售机构认购、申购</w:t>
            </w:r>
            <w:r>
              <w:rPr>
                <w:rFonts w:ascii="宋体" w:hAnsi="宋体"/>
                <w:b/>
                <w:szCs w:val="24"/>
              </w:rPr>
              <w:t>的</w:t>
            </w:r>
            <w:r>
              <w:rPr>
                <w:rFonts w:ascii="宋体" w:hAnsi="宋体" w:hint="eastAsia"/>
                <w:b/>
                <w:szCs w:val="24"/>
              </w:rPr>
              <w:t>具体以销售机构展示为准。销售机构的实际销售起点金额，不得低于本产品说明书约定的销售起点金额。</w:t>
            </w:r>
          </w:p>
        </w:tc>
      </w:tr>
      <w:tr w:rsidR="0089610B">
        <w:trPr>
          <w:trHeight w:val="667"/>
          <w:jc w:val="center"/>
        </w:trPr>
        <w:tc>
          <w:tcPr>
            <w:tcW w:w="2411" w:type="dxa"/>
            <w:vAlign w:val="center"/>
          </w:tcPr>
          <w:p w:rsidR="0089610B" w:rsidRDefault="00A93C12">
            <w:pPr>
              <w:snapToGrid w:val="0"/>
              <w:ind w:leftChars="-74" w:left="-163" w:hanging="15"/>
              <w:jc w:val="center"/>
              <w:rPr>
                <w:rFonts w:asciiTheme="minorEastAsia" w:hAnsiTheme="minorEastAsia"/>
                <w:kern w:val="0"/>
                <w:szCs w:val="24"/>
              </w:rPr>
            </w:pPr>
            <w:r>
              <w:rPr>
                <w:rFonts w:ascii="宋体" w:hAnsi="宋体" w:hint="eastAsia"/>
                <w:bCs/>
                <w:szCs w:val="24"/>
              </w:rPr>
              <w:t>认</w:t>
            </w:r>
            <w:r>
              <w:rPr>
                <w:rFonts w:ascii="宋体" w:hAnsi="宋体" w:hint="eastAsia"/>
                <w:bCs/>
                <w:szCs w:val="24"/>
              </w:rPr>
              <w:t>/</w:t>
            </w:r>
            <w:r>
              <w:rPr>
                <w:rFonts w:ascii="宋体" w:hAnsi="宋体" w:hint="eastAsia"/>
                <w:bCs/>
                <w:szCs w:val="24"/>
              </w:rPr>
              <w:t>申购数量</w:t>
            </w:r>
            <w:r>
              <w:rPr>
                <w:rFonts w:ascii="宋体" w:hAnsi="宋体"/>
                <w:bCs/>
                <w:szCs w:val="24"/>
              </w:rPr>
              <w:t>限制</w:t>
            </w:r>
          </w:p>
        </w:tc>
        <w:tc>
          <w:tcPr>
            <w:tcW w:w="6804" w:type="dxa"/>
            <w:gridSpan w:val="4"/>
            <w:vAlign w:val="center"/>
          </w:tcPr>
          <w:p w:rsidR="0089610B" w:rsidRDefault="00A93C12">
            <w:pPr>
              <w:widowControl/>
              <w:numPr>
                <w:ilvl w:val="0"/>
                <w:numId w:val="2"/>
              </w:numPr>
              <w:jc w:val="left"/>
              <w:rPr>
                <w:rFonts w:ascii="宋体" w:hAnsi="宋体"/>
                <w:bCs/>
                <w:szCs w:val="24"/>
              </w:rPr>
            </w:pPr>
            <w:r>
              <w:rPr>
                <w:rFonts w:ascii="宋体" w:hAnsi="宋体" w:hint="eastAsia"/>
                <w:bCs/>
                <w:szCs w:val="24"/>
              </w:rPr>
              <w:t>【</w:t>
            </w:r>
            <w:r>
              <w:rPr>
                <w:rFonts w:ascii="宋体" w:hAnsi="宋体"/>
                <w:bCs/>
                <w:szCs w:val="24"/>
              </w:rPr>
              <w:t>A</w:t>
            </w:r>
            <w:r>
              <w:rPr>
                <w:rFonts w:ascii="宋体" w:hAnsi="宋体" w:hint="eastAsia"/>
                <w:bCs/>
                <w:szCs w:val="24"/>
              </w:rPr>
              <w:t>份额】：单一投资者认购上限为【</w:t>
            </w:r>
            <w:r>
              <w:rPr>
                <w:rFonts w:ascii="宋体" w:hAnsi="宋体" w:hint="eastAsia"/>
                <w:bCs/>
                <w:szCs w:val="24"/>
              </w:rPr>
              <w:t>10000</w:t>
            </w:r>
            <w:r>
              <w:rPr>
                <w:rFonts w:ascii="宋体" w:hAnsi="宋体" w:hint="eastAsia"/>
                <w:bCs/>
                <w:szCs w:val="24"/>
              </w:rPr>
              <w:t>】万元；单一投资者申购上限为【</w:t>
            </w:r>
            <w:r>
              <w:rPr>
                <w:rFonts w:ascii="宋体" w:hAnsi="宋体" w:hint="eastAsia"/>
                <w:bCs/>
                <w:szCs w:val="24"/>
              </w:rPr>
              <w:t>10000</w:t>
            </w:r>
            <w:r>
              <w:rPr>
                <w:rFonts w:ascii="宋体" w:hAnsi="宋体" w:hint="eastAsia"/>
                <w:bCs/>
                <w:szCs w:val="24"/>
              </w:rPr>
              <w:t>】万元。</w:t>
            </w:r>
          </w:p>
          <w:p w:rsidR="0089610B" w:rsidRDefault="00A93C12">
            <w:pPr>
              <w:widowControl/>
              <w:tabs>
                <w:tab w:val="left" w:pos="312"/>
              </w:tabs>
              <w:jc w:val="left"/>
              <w:rPr>
                <w:rFonts w:ascii="宋体" w:hAnsi="宋体"/>
                <w:bCs/>
                <w:szCs w:val="24"/>
              </w:rPr>
            </w:pPr>
            <w:r>
              <w:rPr>
                <w:rFonts w:ascii="宋体" w:hAnsi="宋体" w:hint="eastAsia"/>
                <w:bCs/>
                <w:szCs w:val="24"/>
              </w:rPr>
              <w:t>1</w:t>
            </w:r>
            <w:r>
              <w:rPr>
                <w:rFonts w:ascii="宋体" w:hAnsi="宋体"/>
                <w:bCs/>
                <w:szCs w:val="24"/>
              </w:rPr>
              <w:t>.</w:t>
            </w:r>
            <w:r>
              <w:rPr>
                <w:rFonts w:ascii="宋体" w:hAnsi="宋体" w:hint="eastAsia"/>
                <w:bCs/>
                <w:szCs w:val="24"/>
              </w:rPr>
              <w:t>【</w:t>
            </w:r>
            <w:r>
              <w:rPr>
                <w:rFonts w:ascii="宋体" w:hAnsi="宋体" w:hint="eastAsia"/>
                <w:bCs/>
                <w:szCs w:val="24"/>
              </w:rPr>
              <w:t>B</w:t>
            </w:r>
            <w:r>
              <w:rPr>
                <w:rFonts w:ascii="宋体" w:hAnsi="宋体" w:hint="eastAsia"/>
                <w:bCs/>
                <w:szCs w:val="24"/>
              </w:rPr>
              <w:t>份额】：单一投资者认购上限为【</w:t>
            </w:r>
            <w:r>
              <w:rPr>
                <w:rFonts w:ascii="宋体" w:hAnsi="宋体" w:hint="eastAsia"/>
                <w:bCs/>
                <w:szCs w:val="24"/>
              </w:rPr>
              <w:t>10000</w:t>
            </w:r>
            <w:r>
              <w:rPr>
                <w:rFonts w:ascii="宋体" w:hAnsi="宋体" w:hint="eastAsia"/>
                <w:bCs/>
                <w:szCs w:val="24"/>
              </w:rPr>
              <w:t>】万元；单一投资者申购上限为【</w:t>
            </w:r>
            <w:r>
              <w:rPr>
                <w:rFonts w:ascii="宋体" w:hAnsi="宋体" w:hint="eastAsia"/>
                <w:bCs/>
                <w:szCs w:val="24"/>
              </w:rPr>
              <w:t>10000</w:t>
            </w:r>
            <w:r>
              <w:rPr>
                <w:rFonts w:ascii="宋体" w:hAnsi="宋体" w:hint="eastAsia"/>
                <w:bCs/>
                <w:szCs w:val="24"/>
              </w:rPr>
              <w:t>】万元。</w:t>
            </w:r>
          </w:p>
          <w:p w:rsidR="0089610B" w:rsidRDefault="00A93C12">
            <w:pPr>
              <w:snapToGrid w:val="0"/>
              <w:jc w:val="left"/>
              <w:rPr>
                <w:rFonts w:ascii="宋体" w:hAnsi="宋体"/>
                <w:bCs/>
                <w:szCs w:val="24"/>
              </w:rPr>
            </w:pPr>
            <w:r>
              <w:rPr>
                <w:rFonts w:ascii="宋体" w:hAnsi="宋体"/>
                <w:bCs/>
                <w:szCs w:val="24"/>
              </w:rPr>
              <w:t>2.</w:t>
            </w:r>
            <w:r>
              <w:rPr>
                <w:rFonts w:ascii="宋体" w:hAnsi="宋体" w:hint="eastAsia"/>
                <w:bCs/>
                <w:szCs w:val="24"/>
              </w:rPr>
              <w:t>如果</w:t>
            </w:r>
            <w:r>
              <w:rPr>
                <w:rFonts w:ascii="宋体" w:hAnsi="宋体"/>
                <w:bCs/>
                <w:szCs w:val="24"/>
              </w:rPr>
              <w:t>单一投资者</w:t>
            </w:r>
            <w:r>
              <w:rPr>
                <w:rFonts w:ascii="宋体" w:hAnsi="宋体" w:hint="eastAsia"/>
                <w:bCs/>
                <w:szCs w:val="24"/>
              </w:rPr>
              <w:t>认购或申购申请确认后将导致其持有份额超过产品总份额</w:t>
            </w:r>
            <w:r>
              <w:rPr>
                <w:rFonts w:ascii="宋体" w:hAnsi="宋体"/>
                <w:bCs/>
                <w:szCs w:val="24"/>
              </w:rPr>
              <w:t>50%</w:t>
            </w:r>
            <w:r>
              <w:rPr>
                <w:rFonts w:ascii="宋体" w:hAnsi="宋体" w:hint="eastAsia"/>
                <w:bCs/>
                <w:szCs w:val="24"/>
              </w:rPr>
              <w:t>的</w:t>
            </w:r>
            <w:r>
              <w:rPr>
                <w:rFonts w:ascii="宋体" w:hAnsi="宋体"/>
                <w:bCs/>
                <w:szCs w:val="24"/>
              </w:rPr>
              <w:t>，管理人有权拒绝或暂停</w:t>
            </w:r>
            <w:r>
              <w:rPr>
                <w:rFonts w:ascii="宋体" w:hAnsi="宋体" w:hint="eastAsia"/>
                <w:bCs/>
                <w:szCs w:val="24"/>
              </w:rPr>
              <w:t>接受超出部分的</w:t>
            </w:r>
            <w:r>
              <w:rPr>
                <w:rFonts w:ascii="宋体" w:hAnsi="宋体"/>
                <w:bCs/>
                <w:szCs w:val="24"/>
              </w:rPr>
              <w:t>认购、申购</w:t>
            </w:r>
            <w:r>
              <w:rPr>
                <w:rFonts w:ascii="宋体" w:hAnsi="宋体" w:hint="eastAsia"/>
                <w:bCs/>
                <w:szCs w:val="24"/>
              </w:rPr>
              <w:t>申请</w:t>
            </w:r>
            <w:r>
              <w:rPr>
                <w:rFonts w:ascii="宋体" w:hAnsi="宋体"/>
                <w:bCs/>
                <w:szCs w:val="24"/>
              </w:rPr>
              <w:t>。非因管理人主观因素导致突破该比例限制的，在单一投资者持有比例降至</w:t>
            </w:r>
            <w:r>
              <w:rPr>
                <w:rFonts w:ascii="宋体" w:hAnsi="宋体"/>
                <w:bCs/>
                <w:szCs w:val="24"/>
              </w:rPr>
              <w:t>50%</w:t>
            </w:r>
            <w:r>
              <w:rPr>
                <w:rFonts w:ascii="宋体" w:hAnsi="宋体"/>
                <w:bCs/>
                <w:szCs w:val="24"/>
              </w:rPr>
              <w:t>以下之前，管理人不再接受该投资者对本产品的认购</w:t>
            </w:r>
            <w:r>
              <w:rPr>
                <w:rFonts w:ascii="宋体" w:hAnsi="宋体" w:hint="eastAsia"/>
                <w:bCs/>
                <w:szCs w:val="24"/>
              </w:rPr>
              <w:t>、申购申请。投资者持有份额的计算以管理人登记为准。</w:t>
            </w:r>
          </w:p>
          <w:p w:rsidR="0089610B" w:rsidRDefault="00A93C12">
            <w:pPr>
              <w:widowControl/>
              <w:tabs>
                <w:tab w:val="left" w:pos="312"/>
              </w:tabs>
              <w:jc w:val="left"/>
              <w:rPr>
                <w:rFonts w:ascii="宋体" w:hAnsi="宋体"/>
                <w:bCs/>
                <w:szCs w:val="24"/>
              </w:rPr>
            </w:pPr>
            <w:r>
              <w:rPr>
                <w:rFonts w:ascii="宋体" w:hAnsi="宋体"/>
                <w:bCs/>
                <w:szCs w:val="24"/>
              </w:rPr>
              <w:t>3</w:t>
            </w:r>
            <w:r>
              <w:rPr>
                <w:rFonts w:ascii="宋体" w:hAnsi="宋体" w:hint="eastAsia"/>
                <w:bCs/>
                <w:szCs w:val="24"/>
              </w:rPr>
              <w:t>.</w:t>
            </w:r>
            <w:r>
              <w:rPr>
                <w:rFonts w:ascii="宋体" w:hAnsi="宋体" w:hint="eastAsia"/>
                <w:bCs/>
                <w:szCs w:val="24"/>
              </w:rPr>
              <w:t>如投资者认（申）购超过上述限额，管理人有权不接受或确认失败。管理人有权以公告形式调整投资者累计认</w:t>
            </w:r>
            <w:r>
              <w:rPr>
                <w:rFonts w:ascii="宋体" w:hAnsi="宋体"/>
                <w:bCs/>
                <w:szCs w:val="24"/>
              </w:rPr>
              <w:t>/</w:t>
            </w:r>
            <w:r>
              <w:rPr>
                <w:rFonts w:ascii="宋体" w:hAnsi="宋体" w:hint="eastAsia"/>
                <w:bCs/>
                <w:szCs w:val="24"/>
              </w:rPr>
              <w:t>申购上限。</w:t>
            </w:r>
          </w:p>
        </w:tc>
      </w:tr>
      <w:tr w:rsidR="0089610B">
        <w:trPr>
          <w:trHeight w:val="667"/>
          <w:jc w:val="center"/>
        </w:trPr>
        <w:tc>
          <w:tcPr>
            <w:tcW w:w="2411" w:type="dxa"/>
            <w:vAlign w:val="center"/>
          </w:tcPr>
          <w:p w:rsidR="0089610B" w:rsidRDefault="00A93C12">
            <w:pPr>
              <w:snapToGrid w:val="0"/>
              <w:ind w:leftChars="-74" w:left="-163" w:hanging="15"/>
              <w:jc w:val="center"/>
              <w:rPr>
                <w:rFonts w:ascii="宋体" w:hAnsi="宋体"/>
                <w:bCs/>
                <w:szCs w:val="24"/>
              </w:rPr>
            </w:pPr>
            <w:r>
              <w:rPr>
                <w:rFonts w:ascii="宋体" w:hAnsi="宋体" w:hint="eastAsia"/>
                <w:bCs/>
                <w:szCs w:val="24"/>
              </w:rPr>
              <w:t>赎回</w:t>
            </w:r>
            <w:r>
              <w:rPr>
                <w:rFonts w:ascii="宋体" w:hAnsi="宋体"/>
                <w:bCs/>
                <w:szCs w:val="24"/>
              </w:rPr>
              <w:t>数量限制</w:t>
            </w:r>
          </w:p>
        </w:tc>
        <w:tc>
          <w:tcPr>
            <w:tcW w:w="6804" w:type="dxa"/>
            <w:gridSpan w:val="4"/>
            <w:vAlign w:val="center"/>
          </w:tcPr>
          <w:p w:rsidR="0089610B" w:rsidRDefault="00A93C12">
            <w:pPr>
              <w:widowControl/>
              <w:jc w:val="left"/>
              <w:rPr>
                <w:rFonts w:ascii="宋体" w:hAnsi="宋体"/>
                <w:bCs/>
                <w:szCs w:val="24"/>
              </w:rPr>
            </w:pPr>
            <w:r>
              <w:rPr>
                <w:rFonts w:ascii="宋体" w:hAnsi="宋体" w:hint="eastAsia"/>
                <w:bCs/>
                <w:szCs w:val="24"/>
              </w:rPr>
              <w:t>1.</w:t>
            </w:r>
            <w:r>
              <w:rPr>
                <w:rFonts w:ascii="宋体" w:hAnsi="宋体" w:hint="eastAsia"/>
                <w:bCs/>
                <w:szCs w:val="24"/>
              </w:rPr>
              <w:t>【</w:t>
            </w:r>
            <w:r>
              <w:rPr>
                <w:rFonts w:ascii="宋体" w:hAnsi="宋体"/>
                <w:bCs/>
                <w:szCs w:val="24"/>
              </w:rPr>
              <w:t>A</w:t>
            </w:r>
            <w:r>
              <w:rPr>
                <w:rFonts w:ascii="宋体" w:hAnsi="宋体" w:hint="eastAsia"/>
                <w:bCs/>
                <w:szCs w:val="24"/>
              </w:rPr>
              <w:t>份额】：</w:t>
            </w:r>
            <w:r>
              <w:rPr>
                <w:rFonts w:ascii="宋体" w:hAnsi="宋体" w:hint="eastAsia"/>
                <w:szCs w:val="24"/>
              </w:rPr>
              <w:t>单笔最小赎回份额【</w:t>
            </w:r>
            <w:r>
              <w:rPr>
                <w:rFonts w:ascii="宋体" w:hAnsi="宋体" w:hint="eastAsia"/>
                <w:szCs w:val="24"/>
              </w:rPr>
              <w:t>0.01</w:t>
            </w:r>
            <w:r>
              <w:rPr>
                <w:rFonts w:ascii="宋体" w:hAnsi="宋体"/>
                <w:szCs w:val="24"/>
              </w:rPr>
              <w:t>】</w:t>
            </w:r>
            <w:r>
              <w:rPr>
                <w:rFonts w:ascii="宋体" w:hAnsi="宋体" w:hint="eastAsia"/>
                <w:szCs w:val="24"/>
              </w:rPr>
              <w:t>份</w:t>
            </w:r>
            <w:r>
              <w:rPr>
                <w:rFonts w:ascii="宋体" w:hAnsi="宋体" w:hint="eastAsia"/>
                <w:bCs/>
                <w:szCs w:val="24"/>
              </w:rPr>
              <w:t>。</w:t>
            </w:r>
          </w:p>
          <w:p w:rsidR="0089610B" w:rsidRDefault="00A93C12">
            <w:pPr>
              <w:widowControl/>
              <w:jc w:val="left"/>
              <w:rPr>
                <w:rFonts w:ascii="宋体" w:hAnsi="宋体"/>
                <w:bCs/>
                <w:szCs w:val="24"/>
              </w:rPr>
            </w:pPr>
            <w:r>
              <w:rPr>
                <w:rFonts w:ascii="宋体" w:hAnsi="宋体" w:hint="eastAsia"/>
                <w:bCs/>
                <w:szCs w:val="24"/>
              </w:rPr>
              <w:t>2.</w:t>
            </w:r>
            <w:r>
              <w:rPr>
                <w:rFonts w:ascii="宋体" w:hAnsi="宋体" w:hint="eastAsia"/>
                <w:bCs/>
                <w:szCs w:val="24"/>
              </w:rPr>
              <w:t>【</w:t>
            </w:r>
            <w:r>
              <w:rPr>
                <w:rFonts w:ascii="宋体" w:hAnsi="宋体" w:hint="eastAsia"/>
                <w:bCs/>
                <w:szCs w:val="24"/>
              </w:rPr>
              <w:t>B</w:t>
            </w:r>
            <w:r>
              <w:rPr>
                <w:rFonts w:ascii="宋体" w:hAnsi="宋体" w:hint="eastAsia"/>
                <w:bCs/>
                <w:szCs w:val="24"/>
              </w:rPr>
              <w:t>份额】：</w:t>
            </w:r>
            <w:r>
              <w:rPr>
                <w:rFonts w:ascii="宋体" w:hAnsi="宋体" w:hint="eastAsia"/>
                <w:szCs w:val="24"/>
              </w:rPr>
              <w:t>单笔最小赎回份额【</w:t>
            </w:r>
            <w:r>
              <w:rPr>
                <w:rFonts w:ascii="宋体" w:hAnsi="宋体" w:hint="eastAsia"/>
                <w:szCs w:val="24"/>
              </w:rPr>
              <w:t>0.01</w:t>
            </w:r>
            <w:r>
              <w:rPr>
                <w:rFonts w:ascii="宋体" w:hAnsi="宋体"/>
                <w:szCs w:val="24"/>
              </w:rPr>
              <w:t>】</w:t>
            </w:r>
            <w:r>
              <w:rPr>
                <w:rFonts w:ascii="宋体" w:hAnsi="宋体" w:hint="eastAsia"/>
                <w:szCs w:val="24"/>
              </w:rPr>
              <w:t>份</w:t>
            </w:r>
            <w:r>
              <w:rPr>
                <w:rFonts w:ascii="宋体" w:hAnsi="宋体" w:hint="eastAsia"/>
                <w:bCs/>
                <w:szCs w:val="24"/>
              </w:rPr>
              <w:t>。</w:t>
            </w:r>
          </w:p>
          <w:p w:rsidR="0089610B" w:rsidRDefault="00A93C12">
            <w:pPr>
              <w:widowControl/>
              <w:tabs>
                <w:tab w:val="left" w:pos="312"/>
              </w:tabs>
              <w:jc w:val="left"/>
              <w:rPr>
                <w:rFonts w:ascii="宋体" w:hAnsi="宋体"/>
                <w:bCs/>
                <w:szCs w:val="24"/>
              </w:rPr>
            </w:pPr>
            <w:r>
              <w:rPr>
                <w:rFonts w:ascii="宋体" w:hAnsi="宋体" w:hint="eastAsia"/>
                <w:bCs/>
                <w:szCs w:val="24"/>
              </w:rPr>
              <w:t>3</w:t>
            </w:r>
            <w:r>
              <w:rPr>
                <w:rFonts w:ascii="宋体" w:hAnsi="宋体"/>
                <w:bCs/>
                <w:szCs w:val="24"/>
              </w:rPr>
              <w:t>.</w:t>
            </w:r>
            <w:r>
              <w:rPr>
                <w:rFonts w:ascii="宋体" w:hAnsi="宋体" w:hint="eastAsia"/>
                <w:bCs/>
                <w:szCs w:val="24"/>
              </w:rPr>
              <w:t>投资者可全部或部分赎回其理财份额，但是部分赎回后单一投资者持有产品份额不得低于【</w:t>
            </w:r>
            <w:r>
              <w:rPr>
                <w:rFonts w:ascii="仿宋_GB2312" w:hAnsi="仿宋_GB2312" w:hint="eastAsia"/>
                <w:bCs/>
                <w:szCs w:val="24"/>
              </w:rPr>
              <w:t>/</w:t>
            </w:r>
            <w:r>
              <w:rPr>
                <w:rFonts w:ascii="宋体" w:hAnsi="宋体" w:hint="eastAsia"/>
                <w:bCs/>
                <w:szCs w:val="24"/>
              </w:rPr>
              <w:t>】份。受理财利益分配去尾规则的影响，投资者持有产品份额较低时可能无法取得利益。巨额赎回情景发生时，投资者的可赎回份额需要根据巨额赎回规则确定。</w:t>
            </w:r>
          </w:p>
          <w:p w:rsidR="0089610B" w:rsidRDefault="00A93C12">
            <w:pPr>
              <w:widowControl/>
              <w:tabs>
                <w:tab w:val="left" w:pos="312"/>
              </w:tabs>
              <w:jc w:val="left"/>
              <w:rPr>
                <w:rFonts w:ascii="宋体" w:hAnsi="宋体"/>
                <w:bCs/>
                <w:szCs w:val="24"/>
              </w:rPr>
            </w:pPr>
            <w:r>
              <w:rPr>
                <w:rFonts w:ascii="宋体" w:hAnsi="宋体" w:hint="eastAsia"/>
                <w:bCs/>
                <w:szCs w:val="24"/>
              </w:rPr>
              <w:t xml:space="preserve">4. </w:t>
            </w:r>
            <w:r>
              <w:rPr>
                <w:rFonts w:ascii="宋体" w:hAnsi="宋体" w:hint="eastAsia"/>
                <w:bCs/>
                <w:szCs w:val="24"/>
              </w:rPr>
              <w:t>管理人有权以公告形式设置或调整赎回上限。</w:t>
            </w:r>
          </w:p>
        </w:tc>
      </w:tr>
      <w:tr w:rsidR="0089610B">
        <w:trPr>
          <w:trHeight w:val="667"/>
          <w:jc w:val="center"/>
        </w:trPr>
        <w:tc>
          <w:tcPr>
            <w:tcW w:w="2411" w:type="dxa"/>
            <w:vAlign w:val="center"/>
          </w:tcPr>
          <w:p w:rsidR="0089610B" w:rsidRDefault="00A93C12">
            <w:pPr>
              <w:snapToGrid w:val="0"/>
              <w:ind w:leftChars="-74" w:left="-163" w:hanging="15"/>
              <w:jc w:val="center"/>
              <w:rPr>
                <w:rFonts w:asciiTheme="minorEastAsia" w:hAnsiTheme="minorEastAsia"/>
                <w:kern w:val="0"/>
                <w:szCs w:val="24"/>
              </w:rPr>
            </w:pPr>
            <w:r>
              <w:rPr>
                <w:rFonts w:asciiTheme="minorEastAsia" w:hAnsiTheme="minorEastAsia" w:hint="eastAsia"/>
                <w:kern w:val="0"/>
                <w:szCs w:val="24"/>
              </w:rPr>
              <w:t>巨额赎回</w:t>
            </w:r>
          </w:p>
        </w:tc>
        <w:tc>
          <w:tcPr>
            <w:tcW w:w="6804" w:type="dxa"/>
            <w:gridSpan w:val="4"/>
            <w:vAlign w:val="center"/>
          </w:tcPr>
          <w:p w:rsidR="0089610B" w:rsidRDefault="00A93C12">
            <w:pPr>
              <w:snapToGrid w:val="0"/>
              <w:jc w:val="left"/>
              <w:rPr>
                <w:rFonts w:asciiTheme="minorEastAsia" w:hAnsiTheme="minorEastAsia"/>
                <w:b/>
                <w:szCs w:val="24"/>
              </w:rPr>
            </w:pPr>
            <w:r>
              <w:rPr>
                <w:rFonts w:ascii="仿宋_GB2312" w:hAnsi="宋体" w:cs="宋体" w:hint="eastAsia"/>
                <w:b/>
                <w:bCs/>
                <w:kern w:val="0"/>
                <w:szCs w:val="24"/>
              </w:rPr>
              <w:t>单个开放日内</w:t>
            </w:r>
            <w:r>
              <w:rPr>
                <w:rFonts w:ascii="仿宋_GB2312" w:hAnsi="宋体" w:cs="宋体"/>
                <w:b/>
                <w:bCs/>
                <w:kern w:val="0"/>
                <w:szCs w:val="24"/>
              </w:rPr>
              <w:t>，</w:t>
            </w:r>
            <w:r>
              <w:rPr>
                <w:rFonts w:ascii="仿宋_GB2312" w:hAnsi="宋体" w:cs="宋体" w:hint="eastAsia"/>
                <w:b/>
                <w:bCs/>
                <w:kern w:val="0"/>
                <w:szCs w:val="24"/>
              </w:rPr>
              <w:t>产品净赎回申请（</w:t>
            </w:r>
            <w:r>
              <w:rPr>
                <w:rFonts w:ascii="仿宋_GB2312" w:hAnsi="宋体" w:cs="宋体"/>
                <w:b/>
                <w:bCs/>
                <w:kern w:val="0"/>
                <w:szCs w:val="24"/>
              </w:rPr>
              <w:t>赎回</w:t>
            </w:r>
            <w:r>
              <w:rPr>
                <w:rFonts w:ascii="仿宋_GB2312" w:hAnsi="宋体" w:cs="宋体" w:hint="eastAsia"/>
                <w:b/>
                <w:bCs/>
                <w:kern w:val="0"/>
                <w:szCs w:val="24"/>
              </w:rPr>
              <w:t>申请总份额扣除申购总份额后的余额</w:t>
            </w:r>
            <w:r>
              <w:rPr>
                <w:rFonts w:ascii="仿宋_GB2312" w:hAnsi="宋体" w:cs="宋体"/>
                <w:b/>
                <w:bCs/>
                <w:kern w:val="0"/>
                <w:szCs w:val="24"/>
              </w:rPr>
              <w:t>,下同）</w:t>
            </w:r>
            <w:r>
              <w:rPr>
                <w:rFonts w:ascii="仿宋_GB2312" w:hAnsi="宋体" w:cs="宋体" w:hint="eastAsia"/>
                <w:b/>
                <w:bCs/>
                <w:kern w:val="0"/>
                <w:szCs w:val="24"/>
              </w:rPr>
              <w:t>超过前一日终理财产品总份额的【</w:t>
            </w:r>
            <w:r>
              <w:rPr>
                <w:rFonts w:ascii="仿宋_GB2312" w:hAnsi="宋体" w:cs="宋体"/>
                <w:b/>
                <w:bCs/>
                <w:kern w:val="0"/>
                <w:szCs w:val="24"/>
              </w:rPr>
              <w:t>10</w:t>
            </w:r>
            <w:r>
              <w:rPr>
                <w:rFonts w:ascii="仿宋_GB2312" w:hAnsi="宋体" w:cs="宋体" w:hint="eastAsia"/>
                <w:b/>
                <w:bCs/>
                <w:kern w:val="0"/>
                <w:szCs w:val="24"/>
              </w:rPr>
              <w:t>％】</w:t>
            </w:r>
            <w:r>
              <w:rPr>
                <w:rFonts w:asciiTheme="minorEastAsia" w:hAnsiTheme="minorEastAsia" w:hint="eastAsia"/>
                <w:b/>
                <w:szCs w:val="24"/>
              </w:rPr>
              <w:t>，即为发生巨额赎回。</w:t>
            </w:r>
          </w:p>
          <w:p w:rsidR="0089610B" w:rsidRDefault="00A93C12">
            <w:pPr>
              <w:snapToGrid w:val="0"/>
              <w:jc w:val="left"/>
              <w:rPr>
                <w:rFonts w:asciiTheme="minorEastAsia" w:hAnsiTheme="minorEastAsia"/>
                <w:b/>
                <w:szCs w:val="24"/>
              </w:rPr>
            </w:pPr>
            <w:r>
              <w:rPr>
                <w:rFonts w:asciiTheme="minorEastAsia" w:hAnsiTheme="minorEastAsia" w:hint="eastAsia"/>
                <w:b/>
                <w:szCs w:val="24"/>
              </w:rPr>
              <w:t>本理财产品在开放日发生巨额赎回时，管理人有权根据产品的实际运作情况采取如下措施中的一种：</w:t>
            </w:r>
          </w:p>
          <w:p w:rsidR="0089610B" w:rsidRDefault="00A93C12">
            <w:pPr>
              <w:snapToGrid w:val="0"/>
              <w:jc w:val="left"/>
              <w:rPr>
                <w:rFonts w:asciiTheme="minorEastAsia" w:hAnsiTheme="minorEastAsia"/>
                <w:b/>
                <w:szCs w:val="24"/>
              </w:rPr>
            </w:pPr>
            <w:r>
              <w:rPr>
                <w:rFonts w:asciiTheme="minorEastAsia" w:hAnsiTheme="minorEastAsia"/>
                <w:b/>
                <w:szCs w:val="24"/>
              </w:rPr>
              <w:t>1.</w:t>
            </w:r>
            <w:r>
              <w:rPr>
                <w:rFonts w:asciiTheme="minorEastAsia" w:hAnsiTheme="minorEastAsia" w:hint="eastAsia"/>
                <w:b/>
                <w:szCs w:val="24"/>
              </w:rPr>
              <w:t>接受全额赎回：当管理人认为有能力兑付投资者的全部赎回申请时，将在赎回确认日按正常赎回程序执行；</w:t>
            </w:r>
          </w:p>
          <w:p w:rsidR="0089610B" w:rsidRDefault="00A93C12">
            <w:pPr>
              <w:snapToGrid w:val="0"/>
              <w:jc w:val="left"/>
              <w:rPr>
                <w:rFonts w:asciiTheme="minorEastAsia" w:hAnsiTheme="minorEastAsia"/>
                <w:b/>
                <w:szCs w:val="24"/>
              </w:rPr>
            </w:pPr>
            <w:r>
              <w:rPr>
                <w:rFonts w:asciiTheme="minorEastAsia" w:hAnsiTheme="minorEastAsia"/>
                <w:b/>
                <w:szCs w:val="24"/>
              </w:rPr>
              <w:t>2.</w:t>
            </w:r>
            <w:r>
              <w:rPr>
                <w:rFonts w:asciiTheme="minorEastAsia" w:hAnsiTheme="minorEastAsia" w:hint="eastAsia"/>
                <w:b/>
                <w:szCs w:val="24"/>
              </w:rPr>
              <w:t>接受部分赎回：当管理人认为兑付投资者的赎回申请有困难，或认为兑付投资者的赎回申请可能会对本理财产品的资产净值造成较大波动时，在赎回确认日管理人办理的赎回份额将不低于前一日终理财产品总份额的</w:t>
            </w:r>
            <w:r>
              <w:rPr>
                <w:rFonts w:asciiTheme="minorEastAsia" w:hAnsiTheme="minorEastAsia"/>
                <w:b/>
                <w:szCs w:val="24"/>
              </w:rPr>
              <w:t>10%</w:t>
            </w:r>
            <w:r>
              <w:rPr>
                <w:rFonts w:asciiTheme="minorEastAsia" w:hAnsiTheme="minorEastAsia" w:hint="eastAsia"/>
                <w:b/>
                <w:szCs w:val="24"/>
              </w:rPr>
              <w:t>，对于其余赎回申请管理人可暂停接受或延期办理。</w:t>
            </w:r>
          </w:p>
          <w:p w:rsidR="0089610B" w:rsidRDefault="00A93C12">
            <w:pPr>
              <w:snapToGrid w:val="0"/>
              <w:jc w:val="left"/>
              <w:rPr>
                <w:rFonts w:asciiTheme="minorEastAsia" w:hAnsiTheme="minorEastAsia"/>
                <w:b/>
                <w:szCs w:val="24"/>
              </w:rPr>
            </w:pPr>
            <w:r>
              <w:rPr>
                <w:rFonts w:asciiTheme="minorEastAsia" w:hAnsiTheme="minorEastAsia" w:hint="eastAsia"/>
                <w:b/>
                <w:szCs w:val="24"/>
              </w:rPr>
              <w:t>（</w:t>
            </w:r>
            <w:r>
              <w:rPr>
                <w:rFonts w:asciiTheme="minorEastAsia" w:hAnsiTheme="minorEastAsia"/>
                <w:b/>
                <w:szCs w:val="24"/>
              </w:rPr>
              <w:t>1</w:t>
            </w:r>
            <w:r>
              <w:rPr>
                <w:rFonts w:asciiTheme="minorEastAsia" w:hAnsiTheme="minorEastAsia" w:hint="eastAsia"/>
                <w:b/>
                <w:szCs w:val="24"/>
              </w:rPr>
              <w:t>）对于接受赎回申请的部分，管理人将按单个投资者的赎回申请份额占当日所有投资者的赎回申请总份额的比例，确认该投资者当日办理的赎回申请份额。</w:t>
            </w:r>
          </w:p>
          <w:p w:rsidR="0089610B" w:rsidRDefault="00A93C12">
            <w:pPr>
              <w:snapToGrid w:val="0"/>
              <w:jc w:val="left"/>
              <w:rPr>
                <w:rFonts w:asciiTheme="minorEastAsia" w:hAnsiTheme="minorEastAsia"/>
                <w:b/>
                <w:szCs w:val="24"/>
              </w:rPr>
            </w:pPr>
            <w:r>
              <w:rPr>
                <w:rFonts w:asciiTheme="minorEastAsia" w:hAnsiTheme="minorEastAsia" w:hint="eastAsia"/>
                <w:b/>
                <w:szCs w:val="24"/>
              </w:rPr>
              <w:t>（</w:t>
            </w:r>
            <w:r>
              <w:rPr>
                <w:rFonts w:asciiTheme="minorEastAsia" w:hAnsiTheme="minorEastAsia"/>
                <w:b/>
                <w:szCs w:val="24"/>
              </w:rPr>
              <w:t>2</w:t>
            </w:r>
            <w:r>
              <w:rPr>
                <w:rFonts w:asciiTheme="minorEastAsia" w:hAnsiTheme="minorEastAsia" w:hint="eastAsia"/>
                <w:b/>
                <w:szCs w:val="24"/>
              </w:rPr>
              <w:t>）对于暂停接受的部分，管理人将拒绝该部分赎回申请，投资者可在下一个产品开放日再次发起赎回申请。</w:t>
            </w:r>
          </w:p>
          <w:p w:rsidR="0089610B" w:rsidRDefault="00A93C12">
            <w:pPr>
              <w:snapToGrid w:val="0"/>
              <w:jc w:val="left"/>
              <w:rPr>
                <w:rFonts w:asciiTheme="minorEastAsia" w:hAnsiTheme="minorEastAsia"/>
                <w:b/>
                <w:szCs w:val="24"/>
              </w:rPr>
            </w:pPr>
            <w:r>
              <w:rPr>
                <w:rFonts w:asciiTheme="minorEastAsia" w:hAnsiTheme="minorEastAsia" w:hint="eastAsia"/>
                <w:b/>
                <w:szCs w:val="24"/>
              </w:rPr>
              <w:t>（</w:t>
            </w:r>
            <w:r>
              <w:rPr>
                <w:rFonts w:asciiTheme="minorEastAsia" w:hAnsiTheme="minorEastAsia"/>
                <w:b/>
                <w:szCs w:val="24"/>
              </w:rPr>
              <w:t>3</w:t>
            </w:r>
            <w:r>
              <w:rPr>
                <w:rFonts w:asciiTheme="minorEastAsia" w:hAnsiTheme="minorEastAsia" w:hint="eastAsia"/>
                <w:b/>
                <w:szCs w:val="24"/>
              </w:rPr>
              <w:t>）对于延期办理的部分，管理人将在下一个产品开放日自动为投资者发起该部分的赎回，延期赎回的申请与下一个工作日赎回申请一并处理，不享有优先确认权，且赎回净值为下一个产品开放日的净值，直至该部分全部被确认。在延期办理的部分全部被确认前，投资者不可撤销该部分的赎回申请。本理财产品发生巨额赎回、管理人接受部分赎回时，对于暂停接受和延期办理的部分，管理人可能需在下一个申购或赎回开放日才可确认，可能影响投资者的资金安排。根据不同销售机构提供的服务，投资者可以在申请赎回时选择在触发巨额赎回情形下将当日未获办理部分取消或者顺延。投资者选择取消的，未获办理部分管理人将参考“</w:t>
            </w:r>
            <w:r>
              <w:rPr>
                <w:rFonts w:asciiTheme="minorEastAsia" w:hAnsiTheme="minorEastAsia"/>
                <w:b/>
                <w:szCs w:val="24"/>
              </w:rPr>
              <w:t>2.</w:t>
            </w:r>
            <w:r>
              <w:rPr>
                <w:rFonts w:asciiTheme="minorEastAsia" w:hAnsiTheme="minorEastAsia" w:hint="eastAsia"/>
                <w:b/>
                <w:szCs w:val="24"/>
              </w:rPr>
              <w:t>接受部分赎回（</w:t>
            </w:r>
            <w:r>
              <w:rPr>
                <w:rFonts w:asciiTheme="minorEastAsia" w:hAnsiTheme="minorEastAsia"/>
                <w:b/>
                <w:szCs w:val="24"/>
              </w:rPr>
              <w:t>2</w:t>
            </w:r>
            <w:r>
              <w:rPr>
                <w:rFonts w:asciiTheme="minorEastAsia" w:hAnsiTheme="minorEastAsia" w:hint="eastAsia"/>
                <w:b/>
                <w:szCs w:val="24"/>
              </w:rPr>
              <w:t>）对于暂停接受的部分”采取措施；投资者选择顺延的，顺延部分管理人将参考“</w:t>
            </w:r>
            <w:r>
              <w:rPr>
                <w:rFonts w:asciiTheme="minorEastAsia" w:hAnsiTheme="minorEastAsia"/>
                <w:b/>
                <w:szCs w:val="24"/>
              </w:rPr>
              <w:t>2.</w:t>
            </w:r>
            <w:r>
              <w:rPr>
                <w:rFonts w:asciiTheme="minorEastAsia" w:hAnsiTheme="minorEastAsia" w:hint="eastAsia"/>
                <w:b/>
                <w:szCs w:val="24"/>
              </w:rPr>
              <w:t>接受部分赎回（</w:t>
            </w:r>
            <w:r>
              <w:rPr>
                <w:rFonts w:asciiTheme="minorEastAsia" w:hAnsiTheme="minorEastAsia"/>
                <w:b/>
                <w:szCs w:val="24"/>
              </w:rPr>
              <w:t>3</w:t>
            </w:r>
            <w:r>
              <w:rPr>
                <w:rFonts w:asciiTheme="minorEastAsia" w:hAnsiTheme="minorEastAsia" w:hint="eastAsia"/>
                <w:b/>
                <w:szCs w:val="24"/>
              </w:rPr>
              <w:t>）对于延期办理的部分”采取措施。具体服务投资者可详询销售机构，最终以销售机构提供的服务为准。</w:t>
            </w:r>
          </w:p>
        </w:tc>
      </w:tr>
      <w:tr w:rsidR="0089610B">
        <w:trPr>
          <w:trHeight w:val="667"/>
          <w:jc w:val="center"/>
        </w:trPr>
        <w:tc>
          <w:tcPr>
            <w:tcW w:w="2411" w:type="dxa"/>
            <w:vAlign w:val="center"/>
          </w:tcPr>
          <w:p w:rsidR="0089610B" w:rsidRDefault="00A93C12">
            <w:pPr>
              <w:snapToGrid w:val="0"/>
              <w:ind w:leftChars="-74" w:left="-163" w:hanging="15"/>
              <w:jc w:val="center"/>
              <w:rPr>
                <w:rFonts w:asciiTheme="minorEastAsia" w:hAnsiTheme="minorEastAsia"/>
                <w:kern w:val="0"/>
                <w:szCs w:val="24"/>
              </w:rPr>
            </w:pPr>
            <w:r>
              <w:rPr>
                <w:rFonts w:asciiTheme="minorEastAsia" w:hAnsiTheme="minorEastAsia" w:hint="eastAsia"/>
                <w:kern w:val="0"/>
                <w:szCs w:val="24"/>
              </w:rPr>
              <w:t>连续巨额赎回</w:t>
            </w:r>
          </w:p>
        </w:tc>
        <w:tc>
          <w:tcPr>
            <w:tcW w:w="6804" w:type="dxa"/>
            <w:gridSpan w:val="4"/>
            <w:vAlign w:val="center"/>
          </w:tcPr>
          <w:p w:rsidR="0089610B" w:rsidRDefault="00A93C12">
            <w:pPr>
              <w:snapToGrid w:val="0"/>
              <w:jc w:val="left"/>
              <w:rPr>
                <w:rFonts w:ascii="仿宋_GB2312" w:hAnsi="宋体" w:cs="宋体"/>
                <w:b/>
                <w:bCs/>
                <w:kern w:val="0"/>
                <w:szCs w:val="24"/>
              </w:rPr>
            </w:pPr>
            <w:r>
              <w:rPr>
                <w:rFonts w:ascii="仿宋_GB2312" w:hAnsi="宋体" w:cs="宋体" w:hint="eastAsia"/>
                <w:b/>
                <w:bCs/>
                <w:kern w:val="0"/>
                <w:szCs w:val="24"/>
              </w:rPr>
              <w:t>当本理财产品连续</w:t>
            </w:r>
            <w:r>
              <w:rPr>
                <w:rFonts w:ascii="仿宋_GB2312" w:hAnsi="宋体" w:cs="宋体"/>
                <w:b/>
                <w:bCs/>
                <w:kern w:val="0"/>
                <w:szCs w:val="24"/>
              </w:rPr>
              <w:t>2</w:t>
            </w:r>
            <w:r>
              <w:rPr>
                <w:rFonts w:ascii="仿宋_GB2312" w:hAnsi="宋体" w:cs="宋体" w:hint="eastAsia"/>
                <w:b/>
                <w:bCs/>
                <w:kern w:val="0"/>
                <w:szCs w:val="24"/>
              </w:rPr>
              <w:t>个（含</w:t>
            </w:r>
            <w:r>
              <w:rPr>
                <w:rFonts w:ascii="仿宋_GB2312" w:hAnsi="宋体" w:cs="宋体"/>
                <w:b/>
                <w:bCs/>
                <w:kern w:val="0"/>
                <w:szCs w:val="24"/>
              </w:rPr>
              <w:t>）</w:t>
            </w:r>
            <w:r>
              <w:rPr>
                <w:rFonts w:ascii="仿宋_GB2312" w:hAnsi="宋体" w:cs="宋体" w:hint="eastAsia"/>
                <w:b/>
                <w:bCs/>
                <w:kern w:val="0"/>
                <w:szCs w:val="24"/>
              </w:rPr>
              <w:t>以上开放日发生巨额赎回时，除采取上述措施外，对于已经接受的赎回申请，管理人有权延缓支付赎回款项，但延缓期限不得超过</w:t>
            </w:r>
            <w:r>
              <w:rPr>
                <w:rFonts w:ascii="仿宋_GB2312" w:hAnsi="宋体" w:cs="宋体"/>
                <w:b/>
                <w:bCs/>
                <w:kern w:val="0"/>
                <w:szCs w:val="24"/>
              </w:rPr>
              <w:t>20</w:t>
            </w:r>
            <w:r>
              <w:rPr>
                <w:rFonts w:ascii="仿宋_GB2312" w:hAnsi="宋体" w:cs="宋体" w:hint="eastAsia"/>
                <w:b/>
                <w:bCs/>
                <w:kern w:val="0"/>
                <w:szCs w:val="24"/>
              </w:rPr>
              <w:t>个工作日。</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业绩比较基准</w:t>
            </w:r>
          </w:p>
        </w:tc>
        <w:tc>
          <w:tcPr>
            <w:tcW w:w="6804" w:type="dxa"/>
            <w:gridSpan w:val="4"/>
            <w:vAlign w:val="center"/>
          </w:tcPr>
          <w:p w:rsidR="0089610B" w:rsidRDefault="00A93C12">
            <w:pPr>
              <w:widowControl/>
              <w:jc w:val="left"/>
              <w:rPr>
                <w:rFonts w:ascii="宋体" w:hAnsi="宋体"/>
                <w:b/>
                <w:szCs w:val="24"/>
              </w:rPr>
            </w:pPr>
            <w:r>
              <w:rPr>
                <w:rFonts w:ascii="宋体" w:hAnsi="宋体" w:hint="eastAsia"/>
                <w:b/>
                <w:szCs w:val="24"/>
              </w:rPr>
              <w:t>1.</w:t>
            </w:r>
            <w:r>
              <w:rPr>
                <w:rFonts w:ascii="宋体" w:hAnsi="宋体" w:hint="eastAsia"/>
                <w:b/>
                <w:szCs w:val="24"/>
              </w:rPr>
              <w:t>业绩比较基准的设置</w:t>
            </w:r>
          </w:p>
          <w:p w:rsidR="0089610B" w:rsidRDefault="00A93C12">
            <w:pPr>
              <w:widowControl/>
              <w:jc w:val="left"/>
              <w:rPr>
                <w:rFonts w:ascii="宋体" w:hAnsi="宋体"/>
                <w:b/>
                <w:szCs w:val="24"/>
              </w:rPr>
            </w:pPr>
            <w:r>
              <w:rPr>
                <w:rFonts w:ascii="宋体" w:hAnsi="宋体" w:hint="eastAsia"/>
                <w:b/>
                <w:szCs w:val="24"/>
              </w:rPr>
              <w:t>■</w:t>
            </w:r>
            <w:r>
              <w:rPr>
                <w:rFonts w:ascii="宋体" w:hAnsi="宋体" w:hint="eastAsia"/>
                <w:b/>
                <w:szCs w:val="24"/>
              </w:rPr>
              <w:t xml:space="preserve"> </w:t>
            </w:r>
            <w:r>
              <w:rPr>
                <w:rFonts w:ascii="宋体" w:hAnsi="宋体" w:hint="eastAsia"/>
                <w:b/>
                <w:szCs w:val="24"/>
              </w:rPr>
              <w:t>产品管理人设置业绩比较基准。</w:t>
            </w:r>
          </w:p>
          <w:p w:rsidR="0089610B" w:rsidRDefault="00A93C12">
            <w:pPr>
              <w:widowControl/>
              <w:jc w:val="left"/>
              <w:rPr>
                <w:rFonts w:ascii="宋体" w:hAnsi="宋体"/>
                <w:b/>
                <w:szCs w:val="24"/>
              </w:rPr>
            </w:pPr>
            <w:r>
              <w:rPr>
                <w:rFonts w:ascii="宋体" w:hAnsi="宋体" w:hint="eastAsia"/>
                <w:b/>
                <w:szCs w:val="24"/>
              </w:rPr>
              <w:t>年化【</w:t>
            </w:r>
            <w:r>
              <w:rPr>
                <w:rFonts w:ascii="宋体" w:hAnsi="宋体" w:hint="eastAsia"/>
                <w:b/>
                <w:szCs w:val="24"/>
              </w:rPr>
              <w:t>2.1%-2.3%</w:t>
            </w:r>
            <w:r>
              <w:rPr>
                <w:rFonts w:ascii="宋体" w:hAnsi="宋体" w:hint="eastAsia"/>
                <w:b/>
                <w:szCs w:val="24"/>
              </w:rPr>
              <w:t>】（适用【</w:t>
            </w:r>
            <w:r>
              <w:rPr>
                <w:rFonts w:ascii="宋体" w:hAnsi="宋体" w:hint="eastAsia"/>
                <w:b/>
                <w:szCs w:val="24"/>
              </w:rPr>
              <w:t>A</w:t>
            </w:r>
            <w:r>
              <w:rPr>
                <w:rFonts w:ascii="宋体" w:hAnsi="宋体" w:hint="eastAsia"/>
                <w:b/>
                <w:szCs w:val="24"/>
              </w:rPr>
              <w:t>】类份额）</w:t>
            </w:r>
          </w:p>
          <w:p w:rsidR="0089610B" w:rsidRDefault="00A93C12">
            <w:pPr>
              <w:widowControl/>
              <w:jc w:val="left"/>
              <w:rPr>
                <w:rFonts w:ascii="宋体" w:hAnsi="宋体"/>
                <w:b/>
                <w:szCs w:val="24"/>
              </w:rPr>
            </w:pPr>
            <w:r>
              <w:rPr>
                <w:rFonts w:ascii="宋体" w:hAnsi="宋体" w:hint="eastAsia"/>
                <w:b/>
                <w:szCs w:val="24"/>
              </w:rPr>
              <w:t>年化【</w:t>
            </w:r>
            <w:r>
              <w:rPr>
                <w:rFonts w:ascii="宋体" w:hAnsi="宋体" w:hint="eastAsia"/>
                <w:b/>
                <w:szCs w:val="24"/>
              </w:rPr>
              <w:t>2%-2.2%</w:t>
            </w:r>
            <w:r>
              <w:rPr>
                <w:rFonts w:ascii="宋体" w:hAnsi="宋体" w:hint="eastAsia"/>
                <w:b/>
                <w:szCs w:val="24"/>
              </w:rPr>
              <w:t>】（适用【</w:t>
            </w:r>
            <w:r>
              <w:rPr>
                <w:rFonts w:ascii="宋体" w:hAnsi="宋体" w:hint="eastAsia"/>
                <w:b/>
                <w:szCs w:val="24"/>
              </w:rPr>
              <w:t>B</w:t>
            </w:r>
            <w:r>
              <w:rPr>
                <w:rFonts w:ascii="宋体" w:hAnsi="宋体" w:hint="eastAsia"/>
                <w:b/>
                <w:szCs w:val="24"/>
              </w:rPr>
              <w:t>】类份额）</w:t>
            </w:r>
          </w:p>
          <w:p w:rsidR="0089610B" w:rsidRDefault="00A93C12">
            <w:pPr>
              <w:widowControl/>
              <w:jc w:val="left"/>
              <w:rPr>
                <w:rFonts w:ascii="宋体" w:hAnsi="宋体"/>
                <w:b/>
                <w:szCs w:val="24"/>
              </w:rPr>
            </w:pPr>
            <w:r>
              <w:rPr>
                <w:rFonts w:ascii="宋体" w:hAnsi="宋体" w:hint="eastAsia"/>
                <w:b/>
                <w:szCs w:val="24"/>
              </w:rPr>
              <w:t>2</w:t>
            </w:r>
            <w:r>
              <w:rPr>
                <w:rFonts w:ascii="宋体" w:hAnsi="宋体"/>
                <w:b/>
                <w:szCs w:val="24"/>
              </w:rPr>
              <w:t>.</w:t>
            </w:r>
            <w:r>
              <w:rPr>
                <w:rFonts w:ascii="宋体" w:hAnsi="宋体" w:hint="eastAsia"/>
                <w:b/>
                <w:szCs w:val="24"/>
              </w:rPr>
              <w:t>业绩</w:t>
            </w:r>
            <w:r>
              <w:rPr>
                <w:rFonts w:ascii="宋体" w:hAnsi="宋体"/>
                <w:b/>
                <w:szCs w:val="24"/>
              </w:rPr>
              <w:t>比较基准</w:t>
            </w:r>
            <w:r>
              <w:rPr>
                <w:rFonts w:ascii="宋体" w:hAnsi="宋体" w:hint="eastAsia"/>
                <w:b/>
                <w:szCs w:val="24"/>
              </w:rPr>
              <w:t>提示：</w:t>
            </w:r>
          </w:p>
          <w:p w:rsidR="0089610B" w:rsidRDefault="00A93C12">
            <w:pPr>
              <w:widowControl/>
              <w:jc w:val="left"/>
              <w:rPr>
                <w:rFonts w:ascii="宋体" w:hAnsi="宋体"/>
                <w:b/>
                <w:szCs w:val="24"/>
              </w:rPr>
            </w:pPr>
            <w:r>
              <w:rPr>
                <w:rFonts w:ascii="宋体" w:hAnsi="宋体" w:hint="eastAsia"/>
                <w:b/>
                <w:szCs w:val="24"/>
              </w:rPr>
              <w:t>本理财产品为净值型产品，业绩表现将随市场波动，具有不确定性。业绩比较基准是管理人基于投资范围内各类资产的收益率水平、投资比例、市场情况等因素进行静态测算和情景分析所得出和设定的投资目标。</w:t>
            </w:r>
          </w:p>
          <w:p w:rsidR="0089610B" w:rsidRDefault="00A93C12">
            <w:pPr>
              <w:snapToGrid w:val="0"/>
              <w:rPr>
                <w:rFonts w:ascii="宋体" w:hAnsi="宋体"/>
                <w:b/>
                <w:bCs/>
                <w:szCs w:val="24"/>
              </w:rPr>
            </w:pPr>
            <w:r>
              <w:rPr>
                <w:rFonts w:asciiTheme="minorEastAsia" w:hAnsiTheme="minorEastAsia" w:cstheme="minorEastAsia" w:hint="eastAsia"/>
                <w:b/>
                <w:szCs w:val="24"/>
              </w:rPr>
              <w:t>本理财产品</w:t>
            </w:r>
            <w:r>
              <w:rPr>
                <w:rFonts w:ascii="宋体" w:hAnsi="宋体" w:hint="eastAsia"/>
                <w:b/>
                <w:szCs w:val="24"/>
              </w:rPr>
              <w:t>投向债权类资产投资比例不低于</w:t>
            </w:r>
            <w:r>
              <w:rPr>
                <w:rFonts w:ascii="宋体" w:hAnsi="宋体" w:hint="eastAsia"/>
                <w:b/>
                <w:szCs w:val="24"/>
              </w:rPr>
              <w:t>80%</w:t>
            </w:r>
            <w:r>
              <w:rPr>
                <w:rFonts w:ascii="宋体" w:hAnsi="宋体" w:hint="eastAsia"/>
                <w:b/>
                <w:szCs w:val="24"/>
              </w:rPr>
              <w:t>，投向权益类资产、商品及金融衍生品类资产不高于</w:t>
            </w:r>
            <w:r>
              <w:rPr>
                <w:rFonts w:ascii="宋体" w:hAnsi="宋体" w:hint="eastAsia"/>
                <w:b/>
                <w:szCs w:val="24"/>
              </w:rPr>
              <w:t>20%</w:t>
            </w:r>
            <w:r>
              <w:rPr>
                <w:rFonts w:ascii="宋体" w:hAnsi="宋体" w:hint="eastAsia"/>
                <w:b/>
                <w:szCs w:val="24"/>
              </w:rPr>
              <w:t>。</w:t>
            </w:r>
            <w:r>
              <w:rPr>
                <w:rFonts w:ascii="宋体" w:hAnsi="宋体" w:hint="eastAsia"/>
                <w:szCs w:val="24"/>
              </w:rPr>
              <w:t>（</w:t>
            </w:r>
            <w:r>
              <w:rPr>
                <w:rFonts w:ascii="仿宋_GB2312" w:hAnsi="宋体" w:cs="宋体" w:hint="eastAsia"/>
                <w:bCs/>
                <w:kern w:val="0"/>
                <w:szCs w:val="24"/>
              </w:rPr>
              <w:t>本理财</w:t>
            </w:r>
            <w:r>
              <w:rPr>
                <w:rFonts w:ascii="仿宋_GB2312" w:hAnsi="宋体" w:cs="宋体"/>
                <w:bCs/>
                <w:kern w:val="0"/>
                <w:szCs w:val="24"/>
              </w:rPr>
              <w:t>产品在投资</w:t>
            </w:r>
            <w:r>
              <w:rPr>
                <w:rFonts w:ascii="仿宋_GB2312" w:hAnsi="宋体" w:cs="宋体" w:hint="eastAsia"/>
                <w:bCs/>
                <w:kern w:val="0"/>
                <w:szCs w:val="24"/>
              </w:rPr>
              <w:t>于</w:t>
            </w:r>
            <w:r>
              <w:rPr>
                <w:rFonts w:ascii="仿宋_GB2312" w:hAnsi="宋体" w:cs="宋体"/>
                <w:bCs/>
                <w:kern w:val="0"/>
                <w:szCs w:val="24"/>
              </w:rPr>
              <w:t>商品及金融衍生品类资产之前，管理人应获得相应的业务经营范围或投资交易资格</w:t>
            </w:r>
            <w:r>
              <w:rPr>
                <w:rFonts w:ascii="宋体" w:hAnsi="宋体" w:hint="eastAsia"/>
                <w:szCs w:val="24"/>
              </w:rPr>
              <w:t>）</w:t>
            </w:r>
            <w:r>
              <w:rPr>
                <w:rFonts w:ascii="宋体" w:hAnsi="宋体" w:hint="eastAsia"/>
                <w:b/>
                <w:bCs/>
                <w:szCs w:val="24"/>
              </w:rPr>
              <w:t>，管理人根据拟投资资产种类、配置比例、运作策略等因素，结合宏观经济情况和市场趋势的预判分析，综合测算、确定本理财产品的业绩比较基准。</w:t>
            </w:r>
          </w:p>
          <w:p w:rsidR="0089610B" w:rsidRDefault="00A93C12">
            <w:pPr>
              <w:snapToGrid w:val="0"/>
              <w:rPr>
                <w:rFonts w:asciiTheme="minorEastAsia" w:hAnsiTheme="minorEastAsia" w:cstheme="minorEastAsia"/>
                <w:b/>
              </w:rPr>
            </w:pPr>
            <w:r>
              <w:rPr>
                <w:rFonts w:asciiTheme="minorEastAsia" w:hAnsiTheme="minorEastAsia" w:cstheme="minorEastAsia" w:hint="eastAsia"/>
                <w:b/>
              </w:rPr>
              <w:t>业绩比较基准不是预期收益率，不代表产品的未来表现和实际收益，仅作为业绩参考和</w:t>
            </w:r>
            <w:r>
              <w:rPr>
                <w:rFonts w:asciiTheme="minorEastAsia" w:hAnsiTheme="minorEastAsia" w:cstheme="minorEastAsia"/>
                <w:b/>
              </w:rPr>
              <w:t>计算</w:t>
            </w:r>
            <w:r>
              <w:rPr>
                <w:rFonts w:asciiTheme="minorEastAsia" w:hAnsiTheme="minorEastAsia" w:cstheme="minorEastAsia" w:hint="eastAsia"/>
                <w:b/>
              </w:rPr>
              <w:t>业绩报酬（如有）的依据，不构成对该理财产品的任何收益承诺，投资者能获得的最终收益以实际支付为准。</w:t>
            </w:r>
          </w:p>
          <w:p w:rsidR="0089610B" w:rsidRDefault="00A93C12">
            <w:pPr>
              <w:snapToGrid w:val="0"/>
              <w:rPr>
                <w:rFonts w:asciiTheme="minorEastAsia" w:hAnsiTheme="minorEastAsia" w:cstheme="minorEastAsia"/>
                <w:b/>
              </w:rPr>
            </w:pPr>
            <w:r>
              <w:rPr>
                <w:rFonts w:asciiTheme="minorEastAsia" w:hAnsiTheme="minorEastAsia" w:cstheme="minorEastAsia" w:hint="eastAsia"/>
                <w:b/>
              </w:rPr>
              <w:t>理财产品存续期内，管理人有权根据市场情况对业绩比较基准进行调整，该调整将通过本《产品说明书》之“信息披露”约定的方式进行信息披露。</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产品份额净值</w:t>
            </w:r>
          </w:p>
        </w:tc>
        <w:tc>
          <w:tcPr>
            <w:tcW w:w="6804" w:type="dxa"/>
            <w:gridSpan w:val="4"/>
            <w:vAlign w:val="center"/>
          </w:tcPr>
          <w:p w:rsidR="0089610B" w:rsidRDefault="00A93C12">
            <w:pPr>
              <w:snapToGrid w:val="0"/>
              <w:rPr>
                <w:rFonts w:ascii="宋体" w:hAnsi="宋体"/>
                <w:szCs w:val="24"/>
              </w:rPr>
            </w:pPr>
            <w:r>
              <w:rPr>
                <w:rFonts w:ascii="宋体" w:hAnsi="宋体" w:hint="eastAsia"/>
                <w:szCs w:val="24"/>
              </w:rPr>
              <w:t>理财产品份额净值是提取相关税费后单位理财产品份额的净值；份额净值随理财产品投资运行情况变化而变化。</w:t>
            </w:r>
          </w:p>
          <w:p w:rsidR="0089610B" w:rsidRDefault="00A93C12">
            <w:pPr>
              <w:snapToGrid w:val="0"/>
              <w:rPr>
                <w:rFonts w:ascii="宋体" w:hAnsi="宋体"/>
                <w:b/>
                <w:bCs/>
                <w:szCs w:val="24"/>
              </w:rPr>
            </w:pPr>
            <w:r>
              <w:rPr>
                <w:rFonts w:ascii="宋体" w:hAnsi="宋体" w:hint="eastAsia"/>
                <w:szCs w:val="24"/>
              </w:rPr>
              <w:t>本产品募集期内，投资者按份额净值进行认购；</w:t>
            </w:r>
            <w:r>
              <w:rPr>
                <w:rFonts w:ascii="宋体" w:hAnsi="宋体" w:hint="eastAsia"/>
                <w:b/>
                <w:bCs/>
                <w:szCs w:val="24"/>
              </w:rPr>
              <w:t>本产品初始份额净值为</w:t>
            </w:r>
            <w:r>
              <w:rPr>
                <w:rFonts w:ascii="宋体" w:hAnsi="宋体" w:hint="eastAsia"/>
                <w:b/>
                <w:bCs/>
                <w:szCs w:val="24"/>
              </w:rPr>
              <w:t>1.0000</w:t>
            </w:r>
            <w:r>
              <w:rPr>
                <w:rFonts w:ascii="宋体" w:hAnsi="宋体" w:hint="eastAsia"/>
                <w:b/>
                <w:bCs/>
                <w:szCs w:val="24"/>
              </w:rPr>
              <w:t>元</w:t>
            </w:r>
            <w:r>
              <w:rPr>
                <w:rFonts w:ascii="宋体" w:hAnsi="宋体" w:hint="eastAsia"/>
                <w:b/>
                <w:bCs/>
                <w:szCs w:val="24"/>
              </w:rPr>
              <w:t>/</w:t>
            </w:r>
            <w:r>
              <w:rPr>
                <w:rFonts w:ascii="宋体" w:hAnsi="宋体" w:hint="eastAsia"/>
                <w:b/>
                <w:bCs/>
                <w:szCs w:val="24"/>
              </w:rPr>
              <w:t>份。</w:t>
            </w:r>
          </w:p>
          <w:p w:rsidR="0089610B" w:rsidRDefault="00A93C12">
            <w:pPr>
              <w:snapToGrid w:val="0"/>
              <w:rPr>
                <w:rFonts w:ascii="宋体" w:hAnsi="宋体"/>
                <w:b/>
                <w:bCs/>
                <w:szCs w:val="24"/>
              </w:rPr>
            </w:pPr>
            <w:r>
              <w:rPr>
                <w:rFonts w:ascii="宋体" w:hAnsi="宋体" w:hint="eastAsia"/>
                <w:b/>
                <w:bCs/>
                <w:szCs w:val="24"/>
              </w:rPr>
              <w:t>本产品存续期</w:t>
            </w:r>
            <w:r>
              <w:rPr>
                <w:rFonts w:ascii="宋体" w:hAnsi="宋体"/>
                <w:b/>
                <w:bCs/>
                <w:szCs w:val="24"/>
              </w:rPr>
              <w:t>内，</w:t>
            </w:r>
            <w:r>
              <w:rPr>
                <w:rFonts w:ascii="宋体" w:hAnsi="宋体" w:hint="eastAsia"/>
                <w:b/>
                <w:bCs/>
                <w:szCs w:val="24"/>
              </w:rPr>
              <w:t>管理人依约定公布产品份额净值，管理人以赎回日产品份额净值为基础进行利益分配。</w:t>
            </w:r>
          </w:p>
          <w:p w:rsidR="0089610B" w:rsidRDefault="00A93C12">
            <w:pPr>
              <w:snapToGrid w:val="0"/>
              <w:rPr>
                <w:rFonts w:ascii="宋体" w:hAnsi="宋体"/>
                <w:szCs w:val="24"/>
              </w:rPr>
            </w:pPr>
            <w:r>
              <w:rPr>
                <w:rFonts w:ascii="宋体" w:hAnsi="宋体" w:hint="eastAsia"/>
                <w:szCs w:val="24"/>
              </w:rPr>
              <w:t>本产品到期或提前终止后，管理人按份额净值向投资者兑付理财资金。</w:t>
            </w:r>
          </w:p>
          <w:p w:rsidR="0089610B" w:rsidRDefault="0089610B">
            <w:pPr>
              <w:snapToGrid w:val="0"/>
              <w:rPr>
                <w:rFonts w:ascii="宋体" w:hAnsi="宋体"/>
                <w:b/>
                <w:bCs/>
                <w:szCs w:val="24"/>
              </w:rPr>
            </w:pPr>
          </w:p>
        </w:tc>
      </w:tr>
      <w:tr w:rsidR="0089610B">
        <w:trPr>
          <w:trHeight w:val="425"/>
          <w:jc w:val="center"/>
        </w:trPr>
        <w:tc>
          <w:tcPr>
            <w:tcW w:w="2411" w:type="dxa"/>
            <w:vAlign w:val="center"/>
          </w:tcPr>
          <w:p w:rsidR="0089610B" w:rsidRDefault="00A93C12">
            <w:pPr>
              <w:snapToGrid w:val="0"/>
              <w:ind w:leftChars="-74" w:left="-163" w:rightChars="-74" w:right="-178" w:hanging="15"/>
              <w:jc w:val="center"/>
              <w:rPr>
                <w:rFonts w:ascii="宋体" w:hAnsi="宋体"/>
                <w:szCs w:val="24"/>
              </w:rPr>
            </w:pPr>
            <w:r>
              <w:rPr>
                <w:rFonts w:ascii="宋体" w:hAnsi="宋体" w:cs="宋体" w:hint="eastAsia"/>
                <w:szCs w:val="24"/>
              </w:rPr>
              <w:t>产品费用</w:t>
            </w:r>
          </w:p>
        </w:tc>
        <w:tc>
          <w:tcPr>
            <w:tcW w:w="6804" w:type="dxa"/>
            <w:gridSpan w:val="4"/>
            <w:vAlign w:val="center"/>
          </w:tcPr>
          <w:p w:rsidR="0089610B" w:rsidRDefault="00A93C12">
            <w:pPr>
              <w:rPr>
                <w:rFonts w:ascii="宋体" w:hAnsi="宋体"/>
                <w:b/>
                <w:szCs w:val="24"/>
              </w:rPr>
            </w:pPr>
            <w:r>
              <w:rPr>
                <w:rFonts w:ascii="宋体" w:hAnsi="宋体"/>
                <w:b/>
                <w:szCs w:val="24"/>
              </w:rPr>
              <w:t>1.</w:t>
            </w:r>
            <w:r>
              <w:rPr>
                <w:rFonts w:ascii="宋体" w:hAnsi="宋体" w:hint="eastAsia"/>
                <w:b/>
                <w:szCs w:val="24"/>
              </w:rPr>
              <w:t>销售服务费率：</w:t>
            </w:r>
          </w:p>
          <w:p w:rsidR="0089610B" w:rsidRDefault="00A93C12">
            <w:pPr>
              <w:rPr>
                <w:rFonts w:ascii="宋体" w:hAnsi="宋体"/>
                <w:b/>
                <w:szCs w:val="24"/>
              </w:rPr>
            </w:pPr>
            <w:r>
              <w:rPr>
                <w:rFonts w:ascii="宋体" w:hAnsi="宋体" w:hint="eastAsia"/>
                <w:b/>
                <w:szCs w:val="24"/>
              </w:rPr>
              <w:t>年化费率【</w:t>
            </w:r>
            <w:r>
              <w:rPr>
                <w:rFonts w:ascii="宋体" w:hAnsi="宋体" w:hint="eastAsia"/>
                <w:b/>
                <w:szCs w:val="24"/>
              </w:rPr>
              <w:t>0.3</w:t>
            </w:r>
            <w:r>
              <w:rPr>
                <w:rFonts w:ascii="宋体" w:hAnsi="宋体" w:hint="eastAsia"/>
                <w:b/>
                <w:szCs w:val="24"/>
              </w:rPr>
              <w:t>】</w:t>
            </w:r>
            <w:r>
              <w:rPr>
                <w:rFonts w:ascii="宋体" w:hAnsi="宋体"/>
                <w:b/>
                <w:szCs w:val="24"/>
              </w:rPr>
              <w:t>%</w:t>
            </w:r>
            <w:r>
              <w:rPr>
                <w:rFonts w:ascii="宋体" w:hAnsi="宋体" w:hint="eastAsia"/>
                <w:b/>
                <w:szCs w:val="24"/>
              </w:rPr>
              <w:t>（适用【</w:t>
            </w:r>
            <w:r>
              <w:rPr>
                <w:rFonts w:ascii="宋体" w:hAnsi="宋体"/>
                <w:b/>
                <w:szCs w:val="24"/>
              </w:rPr>
              <w:t>A</w:t>
            </w:r>
            <w:r>
              <w:rPr>
                <w:rFonts w:ascii="宋体" w:hAnsi="宋体" w:hint="eastAsia"/>
                <w:b/>
                <w:szCs w:val="24"/>
              </w:rPr>
              <w:t>】类份额）</w:t>
            </w:r>
          </w:p>
          <w:p w:rsidR="0089610B" w:rsidRDefault="00A93C12">
            <w:pPr>
              <w:rPr>
                <w:rFonts w:ascii="宋体" w:hAnsi="宋体"/>
                <w:b/>
                <w:szCs w:val="24"/>
              </w:rPr>
            </w:pPr>
            <w:r>
              <w:rPr>
                <w:rFonts w:ascii="宋体" w:hAnsi="宋体" w:hint="eastAsia"/>
                <w:b/>
                <w:szCs w:val="24"/>
              </w:rPr>
              <w:t>年化费率【</w:t>
            </w:r>
            <w:r>
              <w:rPr>
                <w:rFonts w:ascii="宋体" w:hAnsi="宋体" w:hint="eastAsia"/>
                <w:b/>
                <w:szCs w:val="24"/>
              </w:rPr>
              <w:t>0.3</w:t>
            </w:r>
            <w:r>
              <w:rPr>
                <w:rFonts w:ascii="宋体" w:hAnsi="宋体" w:hint="eastAsia"/>
                <w:b/>
                <w:szCs w:val="24"/>
              </w:rPr>
              <w:t>】</w:t>
            </w:r>
            <w:r>
              <w:rPr>
                <w:rFonts w:ascii="宋体" w:hAnsi="宋体"/>
                <w:b/>
                <w:szCs w:val="24"/>
              </w:rPr>
              <w:t>%</w:t>
            </w:r>
            <w:r>
              <w:rPr>
                <w:rFonts w:ascii="宋体" w:hAnsi="宋体" w:hint="eastAsia"/>
                <w:b/>
                <w:szCs w:val="24"/>
              </w:rPr>
              <w:t>（适用【</w:t>
            </w:r>
            <w:r>
              <w:rPr>
                <w:rFonts w:ascii="宋体" w:hAnsi="宋体" w:hint="eastAsia"/>
                <w:b/>
                <w:szCs w:val="24"/>
              </w:rPr>
              <w:t>B</w:t>
            </w:r>
            <w:r>
              <w:rPr>
                <w:rFonts w:ascii="宋体" w:hAnsi="宋体" w:hint="eastAsia"/>
                <w:b/>
                <w:szCs w:val="24"/>
              </w:rPr>
              <w:t>】类份额）</w:t>
            </w:r>
          </w:p>
          <w:p w:rsidR="0089610B" w:rsidRDefault="00A93C12">
            <w:pPr>
              <w:rPr>
                <w:rFonts w:ascii="宋体" w:hAnsi="宋体"/>
                <w:b/>
                <w:szCs w:val="24"/>
              </w:rPr>
            </w:pPr>
            <w:r>
              <w:rPr>
                <w:rFonts w:ascii="宋体" w:hAnsi="宋体"/>
                <w:b/>
                <w:szCs w:val="24"/>
              </w:rPr>
              <w:t>2.</w:t>
            </w:r>
            <w:r>
              <w:rPr>
                <w:rFonts w:ascii="宋体" w:hAnsi="宋体" w:hint="eastAsia"/>
                <w:b/>
                <w:szCs w:val="24"/>
              </w:rPr>
              <w:t>投资管理费率：年化费率【</w:t>
            </w:r>
            <w:r>
              <w:rPr>
                <w:rFonts w:ascii="宋体" w:hAnsi="宋体" w:hint="eastAsia"/>
                <w:b/>
                <w:szCs w:val="24"/>
              </w:rPr>
              <w:t>0.3</w:t>
            </w:r>
            <w:r>
              <w:rPr>
                <w:rFonts w:ascii="宋体" w:hAnsi="宋体" w:hint="eastAsia"/>
                <w:b/>
                <w:szCs w:val="24"/>
              </w:rPr>
              <w:t>】</w:t>
            </w:r>
            <w:r>
              <w:rPr>
                <w:rFonts w:ascii="宋体" w:hAnsi="宋体" w:hint="eastAsia"/>
                <w:b/>
                <w:szCs w:val="24"/>
              </w:rPr>
              <w:t>%</w:t>
            </w:r>
            <w:r>
              <w:rPr>
                <w:rFonts w:ascii="宋体" w:hAnsi="宋体" w:hint="eastAsia"/>
                <w:b/>
                <w:szCs w:val="24"/>
              </w:rPr>
              <w:t>。</w:t>
            </w:r>
          </w:p>
          <w:p w:rsidR="0089610B" w:rsidRDefault="00A93C12">
            <w:pPr>
              <w:tabs>
                <w:tab w:val="left" w:pos="312"/>
              </w:tabs>
              <w:snapToGrid w:val="0"/>
              <w:rPr>
                <w:rFonts w:ascii="宋体" w:hAnsi="宋体"/>
                <w:b/>
                <w:szCs w:val="24"/>
              </w:rPr>
            </w:pPr>
            <w:r>
              <w:rPr>
                <w:rFonts w:ascii="宋体" w:hAnsi="宋体"/>
                <w:b/>
                <w:szCs w:val="24"/>
              </w:rPr>
              <w:t>3.</w:t>
            </w:r>
            <w:r>
              <w:rPr>
                <w:rFonts w:ascii="宋体" w:hAnsi="宋体" w:hint="eastAsia"/>
                <w:b/>
                <w:szCs w:val="24"/>
              </w:rPr>
              <w:t>产品托管费率：</w:t>
            </w:r>
          </w:p>
          <w:p w:rsidR="0089610B" w:rsidRDefault="00A93C12">
            <w:pPr>
              <w:rPr>
                <w:rFonts w:ascii="宋体" w:hAnsi="宋体"/>
                <w:b/>
                <w:szCs w:val="24"/>
              </w:rPr>
            </w:pPr>
            <w:r>
              <w:rPr>
                <w:rFonts w:ascii="宋体" w:hAnsi="宋体" w:hint="eastAsia"/>
                <w:b/>
                <w:szCs w:val="24"/>
              </w:rPr>
              <w:t>年化费率【</w:t>
            </w:r>
            <w:r>
              <w:rPr>
                <w:rFonts w:ascii="宋体" w:hAnsi="宋体" w:hint="eastAsia"/>
                <w:b/>
                <w:szCs w:val="24"/>
              </w:rPr>
              <w:t>/</w:t>
            </w:r>
            <w:r>
              <w:rPr>
                <w:rFonts w:ascii="宋体" w:hAnsi="宋体" w:hint="eastAsia"/>
                <w:b/>
                <w:szCs w:val="24"/>
              </w:rPr>
              <w:t>】</w:t>
            </w:r>
            <w:r>
              <w:rPr>
                <w:rFonts w:ascii="宋体" w:hAnsi="宋体"/>
                <w:b/>
                <w:szCs w:val="24"/>
              </w:rPr>
              <w:t>%</w:t>
            </w:r>
            <w:r>
              <w:rPr>
                <w:rFonts w:ascii="宋体" w:hAnsi="宋体" w:hint="eastAsia"/>
                <w:b/>
                <w:szCs w:val="24"/>
              </w:rPr>
              <w:t>（适用【</w:t>
            </w:r>
            <w:r>
              <w:rPr>
                <w:rFonts w:ascii="宋体" w:hAnsi="宋体"/>
                <w:b/>
                <w:szCs w:val="24"/>
              </w:rPr>
              <w:t>A</w:t>
            </w:r>
            <w:r>
              <w:rPr>
                <w:rFonts w:ascii="宋体" w:hAnsi="宋体" w:hint="eastAsia"/>
                <w:b/>
                <w:szCs w:val="24"/>
              </w:rPr>
              <w:t>】类份额）</w:t>
            </w:r>
          </w:p>
          <w:p w:rsidR="0089610B" w:rsidRDefault="00A93C12">
            <w:pPr>
              <w:tabs>
                <w:tab w:val="left" w:pos="312"/>
              </w:tabs>
              <w:snapToGrid w:val="0"/>
              <w:rPr>
                <w:rFonts w:ascii="宋体" w:hAnsi="宋体"/>
                <w:b/>
                <w:szCs w:val="24"/>
              </w:rPr>
            </w:pPr>
            <w:r>
              <w:rPr>
                <w:rFonts w:ascii="宋体" w:hAnsi="宋体" w:hint="eastAsia"/>
                <w:b/>
                <w:szCs w:val="24"/>
              </w:rPr>
              <w:t>年化费率【</w:t>
            </w:r>
            <w:r>
              <w:rPr>
                <w:rFonts w:ascii="宋体" w:hAnsi="宋体" w:hint="eastAsia"/>
                <w:b/>
                <w:szCs w:val="24"/>
              </w:rPr>
              <w:t>/</w:t>
            </w:r>
            <w:r>
              <w:rPr>
                <w:rFonts w:ascii="宋体" w:hAnsi="宋体" w:hint="eastAsia"/>
                <w:b/>
                <w:szCs w:val="24"/>
              </w:rPr>
              <w:t>】</w:t>
            </w:r>
            <w:r>
              <w:rPr>
                <w:rFonts w:ascii="宋体" w:hAnsi="宋体"/>
                <w:b/>
                <w:szCs w:val="24"/>
              </w:rPr>
              <w:t>%</w:t>
            </w:r>
            <w:r>
              <w:rPr>
                <w:rFonts w:ascii="宋体" w:hAnsi="宋体" w:hint="eastAsia"/>
                <w:b/>
                <w:szCs w:val="24"/>
              </w:rPr>
              <w:t>（适用【</w:t>
            </w:r>
            <w:r>
              <w:rPr>
                <w:rFonts w:ascii="宋体" w:hAnsi="宋体" w:hint="eastAsia"/>
                <w:b/>
                <w:szCs w:val="24"/>
              </w:rPr>
              <w:t>B</w:t>
            </w:r>
            <w:r>
              <w:rPr>
                <w:rFonts w:ascii="宋体" w:hAnsi="宋体" w:hint="eastAsia"/>
                <w:b/>
                <w:szCs w:val="24"/>
              </w:rPr>
              <w:t>】类份额）</w:t>
            </w:r>
          </w:p>
          <w:p w:rsidR="0089610B" w:rsidRDefault="00A93C12">
            <w:pPr>
              <w:tabs>
                <w:tab w:val="left" w:pos="312"/>
              </w:tabs>
              <w:snapToGrid w:val="0"/>
              <w:rPr>
                <w:rFonts w:ascii="宋体" w:hAnsi="宋体"/>
                <w:b/>
                <w:szCs w:val="24"/>
              </w:rPr>
            </w:pPr>
            <w:r>
              <w:rPr>
                <w:rFonts w:ascii="宋体" w:hAnsi="宋体"/>
                <w:b/>
                <w:szCs w:val="24"/>
              </w:rPr>
              <w:t>4.</w:t>
            </w:r>
            <w:r>
              <w:rPr>
                <w:rFonts w:ascii="宋体" w:hAnsi="宋体" w:hint="eastAsia"/>
                <w:b/>
                <w:szCs w:val="24"/>
              </w:rPr>
              <w:t>业绩报酬：无</w:t>
            </w:r>
            <w:r>
              <w:rPr>
                <w:rFonts w:ascii="宋体" w:hAnsi="宋体"/>
                <w:b/>
                <w:szCs w:val="24"/>
              </w:rPr>
              <w:t>。</w:t>
            </w:r>
          </w:p>
          <w:p w:rsidR="0089610B" w:rsidRDefault="00A93C12">
            <w:pPr>
              <w:tabs>
                <w:tab w:val="left" w:pos="312"/>
              </w:tabs>
              <w:snapToGrid w:val="0"/>
              <w:rPr>
                <w:rFonts w:ascii="宋体" w:hAnsi="宋体"/>
                <w:szCs w:val="24"/>
              </w:rPr>
            </w:pPr>
            <w:r>
              <w:rPr>
                <w:rFonts w:ascii="宋体" w:hAnsi="宋体"/>
                <w:b/>
                <w:szCs w:val="24"/>
              </w:rPr>
              <w:t>5.</w:t>
            </w:r>
            <w:r>
              <w:rPr>
                <w:rFonts w:ascii="宋体" w:hAnsi="宋体" w:hint="eastAsia"/>
                <w:b/>
                <w:bCs/>
                <w:szCs w:val="24"/>
              </w:rPr>
              <w:t>其他费用：详见</w:t>
            </w:r>
            <w:r>
              <w:rPr>
                <w:rFonts w:ascii="宋体" w:hAnsi="宋体"/>
                <w:b/>
                <w:bCs/>
                <w:szCs w:val="24"/>
              </w:rPr>
              <w:t>第九节</w:t>
            </w:r>
            <w:r>
              <w:rPr>
                <w:rFonts w:ascii="宋体" w:hAnsi="宋体" w:hint="eastAsia"/>
                <w:b/>
                <w:bCs/>
                <w:szCs w:val="24"/>
              </w:rPr>
              <w:t xml:space="preserve"> </w:t>
            </w:r>
            <w:r>
              <w:rPr>
                <w:rFonts w:ascii="宋体" w:hAnsi="宋体" w:hint="eastAsia"/>
                <w:b/>
                <w:bCs/>
                <w:szCs w:val="24"/>
              </w:rPr>
              <w:t>“理财</w:t>
            </w:r>
            <w:r>
              <w:rPr>
                <w:rFonts w:ascii="宋体" w:hAnsi="宋体"/>
                <w:b/>
                <w:bCs/>
                <w:szCs w:val="24"/>
              </w:rPr>
              <w:t>产品费用与税收</w:t>
            </w:r>
            <w:r>
              <w:rPr>
                <w:rFonts w:ascii="宋体" w:hAnsi="宋体"/>
                <w:b/>
                <w:bCs/>
                <w:szCs w:val="24"/>
              </w:rPr>
              <w:t>”</w:t>
            </w:r>
            <w:r>
              <w:rPr>
                <w:rFonts w:ascii="宋体" w:hAnsi="宋体" w:hint="eastAsia"/>
                <w:b/>
                <w:bCs/>
                <w:szCs w:val="24"/>
              </w:rPr>
              <w:t>。</w:t>
            </w:r>
            <w:r>
              <w:rPr>
                <w:rFonts w:ascii="宋体" w:hAnsi="宋体" w:hint="eastAsia"/>
                <w:szCs w:val="24"/>
              </w:rPr>
              <w:t xml:space="preserve"> </w:t>
            </w:r>
          </w:p>
          <w:p w:rsidR="0089610B" w:rsidRDefault="00A93C12">
            <w:pPr>
              <w:tabs>
                <w:tab w:val="left" w:pos="312"/>
              </w:tabs>
              <w:snapToGrid w:val="0"/>
              <w:rPr>
                <w:rFonts w:ascii="宋体" w:hAnsi="宋体"/>
                <w:szCs w:val="24"/>
              </w:rPr>
            </w:pPr>
            <w:r>
              <w:rPr>
                <w:rFonts w:ascii="宋体" w:hAnsi="宋体"/>
                <w:szCs w:val="24"/>
              </w:rPr>
              <w:t>6.</w:t>
            </w:r>
            <w:r>
              <w:rPr>
                <w:rFonts w:ascii="宋体" w:hAnsi="宋体" w:hint="eastAsia"/>
                <w:szCs w:val="24"/>
              </w:rPr>
              <w:t>本产品无认购费、申购费；</w:t>
            </w:r>
            <w:r>
              <w:rPr>
                <w:rFonts w:ascii="宋体" w:hAnsi="宋体" w:hint="eastAsia"/>
                <w:b/>
                <w:szCs w:val="24"/>
              </w:rPr>
              <w:t>如投资者连续持有本产品少于</w:t>
            </w:r>
            <w:r>
              <w:rPr>
                <w:rFonts w:ascii="宋体" w:hAnsi="宋体"/>
                <w:b/>
                <w:szCs w:val="24"/>
              </w:rPr>
              <w:t>7</w:t>
            </w:r>
            <w:r>
              <w:rPr>
                <w:rFonts w:ascii="宋体" w:hAnsi="宋体" w:hint="eastAsia"/>
                <w:b/>
                <w:szCs w:val="24"/>
              </w:rPr>
              <w:t>个自然日，管理人可能向投资者收取赎回费（计入</w:t>
            </w:r>
            <w:r>
              <w:rPr>
                <w:rFonts w:ascii="宋体" w:hAnsi="宋体"/>
                <w:b/>
                <w:szCs w:val="24"/>
              </w:rPr>
              <w:t>产品财产）</w:t>
            </w:r>
            <w:r>
              <w:rPr>
                <w:rFonts w:ascii="宋体" w:hAnsi="宋体"/>
                <w:b/>
                <w:szCs w:val="24"/>
              </w:rPr>
              <w:t>,</w:t>
            </w:r>
            <w:r>
              <w:rPr>
                <w:rFonts w:ascii="宋体" w:hAnsi="宋体" w:hint="eastAsia"/>
                <w:b/>
                <w:szCs w:val="24"/>
              </w:rPr>
              <w:t>并提前发布公告。</w:t>
            </w:r>
          </w:p>
          <w:p w:rsidR="0089610B" w:rsidRDefault="00A93C12">
            <w:pPr>
              <w:snapToGrid w:val="0"/>
              <w:rPr>
                <w:rFonts w:ascii="宋体" w:hAnsi="宋体"/>
                <w:szCs w:val="24"/>
              </w:rPr>
            </w:pPr>
            <w:r>
              <w:rPr>
                <w:rFonts w:ascii="宋体" w:hAnsi="宋体" w:hint="eastAsia"/>
                <w:szCs w:val="24"/>
              </w:rPr>
              <w:t>产品管理人保留调整上述理财产品收取费率标准的权利。以上费用精确到小数点后</w:t>
            </w:r>
            <w:r>
              <w:rPr>
                <w:rFonts w:ascii="宋体" w:hAnsi="宋体" w:hint="eastAsia"/>
                <w:szCs w:val="24"/>
              </w:rPr>
              <w:t>2</w:t>
            </w:r>
            <w:r>
              <w:rPr>
                <w:rFonts w:ascii="宋体" w:hAnsi="宋体" w:hint="eastAsia"/>
                <w:szCs w:val="24"/>
              </w:rPr>
              <w:t>位，小数点</w:t>
            </w:r>
            <w:r>
              <w:rPr>
                <w:rFonts w:ascii="宋体" w:hAnsi="宋体" w:hint="eastAsia"/>
                <w:szCs w:val="24"/>
              </w:rPr>
              <w:t>2</w:t>
            </w:r>
            <w:r>
              <w:rPr>
                <w:rFonts w:ascii="宋体" w:hAnsi="宋体" w:hint="eastAsia"/>
                <w:szCs w:val="24"/>
              </w:rPr>
              <w:t>位以后四舍五入。</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业绩</w:t>
            </w:r>
            <w:r>
              <w:rPr>
                <w:rFonts w:ascii="宋体" w:hAnsi="宋体"/>
                <w:szCs w:val="24"/>
              </w:rPr>
              <w:t>报酬计提</w:t>
            </w:r>
            <w:r>
              <w:rPr>
                <w:rFonts w:ascii="宋体" w:hAnsi="宋体" w:hint="eastAsia"/>
                <w:szCs w:val="24"/>
              </w:rPr>
              <w:t>基准</w:t>
            </w:r>
          </w:p>
        </w:tc>
        <w:tc>
          <w:tcPr>
            <w:tcW w:w="6804" w:type="dxa"/>
            <w:gridSpan w:val="4"/>
            <w:vAlign w:val="center"/>
          </w:tcPr>
          <w:p w:rsidR="0089610B" w:rsidRDefault="00A93C12">
            <w:pPr>
              <w:snapToGrid w:val="0"/>
              <w:rPr>
                <w:b/>
                <w:szCs w:val="24"/>
              </w:rPr>
            </w:pPr>
            <w:r>
              <w:rPr>
                <w:rFonts w:hint="eastAsia"/>
                <w:b/>
                <w:szCs w:val="24"/>
              </w:rPr>
              <w:t>本产品不设置业绩报酬计提基准。</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szCs w:val="24"/>
              </w:rPr>
            </w:pPr>
            <w:r>
              <w:rPr>
                <w:rFonts w:ascii="宋体" w:hAnsi="宋体" w:hint="eastAsia"/>
                <w:szCs w:val="24"/>
              </w:rPr>
              <w:t>销售渠道</w:t>
            </w:r>
          </w:p>
        </w:tc>
        <w:tc>
          <w:tcPr>
            <w:tcW w:w="6804" w:type="dxa"/>
            <w:gridSpan w:val="4"/>
            <w:vAlign w:val="center"/>
          </w:tcPr>
          <w:p w:rsidR="0089610B" w:rsidRDefault="00A93C12" w:rsidP="00A93C12">
            <w:pPr>
              <w:snapToGrid w:val="0"/>
              <w:rPr>
                <w:rFonts w:ascii="宋体" w:hAnsi="宋体"/>
                <w:szCs w:val="24"/>
              </w:rPr>
            </w:pPr>
            <w:r>
              <w:rPr>
                <w:rFonts w:ascii="仿宋_GB2312" w:hAnsi="Times New Roman" w:hint="eastAsia"/>
                <w:kern w:val="0"/>
              </w:rPr>
              <w:t>浙江桐乡农村商业银行股份有限公司、浙江萧山农村商业银行股份有限公司、</w:t>
            </w:r>
            <w:r>
              <w:rPr>
                <w:rFonts w:ascii="宋体" w:hAnsi="宋体" w:cs="宋体" w:hint="eastAsia"/>
                <w:kern w:val="0"/>
                <w:szCs w:val="24"/>
              </w:rPr>
              <w:t>浙江德清农村商业银行股份有限公司、浙江禾城农村商业银行股份有限公司、浙江海宁农村商业银行股份有限公司</w:t>
            </w:r>
            <w:r>
              <w:rPr>
                <w:rFonts w:hint="eastAsia"/>
                <w:szCs w:val="24"/>
              </w:rPr>
              <w:t>及其他销售机构（如有）</w:t>
            </w:r>
          </w:p>
        </w:tc>
      </w:tr>
      <w:tr w:rsidR="0089610B">
        <w:trPr>
          <w:trHeight w:val="425"/>
          <w:jc w:val="center"/>
        </w:trPr>
        <w:tc>
          <w:tcPr>
            <w:tcW w:w="2411" w:type="dxa"/>
            <w:vAlign w:val="center"/>
          </w:tcPr>
          <w:p w:rsidR="0089610B" w:rsidRDefault="00A93C12">
            <w:pPr>
              <w:snapToGrid w:val="0"/>
              <w:ind w:leftChars="-74" w:left="-163" w:hanging="15"/>
              <w:jc w:val="center"/>
              <w:rPr>
                <w:rFonts w:ascii="宋体" w:hAnsi="宋体"/>
                <w:kern w:val="0"/>
                <w:szCs w:val="24"/>
              </w:rPr>
            </w:pPr>
            <w:r>
              <w:rPr>
                <w:rFonts w:ascii="宋体" w:hAnsi="宋体" w:hint="eastAsia"/>
                <w:kern w:val="0"/>
                <w:szCs w:val="24"/>
              </w:rPr>
              <w:t>信息披露</w:t>
            </w:r>
          </w:p>
        </w:tc>
        <w:tc>
          <w:tcPr>
            <w:tcW w:w="6804" w:type="dxa"/>
            <w:gridSpan w:val="4"/>
            <w:vAlign w:val="center"/>
          </w:tcPr>
          <w:p w:rsidR="0089610B" w:rsidRDefault="00A93C12">
            <w:pPr>
              <w:snapToGrid w:val="0"/>
              <w:rPr>
                <w:rFonts w:ascii="仿宋_GB2312" w:hAnsi="宋体" w:cs="宋体"/>
                <w:b/>
                <w:kern w:val="0"/>
                <w:szCs w:val="24"/>
              </w:rPr>
            </w:pPr>
            <w:r>
              <w:rPr>
                <w:rFonts w:ascii="宋体" w:hAnsi="宋体" w:hint="eastAsia"/>
                <w:b/>
                <w:szCs w:val="24"/>
              </w:rPr>
              <w:t>本产品成立后，管理人将在申购日</w:t>
            </w:r>
            <w:r>
              <w:rPr>
                <w:rFonts w:ascii="宋体" w:hAnsi="宋体"/>
                <w:b/>
                <w:szCs w:val="24"/>
              </w:rPr>
              <w:t>/</w:t>
            </w:r>
            <w:r>
              <w:rPr>
                <w:rFonts w:ascii="宋体" w:hAnsi="宋体" w:hint="eastAsia"/>
                <w:b/>
                <w:szCs w:val="24"/>
              </w:rPr>
              <w:t>赎回日结束后【</w:t>
            </w:r>
            <w:r>
              <w:rPr>
                <w:rFonts w:ascii="宋体" w:hAnsi="宋体"/>
                <w:b/>
                <w:szCs w:val="24"/>
              </w:rPr>
              <w:t>2</w:t>
            </w:r>
            <w:r>
              <w:rPr>
                <w:rFonts w:ascii="宋体" w:hAnsi="宋体" w:hint="eastAsia"/>
                <w:b/>
                <w:szCs w:val="24"/>
              </w:rPr>
              <w:t>】个工作日内披露开放日公告，公告内容包括申购日</w:t>
            </w:r>
            <w:r>
              <w:rPr>
                <w:rFonts w:ascii="宋体" w:hAnsi="宋体"/>
                <w:b/>
                <w:szCs w:val="24"/>
              </w:rPr>
              <w:t>/</w:t>
            </w:r>
            <w:r>
              <w:rPr>
                <w:rFonts w:ascii="宋体" w:hAnsi="宋体" w:hint="eastAsia"/>
                <w:b/>
                <w:szCs w:val="24"/>
              </w:rPr>
              <w:t>赎回日的产品份额净值、产品份额累计净值、申购</w:t>
            </w:r>
            <w:r>
              <w:rPr>
                <w:rFonts w:ascii="宋体" w:hAnsi="宋体"/>
                <w:b/>
                <w:szCs w:val="24"/>
              </w:rPr>
              <w:t>/</w:t>
            </w:r>
            <w:r>
              <w:rPr>
                <w:rFonts w:ascii="宋体" w:hAnsi="宋体" w:hint="eastAsia"/>
                <w:b/>
                <w:szCs w:val="24"/>
              </w:rPr>
              <w:t>赎回</w:t>
            </w:r>
            <w:r>
              <w:rPr>
                <w:rFonts w:ascii="宋体" w:hAnsi="宋体"/>
                <w:b/>
                <w:szCs w:val="24"/>
              </w:rPr>
              <w:t>价格</w:t>
            </w:r>
            <w:r>
              <w:rPr>
                <w:rFonts w:ascii="宋体" w:hAnsi="宋体" w:hint="eastAsia"/>
                <w:b/>
                <w:szCs w:val="24"/>
              </w:rPr>
              <w:t>。</w:t>
            </w:r>
          </w:p>
          <w:p w:rsidR="0089610B" w:rsidRDefault="00A93C12">
            <w:pPr>
              <w:snapToGrid w:val="0"/>
              <w:rPr>
                <w:rFonts w:ascii="宋体" w:hAnsi="宋体"/>
                <w:szCs w:val="24"/>
              </w:rPr>
            </w:pPr>
            <w:r>
              <w:rPr>
                <w:rFonts w:asciiTheme="minorEastAsia" w:hAnsiTheme="minorEastAsia" w:hint="eastAsia"/>
                <w:szCs w:val="24"/>
              </w:rPr>
              <w:t>本产品成立、运行、到期、净值等信息将通过管理人</w:t>
            </w:r>
            <w:r>
              <w:rPr>
                <w:rFonts w:asciiTheme="minorEastAsia" w:hAnsiTheme="minorEastAsia"/>
                <w:szCs w:val="24"/>
              </w:rPr>
              <w:t>官方网站</w:t>
            </w:r>
            <w:r>
              <w:rPr>
                <w:rFonts w:ascii="仿宋_GB2312" w:hAnsi="宋体" w:cs="宋体" w:hint="eastAsia"/>
                <w:kern w:val="0"/>
                <w:szCs w:val="24"/>
              </w:rPr>
              <w:t>【</w:t>
            </w:r>
            <w:r>
              <w:rPr>
                <w:rFonts w:ascii="仿宋_GB2312" w:hAnsi="宋体" w:cs="宋体"/>
                <w:kern w:val="0"/>
                <w:szCs w:val="24"/>
              </w:rPr>
              <w:t>www.czbank-wm.com</w:t>
            </w:r>
            <w:r>
              <w:rPr>
                <w:rFonts w:ascii="仿宋_GB2312" w:hAnsi="宋体" w:cs="宋体" w:hint="eastAsia"/>
                <w:kern w:val="0"/>
                <w:szCs w:val="24"/>
              </w:rPr>
              <w:t>】、</w:t>
            </w:r>
            <w:r>
              <w:rPr>
                <w:rFonts w:asciiTheme="minorEastAsia" w:hAnsiTheme="minorEastAsia" w:cs="宋体" w:hint="eastAsia"/>
                <w:kern w:val="0"/>
                <w:szCs w:val="24"/>
              </w:rPr>
              <w:t>销售机构、网上银行、个人手机银行</w:t>
            </w:r>
            <w:r>
              <w:rPr>
                <w:rFonts w:asciiTheme="minorEastAsia" w:hAnsiTheme="minorEastAsia" w:hint="eastAsia"/>
                <w:szCs w:val="24"/>
              </w:rPr>
              <w:t>或其他与投资者约定的</w:t>
            </w:r>
            <w:r>
              <w:rPr>
                <w:rFonts w:asciiTheme="minorEastAsia" w:hAnsiTheme="minorEastAsia" w:cs="宋体" w:hint="eastAsia"/>
                <w:kern w:val="0"/>
                <w:szCs w:val="24"/>
              </w:rPr>
              <w:t>一种或多种渠道进行信息披露，</w:t>
            </w:r>
            <w:r>
              <w:rPr>
                <w:rFonts w:asciiTheme="minorEastAsia" w:hAnsiTheme="minorEastAsia" w:hint="eastAsia"/>
                <w:szCs w:val="24"/>
              </w:rPr>
              <w:t>请投资者持续关注并及时查看。</w:t>
            </w:r>
          </w:p>
        </w:tc>
      </w:tr>
      <w:tr w:rsidR="0089610B">
        <w:trPr>
          <w:trHeight w:val="425"/>
          <w:jc w:val="center"/>
        </w:trPr>
        <w:tc>
          <w:tcPr>
            <w:tcW w:w="2411" w:type="dxa"/>
            <w:vAlign w:val="center"/>
          </w:tcPr>
          <w:p w:rsidR="0089610B" w:rsidRDefault="00A93C12">
            <w:pPr>
              <w:snapToGrid w:val="0"/>
              <w:jc w:val="center"/>
              <w:rPr>
                <w:rFonts w:ascii="宋体" w:hAnsi="宋体"/>
                <w:bCs/>
                <w:iCs/>
                <w:szCs w:val="24"/>
              </w:rPr>
            </w:pPr>
            <w:r>
              <w:rPr>
                <w:rFonts w:ascii="宋体" w:hAnsi="宋体" w:hint="eastAsia"/>
                <w:bCs/>
                <w:iCs/>
                <w:szCs w:val="24"/>
              </w:rPr>
              <w:t>其他规定</w:t>
            </w:r>
          </w:p>
        </w:tc>
        <w:tc>
          <w:tcPr>
            <w:tcW w:w="6804" w:type="dxa"/>
            <w:gridSpan w:val="4"/>
            <w:vAlign w:val="center"/>
          </w:tcPr>
          <w:p w:rsidR="0089610B" w:rsidRDefault="00A93C12">
            <w:pPr>
              <w:snapToGrid w:val="0"/>
              <w:rPr>
                <w:rFonts w:ascii="宋体" w:hAnsi="宋体"/>
                <w:b/>
                <w:bCs/>
                <w:iCs/>
                <w:szCs w:val="24"/>
              </w:rPr>
            </w:pPr>
            <w:r>
              <w:rPr>
                <w:rFonts w:ascii="宋体" w:hAnsi="宋体"/>
                <w:b/>
                <w:bCs/>
                <w:iCs/>
                <w:szCs w:val="24"/>
              </w:rPr>
              <w:t>1.</w:t>
            </w:r>
            <w:r>
              <w:rPr>
                <w:rFonts w:ascii="宋体" w:hAnsi="宋体" w:hint="eastAsia"/>
                <w:b/>
                <w:bCs/>
                <w:iCs/>
                <w:szCs w:val="24"/>
              </w:rPr>
              <w:t>募集期内认购资金是否计息以销售机构为准，但利息不计入认购本金份额。</w:t>
            </w:r>
          </w:p>
          <w:p w:rsidR="0089610B" w:rsidRDefault="00A93C12">
            <w:pPr>
              <w:snapToGrid w:val="0"/>
              <w:rPr>
                <w:rFonts w:ascii="宋体" w:hAnsi="宋体"/>
                <w:b/>
                <w:bCs/>
                <w:iCs/>
                <w:szCs w:val="24"/>
              </w:rPr>
            </w:pPr>
            <w:r>
              <w:rPr>
                <w:rFonts w:ascii="宋体" w:hAnsi="宋体" w:hint="eastAsia"/>
                <w:b/>
                <w:bCs/>
                <w:iCs/>
                <w:szCs w:val="24"/>
              </w:rPr>
              <w:t>2.</w:t>
            </w:r>
            <w:r>
              <w:rPr>
                <w:rFonts w:ascii="宋体" w:hAnsi="宋体" w:hint="eastAsia"/>
                <w:b/>
                <w:bCs/>
                <w:iCs/>
                <w:szCs w:val="24"/>
              </w:rPr>
              <w:t>本产品赎回确认日、</w:t>
            </w:r>
            <w:r>
              <w:rPr>
                <w:rFonts w:ascii="宋体" w:hAnsi="宋体"/>
                <w:b/>
                <w:bCs/>
                <w:iCs/>
                <w:szCs w:val="24"/>
              </w:rPr>
              <w:t>到期日（或提前</w:t>
            </w:r>
            <w:r>
              <w:rPr>
                <w:rFonts w:ascii="宋体" w:hAnsi="宋体"/>
                <w:b/>
                <w:bCs/>
                <w:iCs/>
                <w:szCs w:val="24"/>
              </w:rPr>
              <w:t>/</w:t>
            </w:r>
            <w:r>
              <w:rPr>
                <w:rFonts w:ascii="宋体" w:hAnsi="宋体"/>
                <w:b/>
                <w:bCs/>
                <w:iCs/>
                <w:szCs w:val="24"/>
              </w:rPr>
              <w:t>延期终止日）至</w:t>
            </w:r>
            <w:r>
              <w:rPr>
                <w:rFonts w:ascii="宋体" w:hAnsi="宋体" w:hint="eastAsia"/>
                <w:b/>
                <w:bCs/>
                <w:iCs/>
                <w:szCs w:val="24"/>
              </w:rPr>
              <w:t>资金</w:t>
            </w:r>
            <w:r>
              <w:rPr>
                <w:rFonts w:ascii="宋体" w:hAnsi="宋体"/>
                <w:b/>
                <w:bCs/>
                <w:iCs/>
                <w:szCs w:val="24"/>
              </w:rPr>
              <w:t>到账日之间</w:t>
            </w:r>
            <w:r>
              <w:rPr>
                <w:rFonts w:ascii="宋体" w:hAnsi="宋体" w:hint="eastAsia"/>
                <w:b/>
                <w:bCs/>
                <w:iCs/>
                <w:szCs w:val="24"/>
              </w:rPr>
              <w:t>投资者</w:t>
            </w:r>
            <w:r>
              <w:rPr>
                <w:rFonts w:ascii="宋体" w:hAnsi="宋体"/>
                <w:b/>
                <w:bCs/>
                <w:iCs/>
                <w:szCs w:val="24"/>
              </w:rPr>
              <w:t>资金不计</w:t>
            </w:r>
            <w:r>
              <w:rPr>
                <w:rFonts w:ascii="宋体" w:hAnsi="宋体" w:hint="eastAsia"/>
                <w:b/>
                <w:bCs/>
                <w:iCs/>
                <w:szCs w:val="24"/>
              </w:rPr>
              <w:t>利息</w:t>
            </w:r>
            <w:r>
              <w:rPr>
                <w:rFonts w:ascii="宋体" w:hAnsi="宋体"/>
                <w:b/>
                <w:bCs/>
                <w:iCs/>
                <w:szCs w:val="24"/>
              </w:rPr>
              <w:t>。</w:t>
            </w:r>
          </w:p>
          <w:p w:rsidR="0089610B" w:rsidRDefault="00A93C12">
            <w:pPr>
              <w:autoSpaceDE w:val="0"/>
              <w:autoSpaceDN w:val="0"/>
              <w:adjustRightInd w:val="0"/>
              <w:snapToGrid w:val="0"/>
              <w:rPr>
                <w:rFonts w:ascii="宋体" w:hAnsi="宋体"/>
                <w:bCs/>
                <w:iCs/>
                <w:szCs w:val="24"/>
              </w:rPr>
            </w:pPr>
            <w:r>
              <w:rPr>
                <w:rFonts w:ascii="宋体" w:hAnsi="宋体" w:hint="eastAsia"/>
                <w:b/>
                <w:bCs/>
                <w:iCs/>
                <w:szCs w:val="24"/>
              </w:rPr>
              <w:t>3.</w:t>
            </w:r>
            <w:r>
              <w:rPr>
                <w:rFonts w:ascii="宋体" w:hAnsi="宋体" w:hint="eastAsia"/>
                <w:b/>
                <w:bCs/>
                <w:iCs/>
                <w:szCs w:val="24"/>
              </w:rPr>
              <w:t>理财产品份额转让</w:t>
            </w:r>
            <w:r>
              <w:rPr>
                <w:rFonts w:ascii="宋体" w:hAnsi="宋体"/>
                <w:b/>
                <w:bCs/>
                <w:iCs/>
                <w:szCs w:val="24"/>
              </w:rPr>
              <w:t>、</w:t>
            </w:r>
            <w:r>
              <w:rPr>
                <w:rFonts w:ascii="宋体" w:hAnsi="宋体" w:hint="eastAsia"/>
                <w:b/>
                <w:bCs/>
                <w:iCs/>
                <w:szCs w:val="24"/>
              </w:rPr>
              <w:t>质押将依照销售机构的业务政策执行。</w:t>
            </w:r>
          </w:p>
        </w:tc>
      </w:tr>
    </w:tbl>
    <w:p w:rsidR="0089610B" w:rsidRDefault="00A93C12">
      <w:pPr>
        <w:pStyle w:val="1"/>
      </w:pPr>
      <w:r>
        <w:rPr>
          <w:rFonts w:ascii="黑体" w:hAnsi="宋体" w:cs="宋体" w:hint="eastAsia"/>
          <w:bCs/>
          <w:kern w:val="0"/>
          <w:szCs w:val="24"/>
        </w:rPr>
        <w:br w:type="page"/>
      </w:r>
      <w:r>
        <w:rPr>
          <w:rFonts w:hint="eastAsia"/>
        </w:rPr>
        <w:t>理财产品的认购与成立</w:t>
      </w:r>
    </w:p>
    <w:p w:rsidR="0089610B" w:rsidRDefault="00A93C12">
      <w:pPr>
        <w:pStyle w:val="2"/>
        <w:widowControl/>
        <w:tabs>
          <w:tab w:val="left" w:pos="709"/>
        </w:tabs>
        <w:adjustRightInd w:val="0"/>
        <w:snapToGrid w:val="0"/>
        <w:ind w:firstLine="482"/>
        <w:rPr>
          <w:rFonts w:ascii="仿宋_GB2312" w:hAnsi="宋体" w:cs="宋体"/>
          <w:bCs/>
          <w:kern w:val="0"/>
          <w:szCs w:val="24"/>
        </w:rPr>
      </w:pPr>
      <w:r>
        <w:rPr>
          <w:rFonts w:ascii="仿宋_GB2312" w:hAnsi="宋体" w:cs="宋体" w:hint="eastAsia"/>
          <w:bCs/>
          <w:kern w:val="0"/>
          <w:szCs w:val="24"/>
        </w:rPr>
        <w:t>参与主体及主要职责</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1.</w:t>
      </w:r>
      <w:r>
        <w:rPr>
          <w:rFonts w:ascii="仿宋_GB2312" w:hAnsi="宋体" w:cs="宋体" w:hint="eastAsia"/>
          <w:bCs/>
          <w:kern w:val="0"/>
          <w:szCs w:val="24"/>
        </w:rPr>
        <w:t>产品管理人</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名称：浙银理财有限责任公司</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注册地：浙江省杭州市萧山区宁围街道民和路939号浙江商会大厦2幢20-22楼</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浙银理财负责本产品的投资运作和产品管理，</w:t>
      </w:r>
      <w:r>
        <w:rPr>
          <w:rFonts w:ascii="仿宋_GB2312" w:hAnsi="宋体" w:cs="宋体" w:hint="eastAsia"/>
          <w:b/>
          <w:kern w:val="0"/>
          <w:szCs w:val="24"/>
        </w:rPr>
        <w:t>投资者在此授权并同意浙银理财享有以下权利</w:t>
      </w:r>
      <w:r>
        <w:rPr>
          <w:rFonts w:ascii="仿宋_GB2312" w:hAnsi="宋体" w:cs="宋体" w:hint="eastAsia"/>
          <w:bCs/>
          <w:kern w:val="0"/>
          <w:szCs w:val="24"/>
        </w:rPr>
        <w:t>：</w:t>
      </w:r>
    </w:p>
    <w:p w:rsidR="0089610B" w:rsidRDefault="00A93C12">
      <w:pPr>
        <w:widowControl/>
        <w:numPr>
          <w:ilvl w:val="0"/>
          <w:numId w:val="3"/>
        </w:numPr>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按照本产品销售文件的约定，管理、运用和处分理财产品资金；</w:t>
      </w:r>
    </w:p>
    <w:p w:rsidR="0089610B" w:rsidRDefault="00A93C12">
      <w:pPr>
        <w:widowControl/>
        <w:numPr>
          <w:ilvl w:val="0"/>
          <w:numId w:val="3"/>
        </w:numPr>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按照本产品销售文件的约定，及时、足额获得管理费和本产品说明书约定的其他费用（如有）；</w:t>
      </w:r>
    </w:p>
    <w:p w:rsidR="0089610B" w:rsidRDefault="00A93C12">
      <w:pPr>
        <w:widowControl/>
        <w:numPr>
          <w:ilvl w:val="0"/>
          <w:numId w:val="3"/>
        </w:numPr>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管理人以其固有财产先行垫付因处理本产品相关事务所支出的理财产品费用及税费的，对理财产品资金享有优先受偿权；</w:t>
      </w:r>
    </w:p>
    <w:p w:rsidR="0089610B" w:rsidRDefault="00A93C12">
      <w:pPr>
        <w:widowControl/>
        <w:numPr>
          <w:ilvl w:val="0"/>
          <w:numId w:val="3"/>
        </w:numPr>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管理人有权根据本产品销售文件的约定提前终止或延长本理财产品的期限；</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（5）管理人有权单方调整本产品的发行规模上限、认/申购起点金额、投资者累计认/申购上限、赎回上限等要素；</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（6）管理人有权按照法律法规和监管机构的要求将投资者的信息向有权部门或相关机构披露；</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（7）以理财产品管理人的名义，依照法律法规相关规定以及为理财产品的利益，对被投资的各类资产行使出资人/投资者权利（包括但不限于表决投票的权利）；</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8）以理财产品管理人的名义，依照法律法规相关规定以及代表理财产品份额持有人的利益代为行使追索的权利（包括但不限于提起诉讼/仲裁、申请保全/执行的权利）或者实施其他风险处置、行使、放弃、变更相关权利义务的法律行为；</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（9）法律法规、监管政策及本产品文件约定的其他权利。</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2.产品托管机构</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名称：浙商银行股份有限公司</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注册地：浙江省杭州市萧山区鸿宁路</w:t>
      </w:r>
      <w:r>
        <w:rPr>
          <w:rFonts w:ascii="仿宋_GB2312" w:hAnsi="宋体" w:cs="宋体"/>
          <w:bCs/>
          <w:kern w:val="0"/>
          <w:szCs w:val="24"/>
        </w:rPr>
        <w:t>1788</w:t>
      </w:r>
      <w:r>
        <w:rPr>
          <w:rFonts w:ascii="仿宋_GB2312" w:hAnsi="宋体" w:cs="宋体" w:hint="eastAsia"/>
          <w:bCs/>
          <w:kern w:val="0"/>
          <w:szCs w:val="24"/>
        </w:rPr>
        <w:t>号</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客户服务热线：</w:t>
      </w:r>
      <w:r>
        <w:rPr>
          <w:rFonts w:ascii="仿宋_GB2312" w:hAnsi="宋体" w:cs="宋体"/>
          <w:bCs/>
          <w:kern w:val="0"/>
          <w:szCs w:val="24"/>
        </w:rPr>
        <w:t>95527</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托管机构主要职责：提供包括账户开立、资金保管、资金清算、估值核算、投资监督等理财产品托管服务。</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产品管理人为理财产品资金管理之目的，以本产品的名义在托管人处单独开立资金账户，理财产品资金的一切收支活动，包括但不限于划付对外投资资金、缴纳理财产品税费、接收理财产品回收资金、支付理财产品费用，均必须通过该账户进行。</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3.</w:t>
      </w:r>
      <w:r>
        <w:rPr>
          <w:rFonts w:ascii="仿宋_GB2312" w:hAnsi="宋体" w:cs="宋体" w:hint="eastAsia"/>
          <w:bCs/>
          <w:kern w:val="0"/>
          <w:szCs w:val="24"/>
        </w:rPr>
        <w:t>产品销售机构</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名称：</w:t>
      </w:r>
      <w:r>
        <w:rPr>
          <w:rFonts w:ascii="仿宋_GB2312" w:hAnsi="Times New Roman" w:hint="eastAsia"/>
          <w:kern w:val="0"/>
        </w:rPr>
        <w:t>浙江桐乡农村商业银行股份有限公司</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注册地：浙江省嘉兴市桐乡市梧桐街道校场东路59号</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客户服务热线：96596</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名称：</w:t>
      </w:r>
      <w:r>
        <w:rPr>
          <w:rFonts w:ascii="仿宋_GB2312" w:hAnsi="Times New Roman" w:hint="eastAsia"/>
          <w:kern w:val="0"/>
        </w:rPr>
        <w:t>浙江萧山农村商业银行股份有限公司</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注册地：浙江省杭州市萧山区盈丰街道鸿宁路2288号</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客户服务热线：96596</w:t>
      </w:r>
    </w:p>
    <w:p w:rsidR="00A93C12" w:rsidRDefault="00A93C12" w:rsidP="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名称：</w:t>
      </w:r>
      <w:r>
        <w:rPr>
          <w:rFonts w:ascii="仿宋_GB2312" w:hAnsi="Times New Roman" w:hint="eastAsia"/>
          <w:kern w:val="0"/>
        </w:rPr>
        <w:t>浙江德清农村商业银行股份有限公司</w:t>
      </w:r>
    </w:p>
    <w:p w:rsidR="00A93C12" w:rsidRDefault="00A93C12" w:rsidP="00A93C12">
      <w:pPr>
        <w:widowControl/>
        <w:tabs>
          <w:tab w:val="left" w:pos="709"/>
        </w:tabs>
        <w:adjustRightInd w:val="0"/>
        <w:snapToGrid w:val="0"/>
        <w:spacing w:line="360" w:lineRule="auto"/>
        <w:ind w:firstLineChars="200" w:firstLine="480"/>
        <w:rPr>
          <w:rFonts w:ascii="仿宋_GB2312" w:hAnsi="Times New Roman"/>
          <w:kern w:val="0"/>
        </w:rPr>
      </w:pPr>
      <w:r>
        <w:rPr>
          <w:rFonts w:ascii="仿宋_GB2312" w:hAnsi="宋体" w:cs="宋体" w:hint="eastAsia"/>
          <w:bCs/>
          <w:kern w:val="0"/>
          <w:szCs w:val="24"/>
        </w:rPr>
        <w:t>注册地：</w:t>
      </w:r>
      <w:r w:rsidRPr="007B33B7">
        <w:rPr>
          <w:rFonts w:ascii="仿宋_GB2312" w:hAnsi="Times New Roman" w:hint="eastAsia"/>
          <w:kern w:val="0"/>
        </w:rPr>
        <w:t>浙江省德清县武康街道沈长圩街 50号</w:t>
      </w:r>
    </w:p>
    <w:p w:rsidR="00A93C12" w:rsidRDefault="00A93C12" w:rsidP="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客户服务热线：96596</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名称：</w:t>
      </w:r>
      <w:r>
        <w:rPr>
          <w:rFonts w:ascii="仿宋_GB2312" w:hAnsi="Times New Roman" w:hint="eastAsia"/>
          <w:kern w:val="0"/>
        </w:rPr>
        <w:t>浙江禾城农村商业银行股份有限公司</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注册地：浙江省嘉兴市经济技术开发区文昌路1229号</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客户服务热线：96596</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名称：</w:t>
      </w:r>
      <w:r>
        <w:rPr>
          <w:rFonts w:ascii="仿宋_GB2312" w:hAnsi="Times New Roman" w:hint="eastAsia"/>
          <w:kern w:val="0"/>
        </w:rPr>
        <w:t>浙江海宁农村商业银行股份有限公司</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注册地：浙江省海宁市海洲街道钱江西路278号</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客户服务热线：96596</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本产品的认购将通过销售机构</w:t>
      </w:r>
      <w:r>
        <w:rPr>
          <w:rFonts w:ascii="仿宋_GB2312" w:hAnsi="宋体" w:cs="宋体"/>
          <w:bCs/>
          <w:kern w:val="0"/>
          <w:szCs w:val="24"/>
        </w:rPr>
        <w:t>网上银行、手机银行</w:t>
      </w:r>
      <w:r>
        <w:rPr>
          <w:rFonts w:ascii="仿宋_GB2312" w:hAnsi="宋体" w:cs="宋体" w:hint="eastAsia"/>
          <w:bCs/>
          <w:kern w:val="0"/>
          <w:szCs w:val="24"/>
        </w:rPr>
        <w:t>等</w:t>
      </w:r>
      <w:r>
        <w:rPr>
          <w:rFonts w:ascii="仿宋_GB2312" w:hAnsi="宋体" w:cs="宋体"/>
          <w:bCs/>
          <w:kern w:val="0"/>
          <w:szCs w:val="24"/>
        </w:rPr>
        <w:t>销售渠道</w:t>
      </w:r>
      <w:r>
        <w:rPr>
          <w:rFonts w:ascii="仿宋_GB2312" w:hAnsi="宋体" w:cs="宋体" w:hint="eastAsia"/>
          <w:bCs/>
          <w:kern w:val="0"/>
          <w:szCs w:val="24"/>
        </w:rPr>
        <w:t>（</w:t>
      </w:r>
      <w:r>
        <w:rPr>
          <w:rFonts w:ascii="仿宋_GB2312" w:hAnsi="宋体" w:cs="宋体"/>
          <w:bCs/>
          <w:kern w:val="0"/>
          <w:szCs w:val="24"/>
        </w:rPr>
        <w:t>具体以销售机构提供的方式为准)。本产品销售机构包括但不限于</w:t>
      </w:r>
      <w:r>
        <w:rPr>
          <w:rFonts w:ascii="仿宋_GB2312" w:hAnsi="宋体" w:cs="宋体" w:hint="eastAsia"/>
          <w:bCs/>
          <w:kern w:val="0"/>
          <w:szCs w:val="24"/>
        </w:rPr>
        <w:t>【</w:t>
      </w:r>
      <w:r>
        <w:rPr>
          <w:rFonts w:ascii="仿宋_GB2312" w:hAnsi="Times New Roman" w:hint="eastAsia"/>
          <w:kern w:val="0"/>
        </w:rPr>
        <w:t>浙江桐乡农村商业银行股份有限公司、浙江萧山农村商业银行股份有限公司、浙江德清农村商业银行股份有限公司、浙江禾城农村商业银行股份有限公司、浙江海宁农村商业银行股份有限公司</w:t>
      </w:r>
      <w:r>
        <w:rPr>
          <w:rFonts w:ascii="仿宋_GB2312" w:hAnsi="宋体" w:cs="宋体" w:hint="eastAsia"/>
          <w:bCs/>
          <w:kern w:val="0"/>
          <w:szCs w:val="24"/>
        </w:rPr>
        <w:t>】等代理销售机构，如有</w:t>
      </w:r>
      <w:r>
        <w:rPr>
          <w:rFonts w:ascii="仿宋_GB2312" w:hAnsi="宋体" w:cs="宋体"/>
          <w:bCs/>
          <w:kern w:val="0"/>
          <w:szCs w:val="24"/>
        </w:rPr>
        <w:t>变更以管理人</w:t>
      </w:r>
      <w:r>
        <w:rPr>
          <w:rFonts w:ascii="仿宋_GB2312" w:hAnsi="宋体" w:cs="宋体" w:hint="eastAsia"/>
          <w:bCs/>
          <w:kern w:val="0"/>
          <w:szCs w:val="24"/>
        </w:rPr>
        <w:t>信息披露为准。</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销售</w:t>
      </w:r>
      <w:r>
        <w:rPr>
          <w:rFonts w:ascii="仿宋_GB2312" w:hAnsi="宋体" w:cs="宋体"/>
          <w:bCs/>
          <w:kern w:val="0"/>
          <w:szCs w:val="24"/>
        </w:rPr>
        <w:t>机构</w:t>
      </w:r>
      <w:r>
        <w:rPr>
          <w:rFonts w:ascii="仿宋_GB2312" w:hAnsi="宋体" w:cs="宋体" w:hint="eastAsia"/>
          <w:bCs/>
          <w:kern w:val="0"/>
          <w:szCs w:val="24"/>
        </w:rPr>
        <w:t>主要职责：理财产品宣传推介；为</w:t>
      </w:r>
      <w:r>
        <w:rPr>
          <w:rFonts w:ascii="仿宋_GB2312" w:hAnsi="宋体" w:cs="宋体"/>
          <w:bCs/>
          <w:kern w:val="0"/>
          <w:szCs w:val="24"/>
        </w:rPr>
        <w:t>投资者办理</w:t>
      </w:r>
      <w:r>
        <w:rPr>
          <w:rFonts w:ascii="仿宋_GB2312" w:hAnsi="宋体" w:cs="宋体" w:hint="eastAsia"/>
          <w:bCs/>
          <w:kern w:val="0"/>
          <w:szCs w:val="24"/>
        </w:rPr>
        <w:t>理财产品份额认购</w:t>
      </w:r>
      <w:r>
        <w:rPr>
          <w:rFonts w:ascii="仿宋_GB2312" w:hAnsi="宋体" w:cs="宋体"/>
          <w:bCs/>
          <w:kern w:val="0"/>
          <w:szCs w:val="24"/>
        </w:rPr>
        <w:t>/</w:t>
      </w:r>
      <w:r>
        <w:rPr>
          <w:rFonts w:ascii="仿宋_GB2312" w:hAnsi="宋体" w:cs="宋体" w:hint="eastAsia"/>
          <w:bCs/>
          <w:kern w:val="0"/>
          <w:szCs w:val="24"/>
        </w:rPr>
        <w:t>申购</w:t>
      </w:r>
      <w:r>
        <w:rPr>
          <w:rFonts w:ascii="仿宋_GB2312" w:hAnsi="宋体" w:cs="宋体"/>
          <w:bCs/>
          <w:kern w:val="0"/>
          <w:szCs w:val="24"/>
        </w:rPr>
        <w:t>/</w:t>
      </w:r>
      <w:r>
        <w:rPr>
          <w:rFonts w:ascii="仿宋_GB2312" w:hAnsi="宋体" w:cs="宋体" w:hint="eastAsia"/>
          <w:bCs/>
          <w:kern w:val="0"/>
          <w:szCs w:val="24"/>
        </w:rPr>
        <w:t>赎回服务；投资者风险承受能力评估和投资者适当性管理；</w:t>
      </w:r>
      <w:r>
        <w:rPr>
          <w:rFonts w:ascii="仿宋_GB2312" w:hint="eastAsia"/>
        </w:rPr>
        <w:t>反洗钱、反恐怖融资、反扩散融资及非居民金融账户涉税信息尽职调查等</w:t>
      </w:r>
      <w:r>
        <w:rPr>
          <w:rFonts w:ascii="仿宋_GB2312"/>
        </w:rPr>
        <w:t>；</w:t>
      </w:r>
      <w:r>
        <w:rPr>
          <w:rFonts w:ascii="仿宋_GB2312" w:hint="eastAsia"/>
        </w:rPr>
        <w:t>协助投资者与管理人沟通</w:t>
      </w:r>
      <w:r>
        <w:rPr>
          <w:rFonts w:ascii="仿宋_GB2312" w:hAnsi="宋体" w:cs="宋体" w:hint="eastAsia"/>
          <w:bCs/>
          <w:kern w:val="0"/>
          <w:szCs w:val="24"/>
        </w:rPr>
        <w:t>和客户维护等销售服务；国务院银行业监督管理机构规定的其他职责。</w:t>
      </w:r>
    </w:p>
    <w:p w:rsidR="0089610B" w:rsidRDefault="00A93C12">
      <w:pPr>
        <w:widowControl/>
        <w:tabs>
          <w:tab w:val="left" w:pos="709"/>
        </w:tabs>
        <w:adjustRightInd w:val="0"/>
        <w:snapToGrid w:val="0"/>
        <w:spacing w:line="360" w:lineRule="auto"/>
        <w:ind w:firstLineChars="200" w:firstLine="482"/>
        <w:rPr>
          <w:rFonts w:ascii="仿宋_GB2312" w:hAnsi="宋体" w:cs="宋体"/>
          <w:b/>
          <w:bCs/>
          <w:kern w:val="0"/>
          <w:szCs w:val="24"/>
        </w:rPr>
      </w:pPr>
      <w:r>
        <w:rPr>
          <w:rFonts w:ascii="仿宋_GB2312" w:hAnsi="宋体" w:cs="宋体" w:hint="eastAsia"/>
          <w:b/>
          <w:bCs/>
          <w:kern w:val="0"/>
          <w:szCs w:val="24"/>
        </w:rPr>
        <w:t>★重要</w:t>
      </w:r>
      <w:r>
        <w:rPr>
          <w:rFonts w:ascii="仿宋_GB2312" w:hAnsi="宋体" w:cs="宋体"/>
          <w:b/>
          <w:bCs/>
          <w:kern w:val="0"/>
          <w:szCs w:val="24"/>
        </w:rPr>
        <w:t>提示：</w:t>
      </w:r>
      <w:r>
        <w:rPr>
          <w:rFonts w:ascii="仿宋_GB2312" w:hAnsi="宋体" w:cs="宋体" w:hint="eastAsia"/>
          <w:b/>
          <w:bCs/>
          <w:kern w:val="0"/>
          <w:szCs w:val="24"/>
        </w:rPr>
        <w:t>本产品</w:t>
      </w:r>
      <w:r>
        <w:rPr>
          <w:rFonts w:ascii="仿宋_GB2312" w:hAnsi="宋体" w:cs="宋体"/>
          <w:b/>
          <w:bCs/>
          <w:kern w:val="0"/>
          <w:szCs w:val="24"/>
        </w:rPr>
        <w:t>托管</w:t>
      </w:r>
      <w:r>
        <w:rPr>
          <w:rFonts w:ascii="仿宋_GB2312" w:hAnsi="宋体" w:cs="宋体" w:hint="eastAsia"/>
          <w:b/>
          <w:bCs/>
          <w:kern w:val="0"/>
          <w:szCs w:val="24"/>
        </w:rPr>
        <w:t>机构</w:t>
      </w:r>
      <w:r>
        <w:rPr>
          <w:rFonts w:ascii="仿宋_GB2312" w:hAnsi="宋体" w:cs="宋体"/>
          <w:b/>
          <w:bCs/>
          <w:kern w:val="0"/>
          <w:szCs w:val="24"/>
        </w:rPr>
        <w:t>为</w:t>
      </w:r>
      <w:r>
        <w:rPr>
          <w:rFonts w:ascii="仿宋_GB2312" w:hAnsi="宋体" w:cs="宋体" w:hint="eastAsia"/>
          <w:b/>
          <w:bCs/>
          <w:kern w:val="0"/>
          <w:szCs w:val="24"/>
        </w:rPr>
        <w:t>浙商</w:t>
      </w:r>
      <w:r>
        <w:rPr>
          <w:rFonts w:ascii="仿宋_GB2312" w:hAnsi="宋体" w:cs="宋体"/>
          <w:b/>
          <w:bCs/>
          <w:kern w:val="0"/>
          <w:szCs w:val="24"/>
        </w:rPr>
        <w:t>银行</w:t>
      </w:r>
      <w:r>
        <w:rPr>
          <w:rFonts w:ascii="仿宋_GB2312" w:hAnsi="宋体" w:cs="宋体" w:hint="eastAsia"/>
          <w:b/>
          <w:bCs/>
          <w:kern w:val="0"/>
          <w:szCs w:val="24"/>
        </w:rPr>
        <w:t>，</w:t>
      </w:r>
      <w:r>
        <w:rPr>
          <w:rFonts w:ascii="仿宋_GB2312" w:hAnsi="宋体" w:cs="宋体"/>
          <w:b/>
          <w:bCs/>
          <w:kern w:val="0"/>
          <w:szCs w:val="24"/>
        </w:rPr>
        <w:t>产品管理人</w:t>
      </w:r>
      <w:r>
        <w:rPr>
          <w:rFonts w:ascii="仿宋_GB2312" w:hAnsi="宋体" w:cs="宋体" w:hint="eastAsia"/>
          <w:b/>
          <w:bCs/>
          <w:kern w:val="0"/>
          <w:szCs w:val="24"/>
        </w:rPr>
        <w:t>向</w:t>
      </w:r>
      <w:r>
        <w:rPr>
          <w:rFonts w:ascii="仿宋_GB2312" w:hAnsi="宋体" w:cs="宋体"/>
          <w:b/>
          <w:bCs/>
          <w:kern w:val="0"/>
          <w:szCs w:val="24"/>
        </w:rPr>
        <w:t>浙商</w:t>
      </w:r>
      <w:r>
        <w:rPr>
          <w:rFonts w:ascii="仿宋_GB2312" w:hAnsi="宋体" w:cs="宋体" w:hint="eastAsia"/>
          <w:b/>
          <w:bCs/>
          <w:kern w:val="0"/>
          <w:szCs w:val="24"/>
        </w:rPr>
        <w:t>银行</w:t>
      </w:r>
      <w:r>
        <w:rPr>
          <w:rFonts w:ascii="仿宋_GB2312" w:hAnsi="宋体" w:cs="宋体"/>
          <w:b/>
          <w:bCs/>
          <w:kern w:val="0"/>
          <w:szCs w:val="24"/>
        </w:rPr>
        <w:t>支付</w:t>
      </w:r>
      <w:r>
        <w:rPr>
          <w:rFonts w:ascii="仿宋_GB2312" w:hAnsi="宋体" w:cs="宋体" w:hint="eastAsia"/>
          <w:b/>
          <w:bCs/>
          <w:kern w:val="0"/>
          <w:szCs w:val="24"/>
        </w:rPr>
        <w:t>产品</w:t>
      </w:r>
      <w:r>
        <w:rPr>
          <w:rFonts w:ascii="仿宋_GB2312" w:hAnsi="宋体" w:cs="宋体"/>
          <w:b/>
          <w:bCs/>
          <w:kern w:val="0"/>
          <w:szCs w:val="24"/>
        </w:rPr>
        <w:t>托管费</w:t>
      </w:r>
      <w:r>
        <w:rPr>
          <w:rFonts w:ascii="仿宋_GB2312" w:hAnsi="宋体" w:cs="宋体" w:hint="eastAsia"/>
          <w:b/>
          <w:bCs/>
          <w:kern w:val="0"/>
          <w:szCs w:val="24"/>
        </w:rPr>
        <w:t>。</w:t>
      </w:r>
      <w:r>
        <w:rPr>
          <w:rFonts w:ascii="仿宋_GB2312" w:hAnsi="宋体" w:cs="宋体"/>
          <w:b/>
          <w:bCs/>
          <w:kern w:val="0"/>
          <w:szCs w:val="24"/>
        </w:rPr>
        <w:t>浙商</w:t>
      </w:r>
      <w:r>
        <w:rPr>
          <w:rFonts w:ascii="仿宋_GB2312" w:hAnsi="宋体" w:cs="宋体" w:hint="eastAsia"/>
          <w:b/>
          <w:bCs/>
          <w:kern w:val="0"/>
          <w:szCs w:val="24"/>
        </w:rPr>
        <w:t>银行</w:t>
      </w:r>
      <w:r>
        <w:rPr>
          <w:rFonts w:ascii="仿宋_GB2312" w:hAnsi="宋体" w:cs="宋体"/>
          <w:b/>
          <w:bCs/>
          <w:kern w:val="0"/>
          <w:szCs w:val="24"/>
        </w:rPr>
        <w:t>为产品管理人的关联方</w:t>
      </w:r>
      <w:r>
        <w:rPr>
          <w:rFonts w:ascii="仿宋_GB2312" w:hAnsi="宋体" w:cs="宋体" w:hint="eastAsia"/>
          <w:b/>
          <w:bCs/>
          <w:kern w:val="0"/>
          <w:szCs w:val="24"/>
        </w:rPr>
        <w:t>，产品</w:t>
      </w:r>
      <w:r>
        <w:rPr>
          <w:rFonts w:ascii="仿宋_GB2312" w:hAnsi="宋体" w:cs="宋体"/>
          <w:b/>
          <w:bCs/>
          <w:kern w:val="0"/>
          <w:szCs w:val="24"/>
        </w:rPr>
        <w:t>管理人</w:t>
      </w:r>
      <w:r>
        <w:rPr>
          <w:rFonts w:ascii="仿宋_GB2312" w:hAnsi="宋体" w:cs="宋体" w:hint="eastAsia"/>
          <w:b/>
          <w:bCs/>
          <w:kern w:val="0"/>
          <w:szCs w:val="24"/>
        </w:rPr>
        <w:t>委托</w:t>
      </w:r>
      <w:r>
        <w:rPr>
          <w:rFonts w:ascii="仿宋_GB2312" w:hAnsi="宋体" w:cs="宋体"/>
          <w:b/>
          <w:bCs/>
          <w:kern w:val="0"/>
          <w:szCs w:val="24"/>
        </w:rPr>
        <w:t>浙商银行担任</w:t>
      </w:r>
      <w:r>
        <w:rPr>
          <w:rFonts w:ascii="仿宋_GB2312" w:hAnsi="宋体" w:cs="宋体" w:hint="eastAsia"/>
          <w:b/>
          <w:bCs/>
          <w:kern w:val="0"/>
          <w:szCs w:val="24"/>
        </w:rPr>
        <w:t>产品</w:t>
      </w:r>
      <w:r>
        <w:rPr>
          <w:rFonts w:ascii="仿宋_GB2312" w:hAnsi="宋体" w:cs="宋体"/>
          <w:b/>
          <w:bCs/>
          <w:kern w:val="0"/>
          <w:szCs w:val="24"/>
        </w:rPr>
        <w:t>托管机构</w:t>
      </w:r>
      <w:r>
        <w:rPr>
          <w:rFonts w:ascii="仿宋_GB2312" w:hAnsi="宋体" w:cs="宋体" w:hint="eastAsia"/>
          <w:b/>
          <w:bCs/>
          <w:kern w:val="0"/>
          <w:szCs w:val="24"/>
        </w:rPr>
        <w:t>已</w:t>
      </w:r>
      <w:r>
        <w:rPr>
          <w:rFonts w:ascii="仿宋_GB2312" w:hAnsi="宋体" w:cs="宋体"/>
          <w:b/>
          <w:bCs/>
          <w:kern w:val="0"/>
          <w:szCs w:val="24"/>
        </w:rPr>
        <w:t>履行</w:t>
      </w:r>
      <w:r>
        <w:rPr>
          <w:rFonts w:ascii="仿宋_GB2312" w:hAnsi="宋体" w:cs="宋体" w:hint="eastAsia"/>
          <w:b/>
          <w:bCs/>
          <w:kern w:val="0"/>
          <w:szCs w:val="24"/>
        </w:rPr>
        <w:t>现行法律</w:t>
      </w:r>
      <w:r>
        <w:rPr>
          <w:rFonts w:ascii="仿宋_GB2312" w:hAnsi="宋体" w:cs="宋体"/>
          <w:b/>
          <w:bCs/>
          <w:kern w:val="0"/>
          <w:szCs w:val="24"/>
        </w:rPr>
        <w:t>法规和</w:t>
      </w:r>
      <w:r>
        <w:rPr>
          <w:rFonts w:ascii="仿宋_GB2312" w:hAnsi="宋体" w:cs="宋体" w:hint="eastAsia"/>
          <w:b/>
          <w:bCs/>
          <w:kern w:val="0"/>
          <w:szCs w:val="24"/>
        </w:rPr>
        <w:t>监管</w:t>
      </w:r>
      <w:r>
        <w:rPr>
          <w:rFonts w:ascii="仿宋_GB2312" w:hAnsi="宋体" w:cs="宋体"/>
          <w:b/>
          <w:bCs/>
          <w:kern w:val="0"/>
          <w:szCs w:val="24"/>
        </w:rPr>
        <w:t>规定</w:t>
      </w:r>
      <w:r>
        <w:rPr>
          <w:rFonts w:ascii="仿宋_GB2312" w:hAnsi="宋体" w:cs="宋体" w:hint="eastAsia"/>
          <w:b/>
          <w:bCs/>
          <w:kern w:val="0"/>
          <w:szCs w:val="24"/>
        </w:rPr>
        <w:t>所</w:t>
      </w:r>
      <w:r>
        <w:rPr>
          <w:rFonts w:ascii="仿宋_GB2312" w:hAnsi="宋体" w:cs="宋体"/>
          <w:b/>
          <w:bCs/>
          <w:kern w:val="0"/>
          <w:szCs w:val="24"/>
        </w:rPr>
        <w:t>规定</w:t>
      </w:r>
      <w:r>
        <w:rPr>
          <w:rFonts w:ascii="仿宋_GB2312" w:hAnsi="宋体" w:cs="宋体" w:hint="eastAsia"/>
          <w:b/>
          <w:bCs/>
          <w:kern w:val="0"/>
          <w:szCs w:val="24"/>
        </w:rPr>
        <w:t>必须</w:t>
      </w:r>
      <w:r>
        <w:rPr>
          <w:rFonts w:ascii="仿宋_GB2312" w:hAnsi="宋体" w:cs="宋体"/>
          <w:b/>
          <w:bCs/>
          <w:kern w:val="0"/>
          <w:szCs w:val="24"/>
        </w:rPr>
        <w:t>履行的</w:t>
      </w:r>
      <w:r>
        <w:rPr>
          <w:rFonts w:ascii="仿宋_GB2312" w:hAnsi="宋体" w:cs="宋体" w:hint="eastAsia"/>
          <w:b/>
          <w:bCs/>
          <w:kern w:val="0"/>
          <w:szCs w:val="24"/>
        </w:rPr>
        <w:t>程序</w:t>
      </w:r>
      <w:r>
        <w:rPr>
          <w:rFonts w:ascii="仿宋_GB2312" w:hAnsi="宋体" w:cs="宋体"/>
          <w:b/>
          <w:bCs/>
          <w:kern w:val="0"/>
          <w:szCs w:val="24"/>
        </w:rPr>
        <w:t>，</w:t>
      </w:r>
      <w:r>
        <w:rPr>
          <w:rFonts w:ascii="仿宋_GB2312" w:hAnsi="宋体" w:cs="宋体" w:hint="eastAsia"/>
          <w:b/>
          <w:bCs/>
          <w:kern w:val="0"/>
          <w:szCs w:val="24"/>
        </w:rPr>
        <w:t>前述关联</w:t>
      </w:r>
      <w:r>
        <w:rPr>
          <w:rFonts w:ascii="仿宋_GB2312" w:hAnsi="宋体" w:cs="宋体"/>
          <w:b/>
          <w:bCs/>
          <w:kern w:val="0"/>
          <w:szCs w:val="24"/>
        </w:rPr>
        <w:t>关系</w:t>
      </w:r>
      <w:r>
        <w:rPr>
          <w:rFonts w:ascii="仿宋_GB2312" w:hAnsi="宋体" w:cs="宋体" w:hint="eastAsia"/>
          <w:b/>
          <w:bCs/>
          <w:kern w:val="0"/>
          <w:szCs w:val="24"/>
        </w:rPr>
        <w:t>可能</w:t>
      </w:r>
      <w:r>
        <w:rPr>
          <w:rFonts w:ascii="仿宋_GB2312" w:hAnsi="宋体" w:cs="宋体"/>
          <w:b/>
          <w:bCs/>
          <w:kern w:val="0"/>
          <w:szCs w:val="24"/>
        </w:rPr>
        <w:t>导致</w:t>
      </w:r>
      <w:r>
        <w:rPr>
          <w:rFonts w:ascii="仿宋_GB2312" w:hAnsi="宋体" w:cs="宋体" w:hint="eastAsia"/>
          <w:b/>
          <w:bCs/>
          <w:kern w:val="0"/>
          <w:szCs w:val="24"/>
        </w:rPr>
        <w:t>影响</w:t>
      </w:r>
      <w:r>
        <w:rPr>
          <w:rFonts w:ascii="仿宋_GB2312" w:hAnsi="宋体" w:cs="宋体"/>
          <w:b/>
          <w:bCs/>
          <w:kern w:val="0"/>
          <w:szCs w:val="24"/>
        </w:rPr>
        <w:t>管理人</w:t>
      </w:r>
      <w:r>
        <w:rPr>
          <w:rFonts w:ascii="仿宋_GB2312" w:hAnsi="宋体" w:cs="宋体" w:hint="eastAsia"/>
          <w:b/>
          <w:bCs/>
          <w:kern w:val="0"/>
          <w:szCs w:val="24"/>
        </w:rPr>
        <w:t>独立</w:t>
      </w:r>
      <w:r>
        <w:rPr>
          <w:rFonts w:ascii="仿宋_GB2312" w:hAnsi="宋体" w:cs="宋体"/>
          <w:b/>
          <w:bCs/>
          <w:kern w:val="0"/>
          <w:szCs w:val="24"/>
        </w:rPr>
        <w:t>决策的</w:t>
      </w:r>
      <w:r>
        <w:rPr>
          <w:rFonts w:ascii="仿宋_GB2312" w:hAnsi="宋体" w:cs="宋体" w:hint="eastAsia"/>
          <w:b/>
          <w:bCs/>
          <w:kern w:val="0"/>
          <w:szCs w:val="24"/>
        </w:rPr>
        <w:t>潜在</w:t>
      </w:r>
      <w:r>
        <w:rPr>
          <w:rFonts w:ascii="仿宋_GB2312" w:hAnsi="宋体" w:cs="宋体"/>
          <w:b/>
          <w:bCs/>
          <w:kern w:val="0"/>
          <w:szCs w:val="24"/>
        </w:rPr>
        <w:t>风险</w:t>
      </w:r>
      <w:r>
        <w:rPr>
          <w:rFonts w:ascii="仿宋_GB2312" w:hAnsi="宋体" w:cs="宋体" w:hint="eastAsia"/>
          <w:b/>
          <w:bCs/>
          <w:kern w:val="0"/>
          <w:szCs w:val="24"/>
        </w:rPr>
        <w:t>。</w:t>
      </w:r>
      <w:r>
        <w:rPr>
          <w:rFonts w:ascii="仿宋_GB2312" w:hAnsi="宋体" w:cs="宋体"/>
          <w:b/>
          <w:bCs/>
          <w:kern w:val="0"/>
          <w:szCs w:val="24"/>
        </w:rPr>
        <w:t>投资者</w:t>
      </w:r>
      <w:r>
        <w:rPr>
          <w:rFonts w:ascii="仿宋_GB2312" w:hAnsi="宋体" w:cs="宋体" w:hint="eastAsia"/>
          <w:b/>
          <w:bCs/>
          <w:kern w:val="0"/>
          <w:szCs w:val="24"/>
        </w:rPr>
        <w:t>已充分</w:t>
      </w:r>
      <w:r>
        <w:rPr>
          <w:rFonts w:ascii="仿宋_GB2312" w:hAnsi="宋体" w:cs="宋体"/>
          <w:b/>
          <w:bCs/>
          <w:kern w:val="0"/>
          <w:szCs w:val="24"/>
        </w:rPr>
        <w:t>知悉前述</w:t>
      </w:r>
      <w:r>
        <w:rPr>
          <w:rFonts w:ascii="仿宋_GB2312" w:hAnsi="宋体" w:cs="宋体" w:hint="eastAsia"/>
          <w:b/>
          <w:bCs/>
          <w:kern w:val="0"/>
          <w:szCs w:val="24"/>
        </w:rPr>
        <w:t>关联关系</w:t>
      </w:r>
      <w:r>
        <w:rPr>
          <w:rFonts w:ascii="仿宋_GB2312" w:hAnsi="宋体" w:cs="宋体"/>
          <w:b/>
          <w:bCs/>
          <w:kern w:val="0"/>
          <w:szCs w:val="24"/>
        </w:rPr>
        <w:t>，</w:t>
      </w:r>
      <w:r>
        <w:rPr>
          <w:rFonts w:ascii="仿宋_GB2312" w:hAnsi="宋体" w:cs="宋体" w:hint="eastAsia"/>
          <w:b/>
          <w:bCs/>
          <w:kern w:val="0"/>
          <w:szCs w:val="24"/>
        </w:rPr>
        <w:t>并</w:t>
      </w:r>
      <w:r>
        <w:rPr>
          <w:rFonts w:ascii="仿宋_GB2312" w:hAnsi="宋体" w:cs="宋体"/>
          <w:b/>
          <w:bCs/>
          <w:kern w:val="0"/>
          <w:szCs w:val="24"/>
        </w:rPr>
        <w:t>接受</w:t>
      </w:r>
      <w:r>
        <w:rPr>
          <w:rFonts w:ascii="仿宋_GB2312" w:hAnsi="宋体" w:cs="宋体" w:hint="eastAsia"/>
          <w:b/>
          <w:bCs/>
          <w:kern w:val="0"/>
          <w:szCs w:val="24"/>
        </w:rPr>
        <w:t>理财</w:t>
      </w:r>
      <w:r>
        <w:rPr>
          <w:rFonts w:ascii="仿宋_GB2312" w:hAnsi="宋体" w:cs="宋体"/>
          <w:b/>
          <w:bCs/>
          <w:kern w:val="0"/>
          <w:szCs w:val="24"/>
        </w:rPr>
        <w:t>产品由</w:t>
      </w:r>
      <w:r>
        <w:rPr>
          <w:rFonts w:ascii="仿宋_GB2312" w:hAnsi="宋体" w:cs="宋体" w:hint="eastAsia"/>
          <w:b/>
          <w:bCs/>
          <w:kern w:val="0"/>
          <w:szCs w:val="24"/>
        </w:rPr>
        <w:t>托管机构</w:t>
      </w:r>
      <w:r>
        <w:rPr>
          <w:rFonts w:ascii="仿宋_GB2312" w:hAnsi="宋体" w:cs="宋体"/>
          <w:b/>
          <w:bCs/>
          <w:kern w:val="0"/>
          <w:szCs w:val="24"/>
        </w:rPr>
        <w:t>托管。</w:t>
      </w:r>
    </w:p>
    <w:p w:rsidR="0089610B" w:rsidRDefault="00A93C12">
      <w:pPr>
        <w:pStyle w:val="2"/>
        <w:widowControl/>
        <w:tabs>
          <w:tab w:val="left" w:pos="709"/>
        </w:tabs>
        <w:adjustRightInd w:val="0"/>
        <w:snapToGrid w:val="0"/>
        <w:ind w:firstLine="482"/>
      </w:pPr>
      <w:r>
        <w:t>募集期</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产品募集期内，投资者可多次对本产品认购、追加、</w:t>
      </w:r>
      <w:r>
        <w:rPr>
          <w:rFonts w:hint="eastAsia"/>
        </w:rPr>
        <w:t>撤单</w:t>
      </w:r>
      <w:r>
        <w:rPr>
          <w:rFonts w:ascii="仿宋_GB2312" w:hAnsi="宋体" w:cs="宋体" w:hint="eastAsia"/>
          <w:bCs/>
          <w:kern w:val="0"/>
          <w:szCs w:val="24"/>
        </w:rPr>
        <w:t>。如投资者认购成功，销售机构有权冻结投资者认购资金，</w:t>
      </w:r>
      <w:r>
        <w:rPr>
          <w:rFonts w:ascii="仿宋_GB2312" w:hAnsi="宋体" w:cs="宋体" w:hint="eastAsia"/>
          <w:b/>
          <w:kern w:val="0"/>
          <w:szCs w:val="24"/>
        </w:rPr>
        <w:t>但募集期内认购资金是否计息以销售机构规则为准，利息不计入认购本金份额。</w:t>
      </w:r>
      <w:r>
        <w:rPr>
          <w:rFonts w:ascii="仿宋_GB2312" w:hAnsi="宋体" w:cs="宋体" w:hint="eastAsia"/>
          <w:bCs/>
          <w:kern w:val="0"/>
          <w:szCs w:val="24"/>
        </w:rPr>
        <w:t>销售机构实际受理投资者成功提交的认购申请时间可能与说明书不一致，具体以销售机构信息为准。</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本理财产品累计认购份额达到发行规模上限时，销售机构有权停止接受认购申请。管理人有权根据募集情况提前终止或延长产品募集期，</w:t>
      </w:r>
      <w:r>
        <w:rPr>
          <w:rFonts w:ascii="仿宋_GB2312" w:hAnsi="宋体" w:cs="宋体"/>
          <w:bCs/>
          <w:kern w:val="0"/>
          <w:szCs w:val="24"/>
        </w:rPr>
        <w:t>如有变动</w:t>
      </w:r>
      <w:r>
        <w:rPr>
          <w:rFonts w:ascii="仿宋_GB2312" w:hAnsi="宋体" w:cs="宋体" w:hint="eastAsia"/>
          <w:bCs/>
          <w:kern w:val="0"/>
          <w:szCs w:val="24"/>
        </w:rPr>
        <w:t>以管理人或销售机构公告为准。</w:t>
      </w:r>
    </w:p>
    <w:p w:rsidR="0089610B" w:rsidRDefault="00A93C12">
      <w:pPr>
        <w:pStyle w:val="2"/>
        <w:widowControl/>
        <w:tabs>
          <w:tab w:val="left" w:pos="709"/>
        </w:tabs>
        <w:snapToGrid w:val="0"/>
        <w:ind w:firstLine="482"/>
        <w:rPr>
          <w:rStyle w:val="20"/>
          <w:rFonts w:ascii="仿宋_GB2312" w:hAnsi="宋体"/>
        </w:rPr>
      </w:pPr>
      <w:r>
        <w:rPr>
          <w:rFonts w:ascii="仿宋_GB2312" w:hAnsi="宋体" w:cs="宋体" w:hint="eastAsia"/>
          <w:bCs/>
          <w:kern w:val="0"/>
          <w:szCs w:val="24"/>
        </w:rPr>
        <w:t>投资者</w:t>
      </w:r>
      <w:r>
        <w:rPr>
          <w:rFonts w:ascii="仿宋_GB2312" w:hAnsi="宋体" w:cs="宋体"/>
          <w:bCs/>
          <w:kern w:val="0"/>
          <w:szCs w:val="24"/>
        </w:rPr>
        <w:t>范围</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详见《产品说明书》“第二节 理财产品基本情况”。</w:t>
      </w:r>
    </w:p>
    <w:p w:rsidR="0089610B" w:rsidRDefault="00A93C12">
      <w:pPr>
        <w:pStyle w:val="2"/>
        <w:ind w:firstLine="482"/>
      </w:pPr>
      <w:r>
        <w:rPr>
          <w:rFonts w:hint="eastAsia"/>
        </w:rPr>
        <w:t>认购的</w:t>
      </w:r>
      <w:r>
        <w:t>价格</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本产品的认购价格为每份理财份额人民币1.00</w:t>
      </w:r>
      <w:r>
        <w:rPr>
          <w:rFonts w:ascii="仿宋_GB2312" w:hAnsi="宋体" w:cs="宋体"/>
          <w:bCs/>
          <w:kern w:val="0"/>
          <w:szCs w:val="24"/>
        </w:rPr>
        <w:t>00</w:t>
      </w:r>
      <w:r>
        <w:rPr>
          <w:rFonts w:ascii="仿宋_GB2312" w:hAnsi="宋体" w:cs="宋体" w:hint="eastAsia"/>
          <w:bCs/>
          <w:kern w:val="0"/>
          <w:szCs w:val="24"/>
        </w:rPr>
        <w:t>元。</w:t>
      </w:r>
    </w:p>
    <w:p w:rsidR="0089610B" w:rsidRDefault="00A93C12">
      <w:pPr>
        <w:pStyle w:val="2"/>
        <w:widowControl/>
        <w:tabs>
          <w:tab w:val="left" w:pos="709"/>
        </w:tabs>
        <w:snapToGrid w:val="0"/>
        <w:ind w:firstLine="482"/>
        <w:rPr>
          <w:rFonts w:ascii="仿宋_GB2312" w:hAnsi="宋体" w:cs="宋体"/>
          <w:bCs/>
          <w:kern w:val="0"/>
          <w:szCs w:val="24"/>
        </w:rPr>
      </w:pPr>
      <w:r>
        <w:rPr>
          <w:rFonts w:ascii="仿宋_GB2312" w:hAnsi="宋体" w:cs="宋体" w:hint="eastAsia"/>
          <w:bCs/>
          <w:kern w:val="0"/>
          <w:szCs w:val="24"/>
        </w:rPr>
        <w:t>认购</w:t>
      </w:r>
      <w:r>
        <w:rPr>
          <w:rFonts w:ascii="仿宋_GB2312" w:hAnsi="宋体" w:cs="宋体"/>
          <w:bCs/>
          <w:kern w:val="0"/>
          <w:szCs w:val="24"/>
        </w:rPr>
        <w:t>份额</w:t>
      </w:r>
      <w:r>
        <w:rPr>
          <w:rFonts w:ascii="仿宋_GB2312" w:hAnsi="宋体" w:cs="宋体" w:hint="eastAsia"/>
          <w:bCs/>
          <w:kern w:val="0"/>
          <w:szCs w:val="24"/>
        </w:rPr>
        <w:t>的</w:t>
      </w:r>
      <w:r>
        <w:rPr>
          <w:rFonts w:ascii="仿宋_GB2312" w:hAnsi="宋体" w:cs="宋体"/>
          <w:bCs/>
          <w:kern w:val="0"/>
          <w:szCs w:val="24"/>
        </w:rPr>
        <w:t>计算</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本产品的认购金额包括认购费用和净认购金额。认购份额的计算公式为：</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净认购金额=认购金额/（1+认购费率）（认购</w:t>
      </w:r>
      <w:r>
        <w:rPr>
          <w:rFonts w:ascii="仿宋_GB2312" w:hAnsi="宋体" w:cs="宋体"/>
          <w:bCs/>
          <w:kern w:val="0"/>
          <w:szCs w:val="24"/>
        </w:rPr>
        <w:t>费</w:t>
      </w:r>
      <w:r>
        <w:rPr>
          <w:rFonts w:ascii="仿宋_GB2312" w:hAnsi="宋体" w:cs="宋体" w:hint="eastAsia"/>
          <w:bCs/>
          <w:kern w:val="0"/>
          <w:szCs w:val="24"/>
        </w:rPr>
        <w:t>率详见产品说明书</w:t>
      </w:r>
      <w:r>
        <w:rPr>
          <w:rFonts w:ascii="仿宋_GB2312" w:hAnsi="宋体" w:cs="宋体"/>
          <w:bCs/>
          <w:kern w:val="0"/>
          <w:szCs w:val="24"/>
        </w:rPr>
        <w:t>关于费用</w:t>
      </w:r>
      <w:r>
        <w:rPr>
          <w:rFonts w:ascii="仿宋_GB2312" w:hAnsi="宋体" w:cs="宋体" w:hint="eastAsia"/>
          <w:bCs/>
          <w:kern w:val="0"/>
          <w:szCs w:val="24"/>
        </w:rPr>
        <w:t>的说明）</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认购</w:t>
      </w:r>
      <w:r>
        <w:rPr>
          <w:rFonts w:ascii="仿宋_GB2312" w:hAnsi="宋体" w:cs="宋体"/>
          <w:bCs/>
          <w:kern w:val="0"/>
          <w:szCs w:val="24"/>
        </w:rPr>
        <w:t>费用=</w:t>
      </w:r>
      <w:r>
        <w:rPr>
          <w:rFonts w:ascii="仿宋_GB2312" w:hAnsi="宋体" w:cs="宋体" w:hint="eastAsia"/>
          <w:bCs/>
          <w:kern w:val="0"/>
          <w:szCs w:val="24"/>
        </w:rPr>
        <w:t>认购金额-净</w:t>
      </w:r>
      <w:r>
        <w:rPr>
          <w:rFonts w:ascii="仿宋_GB2312" w:hAnsi="宋体" w:cs="宋体"/>
          <w:bCs/>
          <w:kern w:val="0"/>
          <w:szCs w:val="24"/>
        </w:rPr>
        <w:t>认购金额</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认购</w:t>
      </w:r>
      <w:r>
        <w:rPr>
          <w:rFonts w:ascii="仿宋_GB2312" w:hAnsi="宋体" w:cs="宋体"/>
          <w:bCs/>
          <w:kern w:val="0"/>
          <w:szCs w:val="24"/>
        </w:rPr>
        <w:t>份额=净认购金额</w:t>
      </w:r>
      <w:r>
        <w:rPr>
          <w:rFonts w:ascii="仿宋_GB2312" w:hAnsi="宋体" w:cs="宋体" w:hint="eastAsia"/>
          <w:bCs/>
          <w:kern w:val="0"/>
          <w:szCs w:val="24"/>
        </w:rPr>
        <w:t>/理财产品份额净值</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认购份额以四舍五入的方法保留到小数点后两位。</w:t>
      </w:r>
    </w:p>
    <w:p w:rsidR="0089610B" w:rsidRDefault="00A93C12">
      <w:pPr>
        <w:pStyle w:val="2"/>
        <w:ind w:firstLine="482"/>
      </w:pPr>
      <w:r>
        <w:rPr>
          <w:rFonts w:hint="eastAsia"/>
        </w:rPr>
        <w:t>认购起点和递增</w:t>
      </w:r>
      <w:r>
        <w:t>金额</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详见《产品说明书》“第二节 理财产品基本情况”。</w:t>
      </w:r>
    </w:p>
    <w:p w:rsidR="0089610B" w:rsidRDefault="00A93C12">
      <w:pPr>
        <w:pStyle w:val="2"/>
        <w:widowControl/>
        <w:tabs>
          <w:tab w:val="left" w:pos="709"/>
        </w:tabs>
        <w:snapToGrid w:val="0"/>
        <w:ind w:firstLine="482"/>
        <w:rPr>
          <w:rFonts w:ascii="仿宋_GB2312" w:hAnsi="宋体" w:cs="宋体"/>
          <w:bCs/>
          <w:kern w:val="0"/>
          <w:szCs w:val="24"/>
        </w:rPr>
      </w:pPr>
      <w:r>
        <w:rPr>
          <w:rFonts w:ascii="仿宋_GB2312" w:hAnsi="宋体" w:cs="宋体" w:hint="eastAsia"/>
          <w:bCs/>
          <w:kern w:val="0"/>
          <w:szCs w:val="24"/>
        </w:rPr>
        <w:t>认购确认</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投资者提交认购申请后，如管理人在认购</w:t>
      </w:r>
      <w:r>
        <w:rPr>
          <w:rFonts w:ascii="仿宋_GB2312" w:hAnsi="宋体" w:cs="宋体"/>
          <w:bCs/>
          <w:kern w:val="0"/>
          <w:szCs w:val="24"/>
        </w:rPr>
        <w:t>确认日</w:t>
      </w:r>
      <w:r>
        <w:rPr>
          <w:rFonts w:ascii="仿宋_GB2312" w:hAnsi="宋体" w:cs="宋体" w:hint="eastAsia"/>
          <w:bCs/>
          <w:kern w:val="0"/>
          <w:szCs w:val="24"/>
        </w:rPr>
        <w:t>成功登记投资者认购份额，则视为投资者的认购申请生效。销售机构成功登记投资者认购份额、投资者认购申请生效并不代表销售机构对该认购申请结果的成功确认或承诺，而仅代表其收到认购申请，认购申请结果是否成功以管理人确认为准。本产品认购确认日为本产品成立日。</w:t>
      </w:r>
    </w:p>
    <w:p w:rsidR="0089610B" w:rsidRDefault="00A93C12">
      <w:pPr>
        <w:pStyle w:val="2"/>
        <w:widowControl/>
        <w:tabs>
          <w:tab w:val="left" w:pos="709"/>
        </w:tabs>
        <w:snapToGrid w:val="0"/>
        <w:ind w:firstLine="482"/>
        <w:rPr>
          <w:rFonts w:ascii="仿宋_GB2312" w:hAnsi="宋体" w:cs="宋体"/>
          <w:bCs/>
          <w:kern w:val="0"/>
          <w:szCs w:val="24"/>
        </w:rPr>
      </w:pPr>
      <w:r>
        <w:rPr>
          <w:rFonts w:ascii="仿宋_GB2312" w:hAnsi="宋体" w:cs="宋体" w:hint="eastAsia"/>
          <w:bCs/>
          <w:kern w:val="0"/>
          <w:szCs w:val="24"/>
        </w:rPr>
        <w:t>认购撤销</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募集期内投资者可以撤销已提交的认购申请，具体请以销售机构规定为准。</w:t>
      </w:r>
    </w:p>
    <w:p w:rsidR="0089610B" w:rsidRDefault="00A93C12">
      <w:pPr>
        <w:pStyle w:val="2"/>
        <w:widowControl/>
        <w:tabs>
          <w:tab w:val="left" w:pos="709"/>
        </w:tabs>
        <w:snapToGrid w:val="0"/>
        <w:ind w:firstLine="482"/>
        <w:rPr>
          <w:rFonts w:ascii="仿宋_GB2312" w:hAnsi="宋体" w:cs="宋体"/>
          <w:bCs/>
          <w:kern w:val="0"/>
          <w:szCs w:val="24"/>
        </w:rPr>
      </w:pPr>
      <w:r>
        <w:rPr>
          <w:rFonts w:ascii="仿宋_GB2312" w:hAnsi="宋体" w:cs="宋体" w:hint="eastAsia"/>
          <w:bCs/>
          <w:kern w:val="0"/>
          <w:szCs w:val="24"/>
        </w:rPr>
        <w:t>认购数量</w:t>
      </w:r>
      <w:r>
        <w:rPr>
          <w:rFonts w:ascii="仿宋_GB2312" w:hAnsi="宋体" w:cs="宋体"/>
          <w:bCs/>
          <w:kern w:val="0"/>
          <w:szCs w:val="24"/>
        </w:rPr>
        <w:t>限制</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详见《产品说明书》“第二节 理财产品基本情况”。</w:t>
      </w:r>
    </w:p>
    <w:p w:rsidR="0089610B" w:rsidRDefault="00A93C12">
      <w:pPr>
        <w:pStyle w:val="2"/>
        <w:ind w:firstLine="482"/>
      </w:pPr>
      <w:r>
        <w:rPr>
          <w:rFonts w:hint="eastAsia"/>
        </w:rPr>
        <w:t>产品成立</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1.募集期届满，募集总资金累计金额不低于产品最低成立规模时，产品成立。</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w:t>
      </w:r>
      <w:r>
        <w:rPr>
          <w:rFonts w:ascii="仿宋_GB2312" w:hAnsi="宋体" w:cs="宋体" w:hint="eastAsia"/>
          <w:b/>
          <w:bCs/>
          <w:kern w:val="0"/>
          <w:szCs w:val="24"/>
        </w:rPr>
        <w:t>本产品募集期限内，如募集总金额未达到产品最低成立规模，或国家宏观政策以及市场相关法规政策发生变化，或市场发生剧烈波动，或发生其他经管理人合理判断难以履行本理财产品说明书约定或可能导致投资者权益受损的情形，管理人有权利但无义务宣布本理财产品不成立</w:t>
      </w:r>
      <w:r>
        <w:rPr>
          <w:rFonts w:ascii="仿宋_GB2312" w:hAnsi="宋体" w:hint="eastAsia"/>
          <w:b/>
          <w:kern w:val="0"/>
          <w:szCs w:val="24"/>
        </w:rPr>
        <w:t>，亦有权延长募集期或调整募集规模</w:t>
      </w:r>
      <w:r>
        <w:rPr>
          <w:rFonts w:ascii="仿宋_GB2312" w:hAnsi="宋体" w:cs="宋体" w:hint="eastAsia"/>
          <w:b/>
          <w:bCs/>
          <w:kern w:val="0"/>
          <w:szCs w:val="24"/>
        </w:rPr>
        <w:t>。</w:t>
      </w:r>
    </w:p>
    <w:p w:rsidR="0089610B" w:rsidRDefault="00A93C12">
      <w:pPr>
        <w:widowControl/>
        <w:tabs>
          <w:tab w:val="left" w:pos="709"/>
        </w:tabs>
        <w:snapToGrid w:val="0"/>
        <w:spacing w:line="360" w:lineRule="auto"/>
        <w:ind w:firstLineChars="200" w:firstLine="480"/>
        <w:rPr>
          <w:rFonts w:ascii="仿宋_GB2312" w:hAnsi="宋体" w:cs="宋体"/>
          <w:b/>
          <w:bCs/>
          <w:kern w:val="0"/>
          <w:szCs w:val="24"/>
        </w:rPr>
      </w:pPr>
      <w:r>
        <w:rPr>
          <w:rFonts w:ascii="仿宋_GB2312" w:hAnsi="宋体" w:cs="宋体" w:hint="eastAsia"/>
          <w:bCs/>
          <w:kern w:val="0"/>
          <w:szCs w:val="24"/>
        </w:rPr>
        <w:t>（1）产品不成立：管理人决定理财产品不成立，将及时通过本产品说明书约定的</w:t>
      </w:r>
      <w:r>
        <w:rPr>
          <w:rFonts w:ascii="仿宋_GB2312" w:hAnsi="宋体" w:cs="宋体"/>
          <w:bCs/>
          <w:kern w:val="0"/>
          <w:szCs w:val="24"/>
        </w:rPr>
        <w:t>方式</w:t>
      </w:r>
      <w:r>
        <w:rPr>
          <w:rFonts w:ascii="仿宋_GB2312" w:hAnsi="宋体" w:cs="宋体" w:hint="eastAsia"/>
          <w:bCs/>
          <w:kern w:val="0"/>
          <w:szCs w:val="24"/>
        </w:rPr>
        <w:t>披露产品不成立相关信息，并在不晚于产品原计划成立日后的3个工作日通过销售机构将理财投资本金退回投资者指定账户。</w:t>
      </w:r>
      <w:r>
        <w:rPr>
          <w:rFonts w:ascii="仿宋_GB2312" w:hAnsi="宋体" w:cs="宋体" w:hint="eastAsia"/>
          <w:b/>
          <w:bCs/>
          <w:kern w:val="0"/>
          <w:szCs w:val="24"/>
        </w:rPr>
        <w:t>理财产品原定成立日至退回资金到账日期间内投资者理财资金不计利息。</w:t>
      </w:r>
    </w:p>
    <w:p w:rsidR="0089610B" w:rsidRDefault="00A93C12">
      <w:pPr>
        <w:widowControl/>
        <w:tabs>
          <w:tab w:val="left" w:pos="709"/>
        </w:tabs>
        <w:snapToGrid w:val="0"/>
        <w:spacing w:line="360" w:lineRule="auto"/>
        <w:ind w:firstLineChars="200" w:firstLine="480"/>
        <w:rPr>
          <w:rFonts w:ascii="仿宋_GB2312" w:hAnsi="宋体"/>
          <w:kern w:val="0"/>
          <w:szCs w:val="24"/>
        </w:rPr>
      </w:pPr>
      <w:r>
        <w:rPr>
          <w:rFonts w:ascii="仿宋_GB2312" w:hAnsi="宋体" w:cs="宋体" w:hint="eastAsia"/>
          <w:bCs/>
          <w:kern w:val="0"/>
          <w:szCs w:val="24"/>
        </w:rPr>
        <w:t>（2）</w:t>
      </w:r>
      <w:r>
        <w:rPr>
          <w:rFonts w:ascii="仿宋_GB2312" w:hAnsi="宋体" w:hint="eastAsia"/>
          <w:kern w:val="0"/>
          <w:szCs w:val="24"/>
        </w:rPr>
        <w:t>延长产品募集期:</w:t>
      </w:r>
      <w:r>
        <w:rPr>
          <w:rFonts w:ascii="仿宋_GB2312" w:hAnsi="宋体" w:cs="宋体" w:hint="eastAsia"/>
          <w:bCs/>
          <w:kern w:val="0"/>
          <w:szCs w:val="24"/>
        </w:rPr>
        <w:t>管理人决定延长产品募集期，</w:t>
      </w:r>
      <w:r>
        <w:rPr>
          <w:rFonts w:ascii="仿宋_GB2312" w:hAnsi="宋体" w:hint="eastAsia"/>
          <w:kern w:val="0"/>
          <w:szCs w:val="24"/>
        </w:rPr>
        <w:t>将在理财</w:t>
      </w:r>
      <w:r>
        <w:rPr>
          <w:rFonts w:ascii="仿宋_GB2312" w:hAnsi="宋体"/>
          <w:kern w:val="0"/>
          <w:szCs w:val="24"/>
        </w:rPr>
        <w:t>产品</w:t>
      </w:r>
      <w:r>
        <w:rPr>
          <w:rFonts w:ascii="仿宋_GB2312" w:hAnsi="宋体" w:hint="eastAsia"/>
          <w:kern w:val="0"/>
          <w:szCs w:val="24"/>
        </w:rPr>
        <w:t>原定成立日前</w:t>
      </w:r>
      <w:r>
        <w:rPr>
          <w:rFonts w:ascii="仿宋_GB2312" w:hAnsi="宋体" w:cs="宋体" w:hint="eastAsia"/>
          <w:bCs/>
          <w:kern w:val="0"/>
          <w:szCs w:val="24"/>
        </w:rPr>
        <w:t>通过本产品说明书约定</w:t>
      </w:r>
      <w:r>
        <w:rPr>
          <w:rFonts w:ascii="仿宋_GB2312" w:hAnsi="宋体" w:cs="宋体"/>
          <w:bCs/>
          <w:kern w:val="0"/>
          <w:szCs w:val="24"/>
        </w:rPr>
        <w:t>方式</w:t>
      </w:r>
      <w:r>
        <w:rPr>
          <w:rFonts w:ascii="仿宋_GB2312" w:hAnsi="宋体" w:hint="eastAsia"/>
          <w:kern w:val="0"/>
          <w:szCs w:val="24"/>
        </w:rPr>
        <w:t>发布募集期延长公告。</w:t>
      </w:r>
    </w:p>
    <w:p w:rsidR="0089610B" w:rsidRDefault="00A93C12">
      <w:pPr>
        <w:widowControl/>
        <w:tabs>
          <w:tab w:val="left" w:pos="709"/>
        </w:tabs>
        <w:snapToGrid w:val="0"/>
        <w:spacing w:line="360" w:lineRule="auto"/>
        <w:ind w:firstLineChars="200" w:firstLine="480"/>
        <w:rPr>
          <w:rFonts w:ascii="仿宋_GB2312" w:hAnsi="宋体"/>
          <w:kern w:val="0"/>
          <w:szCs w:val="24"/>
        </w:rPr>
      </w:pPr>
      <w:r>
        <w:rPr>
          <w:rFonts w:ascii="仿宋_GB2312" w:hAnsi="宋体" w:cs="宋体" w:hint="eastAsia"/>
          <w:bCs/>
          <w:kern w:val="0"/>
          <w:szCs w:val="24"/>
        </w:rPr>
        <w:t>（3）</w:t>
      </w:r>
      <w:r>
        <w:rPr>
          <w:rFonts w:ascii="仿宋_GB2312" w:hAnsi="宋体" w:hint="eastAsia"/>
          <w:kern w:val="0"/>
          <w:szCs w:val="24"/>
        </w:rPr>
        <w:t>调整产品募集规模：</w:t>
      </w:r>
      <w:r>
        <w:rPr>
          <w:rFonts w:ascii="仿宋_GB2312" w:hAnsi="宋体" w:cs="宋体" w:hint="eastAsia"/>
          <w:bCs/>
          <w:kern w:val="0"/>
          <w:szCs w:val="24"/>
        </w:rPr>
        <w:t>管理人决定调整产品募集规模，</w:t>
      </w:r>
      <w:r>
        <w:rPr>
          <w:rFonts w:ascii="仿宋_GB2312" w:hAnsi="宋体" w:hint="eastAsia"/>
          <w:kern w:val="0"/>
          <w:szCs w:val="24"/>
        </w:rPr>
        <w:t>将及时通过</w:t>
      </w:r>
      <w:r>
        <w:rPr>
          <w:rFonts w:ascii="仿宋_GB2312" w:hAnsi="宋体" w:cs="宋体" w:hint="eastAsia"/>
          <w:bCs/>
          <w:kern w:val="0"/>
          <w:szCs w:val="24"/>
        </w:rPr>
        <w:t>本产品说明书约定</w:t>
      </w:r>
      <w:r>
        <w:rPr>
          <w:rFonts w:ascii="仿宋_GB2312" w:hAnsi="宋体" w:cs="宋体"/>
          <w:bCs/>
          <w:kern w:val="0"/>
          <w:szCs w:val="24"/>
        </w:rPr>
        <w:t>方式</w:t>
      </w:r>
      <w:r>
        <w:rPr>
          <w:rFonts w:ascii="仿宋_GB2312" w:hAnsi="宋体" w:hint="eastAsia"/>
          <w:kern w:val="0"/>
          <w:szCs w:val="24"/>
        </w:rPr>
        <w:t>发布产品募集规模调整公告。</w:t>
      </w:r>
    </w:p>
    <w:p w:rsidR="0089610B" w:rsidRDefault="00A93C12">
      <w:pPr>
        <w:widowControl/>
        <w:rPr>
          <w:rFonts w:ascii="仿宋_GB2312" w:hAnsi="宋体"/>
          <w:kern w:val="0"/>
          <w:szCs w:val="24"/>
        </w:rPr>
      </w:pPr>
      <w:r>
        <w:rPr>
          <w:rFonts w:ascii="仿宋_GB2312" w:hAnsi="宋体" w:hint="eastAsia"/>
          <w:kern w:val="0"/>
          <w:szCs w:val="24"/>
        </w:rPr>
        <w:br w:type="page"/>
      </w:r>
    </w:p>
    <w:p w:rsidR="0089610B" w:rsidRDefault="00A93C12">
      <w:pPr>
        <w:pStyle w:val="1"/>
        <w:widowControl/>
        <w:tabs>
          <w:tab w:val="left" w:pos="709"/>
        </w:tabs>
        <w:snapToGrid w:val="0"/>
        <w:ind w:firstLine="560"/>
        <w:rPr>
          <w:rFonts w:ascii="仿宋_GB2312" w:hAnsi="宋体"/>
          <w:kern w:val="0"/>
          <w:szCs w:val="24"/>
        </w:rPr>
      </w:pPr>
      <w:r>
        <w:rPr>
          <w:rFonts w:hint="eastAsia"/>
        </w:rPr>
        <w:t>理财产品的申购与赎回</w:t>
      </w:r>
    </w:p>
    <w:p w:rsidR="0089610B" w:rsidRDefault="00A93C12">
      <w:pPr>
        <w:pStyle w:val="2"/>
        <w:adjustRightInd w:val="0"/>
        <w:snapToGrid w:val="0"/>
        <w:ind w:firstLine="482"/>
      </w:pPr>
      <w:r>
        <w:rPr>
          <w:rFonts w:hint="eastAsia"/>
        </w:rPr>
        <w:t>申购、赎回原则</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1.“金额申购、份额赎回”原则，即申购以金额申请，赎回以份额申请。</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2.申购和赎回采用“未知价”原则，即本产品申购申请和赎回申请提交时，适用的产品份额净值都是未知的。</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3.申购、赎回申请可以在对应申购日、赎回日交易时间截止前撤销，最终申请确认情况以投资者在销售机构线下渠道或线上渠道确认的结果为准。</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4.赎回遵循“先进先出”原则，即按照投资者认购、申购的先后次序进行顺序赎回。</w:t>
      </w:r>
    </w:p>
    <w:p w:rsidR="0089610B" w:rsidRDefault="00A93C12">
      <w:pPr>
        <w:tabs>
          <w:tab w:val="left" w:pos="3119"/>
        </w:tabs>
        <w:autoSpaceDE w:val="0"/>
        <w:autoSpaceDN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5.当开放式公募理财产品（现金管理类理财产品除外）遭遇大额申购或赎回时，产品管理人有权采用摆动定价机制，以确保估值的公平性。具体处理原则与操作方法遵循法律法规以及监管部门、自律规则的相关规定，产品管理人将提前发布相关公告。</w:t>
      </w:r>
    </w:p>
    <w:p w:rsidR="0089610B" w:rsidRDefault="00A93C12">
      <w:pPr>
        <w:pStyle w:val="2"/>
        <w:adjustRightInd w:val="0"/>
        <w:snapToGrid w:val="0"/>
        <w:ind w:firstLine="482"/>
      </w:pPr>
      <w:r>
        <w:rPr>
          <w:rFonts w:hint="eastAsia"/>
        </w:rPr>
        <w:t>理财</w:t>
      </w:r>
      <w:r>
        <w:t>产品</w:t>
      </w:r>
      <w:r>
        <w:rPr>
          <w:rFonts w:hint="eastAsia"/>
        </w:rPr>
        <w:t>的</w:t>
      </w:r>
      <w:r>
        <w:t>申购</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1.申购的时间</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本产品具体申购时间以《产品说明书》“第二节 理财产品基本情况”为准。</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2.申购的方式</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投资者可通过销售机构的销售渠道申购。不同销售机构的销售渠道，申购确认时效可能存在差异。</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投资者通过销售机构线下渠道申购的，应签署有关理财产品销售文件。</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投资者通过销售机构线上渠道申购的，应根据销售机构线上渠道的具体要求执行。</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3.申购的确认</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本产品申购确认详见《产品说明书》“第二节 理财产品基本情况”。</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投资者提交申购申请并不代表申购成功，产品管理人将在申购确认日确认投资者是否申购成功。申购是否成功以管理人的确认结果为准。投资者可以在申购确认日系统完成处理后，查询产品份额。</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4.申购的价格</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申购价格为申购日的产品份额净值。</w:t>
      </w:r>
    </w:p>
    <w:p w:rsidR="0089610B" w:rsidRDefault="00A93C12">
      <w:pPr>
        <w:tabs>
          <w:tab w:val="left" w:pos="312"/>
        </w:tabs>
        <w:adjustRightInd w:val="0"/>
        <w:snapToGrid w:val="0"/>
        <w:spacing w:line="360" w:lineRule="auto"/>
        <w:ind w:firstLineChars="200" w:firstLine="480"/>
        <w:rPr>
          <w:rFonts w:ascii="仿宋_GB2312" w:hAnsi="宋体" w:cs="宋体"/>
          <w:kern w:val="0"/>
          <w:szCs w:val="24"/>
        </w:rPr>
      </w:pPr>
      <w:r>
        <w:rPr>
          <w:rFonts w:ascii="宋体" w:hAnsi="宋体" w:cs="宋体" w:hint="eastAsia"/>
          <w:kern w:val="0"/>
          <w:szCs w:val="24"/>
        </w:rPr>
        <w:t>如遇某一类产品份额类别存续期间产品份额被全部赎回的情况，符合该产品份额类别的投资者适当性要求的投资者仍可按照相关申购规则进行购买，投资者提交申购申请的首日，申购价格参照该产品份额类别的最近估值日的产品份额净值计算。请详见</w:t>
      </w:r>
      <w:r>
        <w:rPr>
          <w:rFonts w:ascii="仿宋_GB2312" w:hAnsi="宋体" w:cs="宋体" w:hint="eastAsia"/>
          <w:kern w:val="0"/>
          <w:szCs w:val="24"/>
        </w:rPr>
        <w:t>产品管理人的开放日公告。</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5.申购的费用</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本产品申购费率详见《产品说明书》“第二节 理财产品基本情况”。</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6.申购份额计算</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本产品的申购金额包括申购费用和净申购金额。申购份额的计算公式为：</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净申购金额=申购金额/（1+申购费率）  （申购</w:t>
      </w:r>
      <w:r>
        <w:rPr>
          <w:rFonts w:ascii="仿宋_GB2312" w:hAnsi="宋体" w:cs="宋体"/>
          <w:bCs/>
          <w:kern w:val="0"/>
          <w:szCs w:val="24"/>
        </w:rPr>
        <w:t>费</w:t>
      </w:r>
      <w:r>
        <w:rPr>
          <w:rFonts w:ascii="仿宋_GB2312" w:hAnsi="宋体" w:cs="宋体" w:hint="eastAsia"/>
          <w:bCs/>
          <w:kern w:val="0"/>
          <w:szCs w:val="24"/>
        </w:rPr>
        <w:t>率详见产品说明书</w:t>
      </w:r>
      <w:r>
        <w:rPr>
          <w:rFonts w:ascii="仿宋_GB2312" w:hAnsi="宋体" w:cs="宋体"/>
          <w:bCs/>
          <w:kern w:val="0"/>
          <w:szCs w:val="24"/>
        </w:rPr>
        <w:t>关于费用</w:t>
      </w:r>
      <w:r>
        <w:rPr>
          <w:rFonts w:ascii="仿宋_GB2312" w:hAnsi="宋体" w:cs="宋体" w:hint="eastAsia"/>
          <w:bCs/>
          <w:kern w:val="0"/>
          <w:szCs w:val="24"/>
        </w:rPr>
        <w:t>的说明</w:t>
      </w:r>
      <w:r>
        <w:rPr>
          <w:rFonts w:ascii="仿宋_GB2312" w:hAnsi="宋体" w:cs="宋体"/>
          <w:bCs/>
          <w:kern w:val="0"/>
          <w:szCs w:val="24"/>
        </w:rPr>
        <w:t>）</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申购费用=申购金额－净申购金额</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申购份额=净申购金额/申购日产品份额净值</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上述计算结果均按四舍五入方法，保留到小数点后2位，由此产生的收益或损失由理财产品承担。</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7.申购的起点和递增金额</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详见《产品说明书》“第二节 理财产品基本情况”。</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8.申购的数量限制</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详见《产品说明书》“第二节 理财产品基本情况”。</w:t>
      </w:r>
    </w:p>
    <w:p w:rsidR="0089610B" w:rsidRDefault="00A93C12">
      <w:pPr>
        <w:adjustRightInd w:val="0"/>
        <w:snapToGrid w:val="0"/>
        <w:spacing w:line="360" w:lineRule="auto"/>
        <w:ind w:firstLineChars="200" w:firstLine="480"/>
      </w:pPr>
      <w:r>
        <w:rPr>
          <w:rFonts w:hint="eastAsia"/>
        </w:rPr>
        <w:t>9.</w:t>
      </w:r>
      <w:r>
        <w:rPr>
          <w:rFonts w:hint="eastAsia"/>
        </w:rPr>
        <w:t>拒绝或暂停申购</w:t>
      </w:r>
    </w:p>
    <w:p w:rsidR="0089610B" w:rsidRDefault="00A93C12">
      <w:pPr>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除本理财产品说明书另有规定外，当出现以下情形之一时，管理人有权拒绝投资者提交的理财产品申购申请并确认投资者申购失败，或通知销售机构暂停投资者申购并关闭系统申购交易功能，并在3个工作日内公告。在拒绝、暂停申购的情况消除后，管理人应及时通知销售机构恢复理财产品申购业务的办理。</w:t>
      </w:r>
    </w:p>
    <w:p w:rsidR="0089610B" w:rsidRDefault="00A93C12">
      <w:pPr>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1.因不可抗力导致管理人无法接受投资者的申购申请；</w:t>
      </w:r>
    </w:p>
    <w:p w:rsidR="0089610B" w:rsidRDefault="00A93C12">
      <w:pPr>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2.证券交易场所依法决定临时停市，导致管理人无法计算当日产品资产净值；</w:t>
      </w:r>
    </w:p>
    <w:p w:rsidR="0089610B" w:rsidRDefault="00A93C12">
      <w:pPr>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3.当管理人认为某笔申购申请会有损于其他产品份额持有人利益时，可拒绝该笔申购申请；</w:t>
      </w:r>
    </w:p>
    <w:p w:rsidR="0089610B" w:rsidRDefault="00A93C12">
      <w:pPr>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4.法律、法规规定认定的其他情形。</w:t>
      </w:r>
    </w:p>
    <w:p w:rsidR="0089610B" w:rsidRDefault="00A93C12">
      <w:pPr>
        <w:pStyle w:val="2"/>
        <w:adjustRightInd w:val="0"/>
        <w:snapToGrid w:val="0"/>
        <w:ind w:firstLine="482"/>
        <w:rPr>
          <w:rFonts w:ascii="仿宋_GB2312" w:hAnsi="宋体" w:cs="宋体"/>
          <w:bCs/>
          <w:kern w:val="0"/>
          <w:szCs w:val="24"/>
        </w:rPr>
      </w:pPr>
      <w:r>
        <w:rPr>
          <w:rFonts w:ascii="仿宋_GB2312" w:hAnsi="宋体" w:cs="宋体" w:hint="eastAsia"/>
          <w:bCs/>
          <w:kern w:val="0"/>
          <w:szCs w:val="24"/>
        </w:rPr>
        <w:t>理财产品的赎回</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1.赎回的时间</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本产品具体赎回时间以《产品说明书》“第二节 理财产品基本情况”为准。</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2.赎回的方式</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投资者可通过销售机构的销售渠道赎回。不同销售机构的销售渠道，赎回确认时效可能存在差异。</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投资者通过销售机构线下渠道赎回的，应签署有关理财产品销售文件。</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投资者通过销售机构线上渠道赎回的，应根据销售机构线上渠道的具体要求执行。</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3.赎回的确认</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本产品赎回确认详见《产品说明书》“第二节 理财产品基本情况”。</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投资者提交赎回申请并不代表赎回成功，产品管理人将在赎回确认日确认投资者是否赎回成功。赎回是否成功以管理人的确认结果为准。</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4.赎回的价格</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赎回价格为赎回日的产品份额净值。</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5.赎回的费用</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本产品赎回费用详见《产品说明书》“第二节 理财产品基本情况”。</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6.赎回金额计算</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本产品赎回金额的计算公式如下：</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赎回总金额=赎回份额×赎回日该产品份额净值</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赎回费用=赎回总金额×该产品份额赎回费率</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净赎回金额=赎回总金额-赎回费用</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上述计算结果均按四舍五入方法，保留到小数点后2位，由此产生的收益或损失由理财产品承担。</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7.赎回的数量限制</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详见《产品说明书》“第二节 理财产品基本情况”。</w:t>
      </w:r>
    </w:p>
    <w:p w:rsidR="0089610B" w:rsidRDefault="00A93C12">
      <w:pPr>
        <w:pStyle w:val="2"/>
        <w:adjustRightInd w:val="0"/>
        <w:snapToGrid w:val="0"/>
        <w:ind w:firstLine="482"/>
        <w:rPr>
          <w:rFonts w:ascii="仿宋_GB2312" w:hAnsi="宋体" w:cs="宋体"/>
          <w:bCs/>
          <w:kern w:val="0"/>
          <w:szCs w:val="24"/>
        </w:rPr>
      </w:pPr>
      <w:r>
        <w:rPr>
          <w:rFonts w:ascii="仿宋_GB2312" w:hAnsi="宋体" w:cs="宋体" w:hint="eastAsia"/>
          <w:bCs/>
          <w:kern w:val="0"/>
          <w:szCs w:val="24"/>
        </w:rPr>
        <w:t>巨额赎回的情形及处理方式</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1.巨额赎回的认定</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详见《产品说明书》“第二节 理财产品基本情况”。</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2.巨额赎回的处理方式</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详见《产品说明书》“第二节 理财产品基本情况”。</w:t>
      </w:r>
    </w:p>
    <w:p w:rsidR="0089610B" w:rsidRDefault="00A93C12">
      <w:pPr>
        <w:tabs>
          <w:tab w:val="left" w:pos="312"/>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3.巨额赎回的公告</w:t>
      </w:r>
    </w:p>
    <w:p w:rsidR="0089610B" w:rsidRDefault="00A93C12">
      <w:pPr>
        <w:autoSpaceDE w:val="0"/>
        <w:autoSpaceDN w:val="0"/>
        <w:adjustRightInd w:val="0"/>
        <w:snapToGrid w:val="0"/>
        <w:spacing w:line="360" w:lineRule="auto"/>
        <w:ind w:firstLineChars="200" w:firstLine="480"/>
        <w:rPr>
          <w:rFonts w:ascii="仿宋_GB2312" w:hAnsi="宋体"/>
          <w:b/>
          <w:kern w:val="0"/>
          <w:szCs w:val="24"/>
        </w:rPr>
      </w:pPr>
      <w:r>
        <w:rPr>
          <w:rFonts w:ascii="仿宋_GB2312" w:hAnsi="宋体" w:cs="宋体" w:hint="eastAsia"/>
          <w:bCs/>
          <w:kern w:val="0"/>
          <w:szCs w:val="24"/>
        </w:rPr>
        <w:t>在发生巨额赎回产品管理人</w:t>
      </w:r>
      <w:r>
        <w:rPr>
          <w:rFonts w:asciiTheme="minorEastAsia" w:hAnsiTheme="minorEastAsia" w:hint="eastAsia"/>
          <w:szCs w:val="24"/>
        </w:rPr>
        <w:t>暂停接受或延期办理</w:t>
      </w:r>
      <w:r>
        <w:rPr>
          <w:rFonts w:ascii="仿宋_GB2312" w:hAnsi="宋体" w:cs="宋体" w:hint="eastAsia"/>
          <w:bCs/>
          <w:kern w:val="0"/>
          <w:szCs w:val="24"/>
        </w:rPr>
        <w:t>投资者赎回申请时，产品管理人将依约定发布相关公告信息。</w:t>
      </w:r>
    </w:p>
    <w:p w:rsidR="0089610B" w:rsidRDefault="00A93C12">
      <w:pPr>
        <w:widowControl/>
        <w:jc w:val="left"/>
        <w:rPr>
          <w:rFonts w:eastAsia="黑体"/>
          <w:kern w:val="44"/>
          <w:sz w:val="28"/>
        </w:rPr>
      </w:pPr>
      <w:r>
        <w:br w:type="page"/>
      </w:r>
    </w:p>
    <w:p w:rsidR="0089610B" w:rsidRDefault="00A93C12">
      <w:pPr>
        <w:pStyle w:val="1"/>
      </w:pPr>
      <w:r>
        <w:rPr>
          <w:rFonts w:hint="eastAsia"/>
        </w:rPr>
        <w:t>理财产品的投资</w:t>
      </w:r>
    </w:p>
    <w:p w:rsidR="0089610B" w:rsidRDefault="00A93C12">
      <w:pPr>
        <w:pStyle w:val="2"/>
        <w:ind w:firstLine="482"/>
      </w:pPr>
      <w:r>
        <w:rPr>
          <w:rFonts w:hint="eastAsia"/>
        </w:rPr>
        <w:t>投资范围</w:t>
      </w:r>
    </w:p>
    <w:p w:rsidR="0089610B" w:rsidRDefault="00A93C12">
      <w:pPr>
        <w:tabs>
          <w:tab w:val="left" w:pos="3119"/>
        </w:tabs>
        <w:autoSpaceDE w:val="0"/>
        <w:autoSpaceDN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本产品投向现金、银行存款、大额存单、同业存单、回购等货币市场工具及国债、地方政府债券、中央银行票据、政府支持机构债、金融债、非金融企业债务融资工具、公司债、企业债、可交换债券、可转换债券、资产支持票据、资产支持证券、次级债（包括二级资本债）、永续债等债权类资产，优先股、上市公司股票、公募REITs、交易型开放式指数基金（ETF）、上市型开放式基金（LOF）等权益类资产，远期、国债期货、股指期货、商品期货、收益互换、利率互换、期权、债券借贷、结构性存款等商品和金融衍生品类资产，主要投向上述资产类别且符合监管机构要求的公募证券投资基金、信托计划、资产管理计划等资产管理产品以及国务院银行业监督管理机构认可的其他资产。</w:t>
      </w:r>
    </w:p>
    <w:p w:rsidR="0089610B" w:rsidRDefault="00A93C12">
      <w:pPr>
        <w:tabs>
          <w:tab w:val="left" w:pos="3119"/>
        </w:tabs>
        <w:autoSpaceDE w:val="0"/>
        <w:autoSpaceDN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本理财产</w:t>
      </w:r>
      <w:r>
        <w:rPr>
          <w:rFonts w:ascii="仿宋_GB2312" w:hAnsi="宋体" w:cs="宋体"/>
          <w:bCs/>
          <w:kern w:val="0"/>
          <w:szCs w:val="24"/>
        </w:rPr>
        <w:t>品在投资</w:t>
      </w:r>
      <w:r>
        <w:rPr>
          <w:rFonts w:ascii="仿宋_GB2312" w:hAnsi="宋体" w:cs="宋体" w:hint="eastAsia"/>
          <w:bCs/>
          <w:kern w:val="0"/>
          <w:szCs w:val="24"/>
        </w:rPr>
        <w:t>于</w:t>
      </w:r>
      <w:r>
        <w:rPr>
          <w:rFonts w:ascii="仿宋_GB2312" w:hAnsi="宋体" w:cs="宋体"/>
          <w:bCs/>
          <w:kern w:val="0"/>
          <w:szCs w:val="24"/>
        </w:rPr>
        <w:t>商品及金融衍生品类资产之前，管理人应获得相应的业务经营范围或投资交易资格。</w:t>
      </w:r>
    </w:p>
    <w:p w:rsidR="0089610B" w:rsidRDefault="00A93C12">
      <w:pPr>
        <w:tabs>
          <w:tab w:val="left" w:pos="3119"/>
        </w:tabs>
        <w:autoSpaceDE w:val="0"/>
        <w:autoSpaceDN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本理财产品投资的资产范围须完全符合法律法规或监管规定，如因法律法规或监管规定的变更、修订或更新导致本理财产品投资某类资产受到限制或禁止的，该类资产将被视为从上述资产范围中自动剔除。</w:t>
      </w:r>
    </w:p>
    <w:p w:rsidR="0089610B" w:rsidRDefault="0089610B"/>
    <w:p w:rsidR="0089610B" w:rsidRDefault="00A93C12">
      <w:pPr>
        <w:pStyle w:val="2"/>
        <w:ind w:firstLine="482"/>
      </w:pPr>
      <w:r>
        <w:rPr>
          <w:rFonts w:hint="eastAsia"/>
        </w:rPr>
        <w:t>投资比例</w:t>
      </w:r>
    </w:p>
    <w:p w:rsidR="0089610B" w:rsidRDefault="00A93C12">
      <w:pPr>
        <w:tabs>
          <w:tab w:val="left" w:pos="3119"/>
        </w:tabs>
        <w:autoSpaceDE w:val="0"/>
        <w:autoSpaceDN w:val="0"/>
        <w:adjustRightInd w:val="0"/>
        <w:spacing w:line="360" w:lineRule="auto"/>
        <w:ind w:rightChars="15" w:right="36" w:firstLineChars="200" w:firstLine="480"/>
        <w:contextualSpacing/>
        <w:rPr>
          <w:rFonts w:ascii="仿宋_GB2312" w:hAnsi="宋体" w:cs="宋体"/>
          <w:bCs/>
          <w:kern w:val="0"/>
          <w:szCs w:val="24"/>
        </w:rPr>
      </w:pPr>
      <w:r>
        <w:rPr>
          <w:rFonts w:ascii="仿宋_GB2312" w:hAnsi="宋体" w:cs="宋体"/>
          <w:bCs/>
          <w:kern w:val="0"/>
          <w:szCs w:val="24"/>
        </w:rPr>
        <w:t>1.本产品各投资资产占比如下：</w:t>
      </w:r>
    </w:p>
    <w:tbl>
      <w:tblPr>
        <w:tblStyle w:val="ac"/>
        <w:tblW w:w="0" w:type="auto"/>
        <w:tblInd w:w="1838" w:type="dxa"/>
        <w:tblLook w:val="04A0" w:firstRow="1" w:lastRow="0" w:firstColumn="1" w:lastColumn="0" w:noHBand="0" w:noVBand="1"/>
      </w:tblPr>
      <w:tblGrid>
        <w:gridCol w:w="5089"/>
        <w:gridCol w:w="1325"/>
      </w:tblGrid>
      <w:tr w:rsidR="0089610B">
        <w:tc>
          <w:tcPr>
            <w:tcW w:w="5089" w:type="dxa"/>
          </w:tcPr>
          <w:p w:rsidR="0089610B" w:rsidRDefault="00A93C12">
            <w:pPr>
              <w:widowControl/>
              <w:spacing w:line="360" w:lineRule="auto"/>
              <w:jc w:val="center"/>
              <w:rPr>
                <w:rFonts w:ascii="仿宋_GB2312" w:hAnsi="宋体" w:cs="宋体"/>
                <w:bCs/>
                <w:kern w:val="0"/>
                <w:szCs w:val="24"/>
              </w:rPr>
            </w:pPr>
            <w:r>
              <w:rPr>
                <w:rFonts w:ascii="仿宋_GB2312" w:hAnsi="宋体" w:cs="宋体" w:hint="eastAsia"/>
                <w:bCs/>
                <w:kern w:val="0"/>
                <w:szCs w:val="24"/>
              </w:rPr>
              <w:t>投资资产</w:t>
            </w:r>
          </w:p>
        </w:tc>
        <w:tc>
          <w:tcPr>
            <w:tcW w:w="1325" w:type="dxa"/>
          </w:tcPr>
          <w:p w:rsidR="0089610B" w:rsidRDefault="00A93C12">
            <w:pPr>
              <w:widowControl/>
              <w:spacing w:line="360" w:lineRule="auto"/>
              <w:jc w:val="center"/>
              <w:rPr>
                <w:rFonts w:ascii="仿宋_GB2312" w:hAnsi="宋体" w:cs="宋体"/>
                <w:bCs/>
                <w:kern w:val="0"/>
                <w:szCs w:val="24"/>
              </w:rPr>
            </w:pPr>
            <w:r>
              <w:rPr>
                <w:rFonts w:ascii="仿宋_GB2312" w:hAnsi="宋体" w:cs="宋体" w:hint="eastAsia"/>
                <w:bCs/>
                <w:kern w:val="0"/>
                <w:szCs w:val="24"/>
              </w:rPr>
              <w:t>投资比例</w:t>
            </w:r>
          </w:p>
        </w:tc>
      </w:tr>
      <w:tr w:rsidR="0089610B">
        <w:tc>
          <w:tcPr>
            <w:tcW w:w="5089" w:type="dxa"/>
          </w:tcPr>
          <w:p w:rsidR="0089610B" w:rsidRDefault="00A93C12">
            <w:pPr>
              <w:widowControl/>
              <w:spacing w:line="360" w:lineRule="auto"/>
              <w:jc w:val="center"/>
              <w:rPr>
                <w:rFonts w:ascii="仿宋_GB2312" w:hAnsi="宋体" w:cs="宋体"/>
                <w:bCs/>
                <w:kern w:val="0"/>
                <w:szCs w:val="24"/>
              </w:rPr>
            </w:pPr>
            <w:r>
              <w:rPr>
                <w:rFonts w:ascii="仿宋_GB2312" w:hAnsi="宋体" w:cs="宋体" w:hint="eastAsia"/>
                <w:bCs/>
                <w:kern w:val="0"/>
                <w:szCs w:val="24"/>
              </w:rPr>
              <w:t>债权类资产</w:t>
            </w:r>
          </w:p>
        </w:tc>
        <w:tc>
          <w:tcPr>
            <w:tcW w:w="1325" w:type="dxa"/>
          </w:tcPr>
          <w:p w:rsidR="0089610B" w:rsidRDefault="00A93C12">
            <w:pPr>
              <w:widowControl/>
              <w:spacing w:line="360" w:lineRule="auto"/>
              <w:jc w:val="center"/>
              <w:rPr>
                <w:rFonts w:ascii="仿宋_GB2312" w:hAnsi="宋体" w:cs="宋体"/>
                <w:bCs/>
                <w:kern w:val="0"/>
                <w:szCs w:val="24"/>
              </w:rPr>
            </w:pPr>
            <w:r>
              <w:rPr>
                <w:rFonts w:ascii="仿宋_GB2312" w:hAnsi="宋体" w:cs="宋体" w:hint="eastAsia"/>
                <w:bCs/>
                <w:kern w:val="0"/>
                <w:szCs w:val="24"/>
              </w:rPr>
              <w:t>80%-100%</w:t>
            </w:r>
          </w:p>
        </w:tc>
      </w:tr>
      <w:tr w:rsidR="0089610B">
        <w:tc>
          <w:tcPr>
            <w:tcW w:w="5089" w:type="dxa"/>
          </w:tcPr>
          <w:p w:rsidR="0089610B" w:rsidRDefault="00A93C12">
            <w:pPr>
              <w:widowControl/>
              <w:spacing w:line="360" w:lineRule="auto"/>
              <w:jc w:val="center"/>
              <w:rPr>
                <w:rFonts w:ascii="仿宋_GB2312" w:hAnsi="宋体" w:cs="宋体"/>
                <w:bCs/>
                <w:kern w:val="0"/>
                <w:szCs w:val="24"/>
              </w:rPr>
            </w:pPr>
            <w:r>
              <w:rPr>
                <w:rFonts w:ascii="仿宋_GB2312" w:hAnsi="宋体" w:cs="宋体" w:hint="eastAsia"/>
                <w:bCs/>
                <w:kern w:val="0"/>
                <w:szCs w:val="24"/>
              </w:rPr>
              <w:t>权益类、商品及金融衍生品类资产</w:t>
            </w:r>
          </w:p>
        </w:tc>
        <w:tc>
          <w:tcPr>
            <w:tcW w:w="1325" w:type="dxa"/>
          </w:tcPr>
          <w:p w:rsidR="0089610B" w:rsidRDefault="00A93C12">
            <w:pPr>
              <w:widowControl/>
              <w:spacing w:line="360" w:lineRule="auto"/>
              <w:jc w:val="center"/>
              <w:rPr>
                <w:rFonts w:ascii="仿宋_GB2312" w:hAnsi="宋体" w:cs="宋体"/>
                <w:bCs/>
                <w:kern w:val="0"/>
                <w:szCs w:val="24"/>
              </w:rPr>
            </w:pPr>
            <w:r>
              <w:rPr>
                <w:rFonts w:ascii="仿宋_GB2312" w:hAnsi="宋体" w:cs="宋体" w:hint="eastAsia"/>
                <w:bCs/>
                <w:kern w:val="0"/>
                <w:szCs w:val="24"/>
              </w:rPr>
              <w:t>0-20%</w:t>
            </w:r>
          </w:p>
        </w:tc>
      </w:tr>
    </w:tbl>
    <w:p w:rsidR="0089610B" w:rsidRDefault="0089610B">
      <w:pPr>
        <w:autoSpaceDE w:val="0"/>
        <w:autoSpaceDN w:val="0"/>
        <w:adjustRightInd w:val="0"/>
        <w:snapToGrid w:val="0"/>
        <w:spacing w:line="360" w:lineRule="auto"/>
        <w:jc w:val="left"/>
        <w:rPr>
          <w:rFonts w:ascii="仿宋_GB2312" w:hAnsi="宋体" w:cs="宋体"/>
          <w:bCs/>
          <w:kern w:val="0"/>
          <w:szCs w:val="24"/>
        </w:rPr>
      </w:pP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管理人将在产品成立后一个月内使资产配置比例符合上述规定。</w:t>
      </w:r>
    </w:p>
    <w:p w:rsidR="0089610B" w:rsidRDefault="00A93C12">
      <w:pPr>
        <w:tabs>
          <w:tab w:val="left" w:pos="3119"/>
        </w:tabs>
        <w:autoSpaceDE w:val="0"/>
        <w:autoSpaceDN w:val="0"/>
        <w:spacing w:line="360" w:lineRule="auto"/>
        <w:ind w:rightChars="15" w:right="36"/>
        <w:rPr>
          <w:rFonts w:ascii="仿宋_GB2312" w:hAnsi="宋体" w:cs="宋体"/>
          <w:bCs/>
          <w:kern w:val="0"/>
          <w:szCs w:val="24"/>
        </w:rPr>
      </w:pPr>
      <w:r>
        <w:rPr>
          <w:rFonts w:ascii="仿宋_GB2312" w:hAnsi="宋体" w:cs="宋体" w:hint="eastAsia"/>
          <w:bCs/>
          <w:kern w:val="0"/>
          <w:szCs w:val="24"/>
        </w:rPr>
        <w:t>其中现金或者到期日在一年以内的国债、中央银行票据和政策性金融债券不低于产品净资产的</w:t>
      </w:r>
      <w:r>
        <w:rPr>
          <w:rFonts w:ascii="仿宋_GB2312" w:hAnsi="宋体" w:cs="宋体"/>
          <w:bCs/>
          <w:kern w:val="0"/>
          <w:szCs w:val="24"/>
        </w:rPr>
        <w:t>5%。流动性受限资产的市值在开放日不得超过该产品资产净值的15%。</w:t>
      </w:r>
      <w:r>
        <w:rPr>
          <w:rFonts w:ascii="仿宋_GB2312" w:hAnsi="宋体" w:cs="宋体" w:hint="eastAsia"/>
          <w:bCs/>
          <w:kern w:val="0"/>
          <w:szCs w:val="24"/>
        </w:rPr>
        <w:t>7个工作日可变现资产的可变现价值不低于该产品资产净值的</w:t>
      </w:r>
      <w:r>
        <w:rPr>
          <w:rFonts w:ascii="仿宋_GB2312" w:hAnsi="宋体" w:cs="宋体"/>
          <w:bCs/>
          <w:kern w:val="0"/>
          <w:szCs w:val="24"/>
        </w:rPr>
        <w:t>10%。</w:t>
      </w:r>
      <w:r>
        <w:rPr>
          <w:rFonts w:ascii="仿宋_GB2312" w:hAnsi="宋体" w:cs="宋体" w:hint="eastAsia"/>
          <w:bCs/>
          <w:kern w:val="0"/>
          <w:szCs w:val="24"/>
        </w:rPr>
        <w:t>相关法律法规和监管部门对以上投资范围和配置比例有另行规定的，按照监管最新规定执行。如监管对投资比例无其他明确规定和要求的，由产品管理人与托管人协商确定计算方法。本产品存续期内非</w:t>
      </w:r>
      <w:r>
        <w:rPr>
          <w:rFonts w:ascii="仿宋_GB2312" w:hAnsi="宋体" w:cs="宋体"/>
          <w:bCs/>
          <w:kern w:val="0"/>
          <w:szCs w:val="24"/>
        </w:rPr>
        <w:t>因</w:t>
      </w:r>
      <w:r>
        <w:rPr>
          <w:rFonts w:ascii="仿宋_GB2312" w:hAnsi="宋体" w:cs="宋体" w:hint="eastAsia"/>
          <w:bCs/>
          <w:kern w:val="0"/>
          <w:szCs w:val="24"/>
        </w:rPr>
        <w:t>产品</w:t>
      </w:r>
      <w:r>
        <w:rPr>
          <w:rFonts w:ascii="仿宋_GB2312" w:hAnsi="宋体" w:cs="宋体"/>
          <w:bCs/>
          <w:kern w:val="0"/>
          <w:szCs w:val="24"/>
        </w:rPr>
        <w:t>管理人主</w:t>
      </w:r>
      <w:r>
        <w:rPr>
          <w:rFonts w:ascii="仿宋_GB2312" w:hAnsi="宋体" w:cs="宋体" w:hint="eastAsia"/>
          <w:bCs/>
          <w:kern w:val="0"/>
          <w:szCs w:val="24"/>
        </w:rPr>
        <w:t>观</w:t>
      </w:r>
      <w:r>
        <w:rPr>
          <w:rFonts w:ascii="仿宋_GB2312" w:hAnsi="宋体" w:cs="宋体"/>
          <w:bCs/>
          <w:kern w:val="0"/>
          <w:szCs w:val="24"/>
        </w:rPr>
        <w:t>因素</w:t>
      </w:r>
      <w:r>
        <w:rPr>
          <w:rFonts w:ascii="仿宋_GB2312" w:hAnsi="宋体" w:cs="宋体" w:hint="eastAsia"/>
          <w:bCs/>
          <w:kern w:val="0"/>
          <w:szCs w:val="24"/>
        </w:rPr>
        <w:t>导致产品投资突破上述比例限制，管理人将尽合理努力，在流动性受限资产可出售、可转让或者恢复交易的15个交易日内调整至规定区间。</w:t>
      </w:r>
    </w:p>
    <w:p w:rsidR="0089610B" w:rsidRDefault="00A93C12">
      <w:pPr>
        <w:pStyle w:val="2"/>
        <w:ind w:firstLine="482"/>
      </w:pPr>
      <w:r>
        <w:rPr>
          <w:rFonts w:hint="eastAsia"/>
        </w:rPr>
        <w:t>投资</w:t>
      </w:r>
      <w:r>
        <w:t>限制</w:t>
      </w:r>
    </w:p>
    <w:p w:rsidR="0089610B" w:rsidRDefault="00A93C12">
      <w:pPr>
        <w:tabs>
          <w:tab w:val="left" w:pos="3119"/>
        </w:tabs>
        <w:autoSpaceDE w:val="0"/>
        <w:autoSpaceDN w:val="0"/>
        <w:adjustRightInd w:val="0"/>
        <w:spacing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1.同业存单发行主体，同业借款交易对手主体评级不低于AA。</w:t>
      </w:r>
    </w:p>
    <w:p w:rsidR="0089610B" w:rsidRDefault="00A93C12">
      <w:pPr>
        <w:tabs>
          <w:tab w:val="left" w:pos="3119"/>
        </w:tabs>
        <w:autoSpaceDE w:val="0"/>
        <w:autoSpaceDN w:val="0"/>
        <w:adjustRightInd w:val="0"/>
        <w:spacing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2.信用债发行主体评级或债项评级不低于AA，优先股投资要求参照本条款。</w:t>
      </w:r>
    </w:p>
    <w:p w:rsidR="0089610B" w:rsidRDefault="00A93C12">
      <w:pPr>
        <w:tabs>
          <w:tab w:val="left" w:pos="3119"/>
        </w:tabs>
        <w:autoSpaceDE w:val="0"/>
        <w:autoSpaceDN w:val="0"/>
        <w:adjustRightInd w:val="0"/>
        <w:spacing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3.资产支持证券、资产支持票据评级不低于AA，不得投资劣后级。</w:t>
      </w:r>
    </w:p>
    <w:p w:rsidR="0089610B" w:rsidRDefault="00A93C12">
      <w:pPr>
        <w:tabs>
          <w:tab w:val="left" w:pos="3119"/>
        </w:tabs>
        <w:autoSpaceDE w:val="0"/>
        <w:autoSpaceDN w:val="0"/>
        <w:adjustRightInd w:val="0"/>
        <w:spacing w:line="360" w:lineRule="auto"/>
        <w:ind w:rightChars="15" w:right="36" w:firstLineChars="200" w:firstLine="480"/>
        <w:contextualSpacing/>
        <w:rPr>
          <w:rFonts w:ascii="仿宋_GB2312" w:hAnsi="宋体" w:cs="宋体"/>
          <w:bCs/>
          <w:kern w:val="0"/>
          <w:szCs w:val="24"/>
        </w:rPr>
      </w:pPr>
      <w:r>
        <w:rPr>
          <w:rFonts w:ascii="仿宋_GB2312" w:hAnsi="宋体" w:cs="宋体"/>
          <w:bCs/>
          <w:kern w:val="0"/>
          <w:szCs w:val="24"/>
        </w:rPr>
        <w:t>4</w:t>
      </w:r>
      <w:r>
        <w:rPr>
          <w:rFonts w:ascii="仿宋_GB2312" w:hAnsi="宋体" w:cs="宋体" w:hint="eastAsia"/>
          <w:bCs/>
          <w:kern w:val="0"/>
          <w:szCs w:val="24"/>
        </w:rPr>
        <w:t>.不得投资无活跃成交或无第三方估值的权益类资产，如：非上市企业股权。</w:t>
      </w:r>
    </w:p>
    <w:p w:rsidR="0089610B" w:rsidRDefault="00A93C12">
      <w:pPr>
        <w:tabs>
          <w:tab w:val="left" w:pos="3119"/>
        </w:tabs>
        <w:autoSpaceDE w:val="0"/>
        <w:autoSpaceDN w:val="0"/>
        <w:adjustRightInd w:val="0"/>
        <w:spacing w:line="360" w:lineRule="auto"/>
        <w:ind w:rightChars="15" w:right="36" w:firstLineChars="200" w:firstLine="480"/>
        <w:contextualSpacing/>
        <w:rPr>
          <w:rFonts w:ascii="仿宋_GB2312" w:hAnsi="宋体" w:cs="宋体"/>
          <w:bCs/>
          <w:kern w:val="0"/>
          <w:szCs w:val="24"/>
        </w:rPr>
      </w:pPr>
      <w:r>
        <w:rPr>
          <w:rFonts w:ascii="仿宋_GB2312" w:hAnsi="宋体" w:cs="宋体"/>
          <w:bCs/>
          <w:kern w:val="0"/>
          <w:szCs w:val="24"/>
        </w:rPr>
        <w:t>5</w:t>
      </w:r>
      <w:r>
        <w:rPr>
          <w:rFonts w:ascii="仿宋_GB2312" w:hAnsi="宋体" w:cs="宋体" w:hint="eastAsia"/>
          <w:bCs/>
          <w:kern w:val="0"/>
          <w:szCs w:val="24"/>
        </w:rPr>
        <w:t>.不得投资不良资产。</w:t>
      </w:r>
    </w:p>
    <w:p w:rsidR="0089610B" w:rsidRDefault="00A93C12">
      <w:pPr>
        <w:tabs>
          <w:tab w:val="left" w:pos="3119"/>
        </w:tabs>
        <w:autoSpaceDE w:val="0"/>
        <w:autoSpaceDN w:val="0"/>
        <w:adjustRightInd w:val="0"/>
        <w:spacing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本产品存续期内非</w:t>
      </w:r>
      <w:r>
        <w:rPr>
          <w:rFonts w:ascii="仿宋_GB2312" w:hAnsi="宋体" w:cs="宋体"/>
          <w:bCs/>
          <w:kern w:val="0"/>
          <w:szCs w:val="24"/>
        </w:rPr>
        <w:t>因</w:t>
      </w:r>
      <w:r>
        <w:rPr>
          <w:rFonts w:ascii="仿宋_GB2312" w:hAnsi="宋体" w:cs="宋体" w:hint="eastAsia"/>
          <w:bCs/>
          <w:kern w:val="0"/>
          <w:szCs w:val="24"/>
        </w:rPr>
        <w:t>产品</w:t>
      </w:r>
      <w:r>
        <w:rPr>
          <w:rFonts w:ascii="仿宋_GB2312" w:hAnsi="宋体" w:cs="宋体"/>
          <w:bCs/>
          <w:kern w:val="0"/>
          <w:szCs w:val="24"/>
        </w:rPr>
        <w:t>管理人主</w:t>
      </w:r>
      <w:r>
        <w:rPr>
          <w:rFonts w:ascii="仿宋_GB2312" w:hAnsi="宋体" w:cs="宋体" w:hint="eastAsia"/>
          <w:bCs/>
          <w:kern w:val="0"/>
          <w:szCs w:val="24"/>
        </w:rPr>
        <w:t>观</w:t>
      </w:r>
      <w:r>
        <w:rPr>
          <w:rFonts w:ascii="仿宋_GB2312" w:hAnsi="宋体" w:cs="宋体"/>
          <w:bCs/>
          <w:kern w:val="0"/>
          <w:szCs w:val="24"/>
        </w:rPr>
        <w:t>因素</w:t>
      </w:r>
      <w:r>
        <w:rPr>
          <w:rFonts w:ascii="仿宋_GB2312" w:hAnsi="宋体" w:cs="宋体" w:hint="eastAsia"/>
          <w:bCs/>
          <w:kern w:val="0"/>
          <w:szCs w:val="24"/>
        </w:rPr>
        <w:t>导致产品投资突破上述限制的，管理人将尽合理努力，在15个交易日内调整至符合要求。</w:t>
      </w:r>
    </w:p>
    <w:p w:rsidR="0089610B" w:rsidRDefault="00A93C12">
      <w:pPr>
        <w:tabs>
          <w:tab w:val="left" w:pos="3119"/>
        </w:tabs>
        <w:autoSpaceDE w:val="0"/>
        <w:autoSpaceDN w:val="0"/>
        <w:adjustRightInd w:val="0"/>
        <w:spacing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本产品存续期内非因产品管理人主观因素导致产品投资突破上述限制的，管理人将尽合理努力，在</w:t>
      </w:r>
      <w:r>
        <w:rPr>
          <w:rFonts w:ascii="仿宋_GB2312" w:hAnsi="宋体" w:cs="宋体"/>
          <w:bCs/>
          <w:kern w:val="0"/>
          <w:szCs w:val="24"/>
        </w:rPr>
        <w:t>15个交易日内调整至符合要求。</w:t>
      </w:r>
    </w:p>
    <w:p w:rsidR="0089610B" w:rsidRDefault="00A93C12">
      <w:pPr>
        <w:pStyle w:val="2"/>
        <w:ind w:firstLine="482"/>
      </w:pPr>
      <w:r>
        <w:rPr>
          <w:rFonts w:hint="eastAsia"/>
        </w:rPr>
        <w:t>投资范围调整</w:t>
      </w:r>
    </w:p>
    <w:p w:rsidR="0089610B" w:rsidRDefault="00A93C12">
      <w:pPr>
        <w:tabs>
          <w:tab w:val="left" w:pos="3119"/>
        </w:tabs>
        <w:autoSpaceDE w:val="0"/>
        <w:autoSpaceDN w:val="0"/>
        <w:adjustRightInd w:val="0"/>
        <w:snapToGrid w:val="0"/>
        <w:spacing w:line="360" w:lineRule="auto"/>
        <w:ind w:firstLineChars="200" w:firstLine="482"/>
        <w:rPr>
          <w:rFonts w:ascii="仿宋_GB2312" w:hAnsi="宋体" w:cs="宋体"/>
          <w:kern w:val="0"/>
          <w:szCs w:val="24"/>
        </w:rPr>
      </w:pPr>
      <w:r>
        <w:rPr>
          <w:rFonts w:ascii="仿宋_GB2312" w:hAnsi="宋体" w:cs="宋体" w:hint="eastAsia"/>
          <w:b/>
          <w:bCs/>
          <w:kern w:val="0"/>
          <w:szCs w:val="24"/>
        </w:rPr>
        <w:t>在不违反法律、法规、规章和监管规定的强制性规范的前提下，管理人有权根据市场情况，对本产品的投资范围、投资资产种类或投资比例等进行调整，在调整前将通过本产品说明书约定的信息披露渠道进行信息披露。</w:t>
      </w:r>
      <w:r>
        <w:rPr>
          <w:rFonts w:ascii="仿宋_GB2312" w:hAnsi="宋体" w:cs="宋体" w:hint="eastAsia"/>
          <w:kern w:val="0"/>
          <w:szCs w:val="24"/>
        </w:rPr>
        <w:t>上述情况下管理人可能开放赎回，具体以信息披露内容为准。投资者不同意信息披露内容的，可在信息披露中约定的时间内赎回本产品。如投资者未在上述约定时间内赎回本产品，则视为投资者对上述调整无异议并同意继续持有本产品。除高风险类型的理财产品超出比例范围投资较低风险资产的情况外，管理人应提前取得投资者书面同意，并履行登记备案等法律法规以及金融监督管理部门规定的程序。</w:t>
      </w:r>
    </w:p>
    <w:p w:rsidR="0089610B" w:rsidRDefault="00A93C12">
      <w:pPr>
        <w:pStyle w:val="2"/>
        <w:autoSpaceDE w:val="0"/>
        <w:autoSpaceDN w:val="0"/>
        <w:adjustRightInd w:val="0"/>
        <w:snapToGrid w:val="0"/>
        <w:ind w:rightChars="15" w:right="36" w:firstLine="482"/>
      </w:pPr>
      <w:r>
        <w:rPr>
          <w:rFonts w:hint="eastAsia"/>
        </w:rPr>
        <w:t>投资策略</w:t>
      </w:r>
    </w:p>
    <w:p w:rsidR="0089610B" w:rsidRDefault="00A93C12">
      <w:pPr>
        <w:tabs>
          <w:tab w:val="left" w:pos="3119"/>
        </w:tabs>
        <w:autoSpaceDE w:val="0"/>
        <w:autoSpaceDN w:val="0"/>
        <w:adjustRightInd w:val="0"/>
        <w:snapToGrid w:val="0"/>
        <w:spacing w:line="360" w:lineRule="auto"/>
        <w:ind w:firstLineChars="200" w:firstLine="480"/>
      </w:pPr>
      <w:r>
        <w:t>本系列产品本着稳健投资的理念，通过对宏观经济的研究，在较低风险资产间进行合理配置，在有效控制信用风险的基础上尽可能提高投资组合收益。理财产品主要投资于各类银行存款、同业存单、回购等货币市场工具以及债券等债权类资产，以及优先股等权益类资产，同时根据宏观经济、货币政策和信用环境等因素，制定多种投资策略。在投资组合构建和调整的过程中，根据投资品种的变化，如收益率、流动性状况变化或品种到期等，不定期的对组合进行优化调整。</w:t>
      </w:r>
    </w:p>
    <w:p w:rsidR="0089610B" w:rsidRDefault="00A93C12">
      <w:pPr>
        <w:tabs>
          <w:tab w:val="left" w:pos="3119"/>
        </w:tabs>
        <w:autoSpaceDE w:val="0"/>
        <w:autoSpaceDN w:val="0"/>
        <w:adjustRightInd w:val="0"/>
        <w:snapToGrid w:val="0"/>
        <w:spacing w:line="360" w:lineRule="auto"/>
        <w:ind w:firstLineChars="200" w:firstLine="480"/>
      </w:pPr>
      <w:r>
        <w:t>本产品可在符合监管规定的前提下适当运用杠杆原理，通过回购操作，增强投资组合的收益水平</w:t>
      </w:r>
      <w:r>
        <w:rPr>
          <w:rFonts w:hint="eastAsia"/>
        </w:rPr>
        <w:t>，</w:t>
      </w:r>
      <w:r>
        <w:t>但本理财产品总资产不超过净资产的</w:t>
      </w:r>
      <w:r>
        <w:rPr>
          <w:rFonts w:hint="eastAsia"/>
        </w:rPr>
        <w:t>【</w:t>
      </w:r>
      <w:r>
        <w:rPr>
          <w:rFonts w:hint="eastAsia"/>
        </w:rPr>
        <w:t>140%</w:t>
      </w:r>
      <w:r>
        <w:rPr>
          <w:rFonts w:hint="eastAsia"/>
        </w:rPr>
        <w:t>】</w:t>
      </w:r>
      <w:r>
        <w:t>。</w:t>
      </w:r>
    </w:p>
    <w:p w:rsidR="0089610B" w:rsidRDefault="00A93C12">
      <w:pPr>
        <w:pStyle w:val="2"/>
        <w:ind w:firstLine="482"/>
      </w:pPr>
      <w:r>
        <w:rPr>
          <w:rFonts w:hint="eastAsia"/>
        </w:rPr>
        <w:t>投资</w:t>
      </w:r>
      <w:r>
        <w:t>合作机构</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投资合作机构包括但不限于理财产品所投资资产管理产品的发行机构、根据合同约定从事理财产品受托投资的机构、与理财产品投资管理相关的投资顾问等。本理财产品的投资合作机构主要职责为对受托资金进行投资和管理，根据合同约定从事受托投资或提供投资顾问等服务，具体职责以管理人与投资合作机构签署的合同为准。</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本理财产品的投资合作机构均为具有专业资质并受国家金融监督管理总局监管的金融机构或国务院银行业监督管理机构认可的其他机构。投资者可登录管理人官方网站查询知晓理财产品的投资合作机构。</w:t>
      </w:r>
    </w:p>
    <w:p w:rsidR="0089610B" w:rsidRDefault="00A93C12">
      <w:pPr>
        <w:pStyle w:val="1"/>
        <w:numPr>
          <w:ilvl w:val="255"/>
          <w:numId w:val="0"/>
        </w:numPr>
        <w:jc w:val="both"/>
      </w:pPr>
      <w:r>
        <w:rPr>
          <w:rFonts w:ascii="仿宋_GB2312" w:eastAsia="仿宋_GB2312" w:hAnsi="宋体" w:cs="宋体" w:hint="eastAsia"/>
          <w:bCs/>
          <w:kern w:val="0"/>
          <w:sz w:val="24"/>
          <w:szCs w:val="24"/>
        </w:rPr>
        <w:br w:type="page"/>
      </w:r>
    </w:p>
    <w:p w:rsidR="0089610B" w:rsidRDefault="00A93C12">
      <w:pPr>
        <w:pStyle w:val="1"/>
        <w:tabs>
          <w:tab w:val="clear" w:pos="0"/>
          <w:tab w:val="left" w:pos="3119"/>
        </w:tabs>
        <w:autoSpaceDE w:val="0"/>
        <w:autoSpaceDN w:val="0"/>
        <w:adjustRightInd w:val="0"/>
        <w:spacing w:before="240"/>
        <w:ind w:rightChars="15" w:right="36" w:firstLine="560"/>
        <w:contextualSpacing/>
      </w:pPr>
      <w:r>
        <w:rPr>
          <w:rFonts w:hint="eastAsia"/>
        </w:rPr>
        <w:t>理财产品的托管</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本理财产品托管人为【浙商银行股份有限公司】。托管人【是】产品管理人的关联方。</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【浙商银行股份有限公司】具备监管机构认可的理财产品托管资格，主要履行职责包括：</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（一）安全保管理财产品财产；</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（二）确保托管资金安全，保证其托管的理财产品财产与其自有资产相互独立；为每只理财产品开设独立的托管账户，不同托管账户中的资产应当相互独立；</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（三）按照托管协议约定和管理人的投资指令，及时办理清算、交割事宜；</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（四）建立与管理人的对账机制，复核、审查理财产品资金头寸、资产账目、资产净值、认购和赎回价格等数据，及时核查认购、赎回以及投资资金的支付和到账情况；</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（五）监督理财产品投资运作，发现理财产品违反法律、行政法规、规章规定或合同约定进行投资的，应当拒绝执行，及时通知管理人并报告银行业监督管理机构；</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六）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（七）理财托管业务活动的记录、账册、报表和其他相关资料保存</w:t>
      </w:r>
      <w:r>
        <w:rPr>
          <w:rFonts w:ascii="仿宋_GB2312" w:hAnsi="宋体" w:cs="宋体"/>
          <w:bCs/>
          <w:kern w:val="0"/>
          <w:szCs w:val="24"/>
        </w:rPr>
        <w:t>15年以上；</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（八）对理财产品投资信息和相关资料承担保密责任，除法律、行政法规、规章规定、审计要求或者合同约定外，不得向任何机构或者个人提供相关信息和资料；</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（九）托管人的董事、监事、高级管理人员和其他托管业务人员不得有《商业银行理财业务监督管理办法》第二十四条第二款所列行为；</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（十</w:t>
      </w:r>
      <w:r>
        <w:rPr>
          <w:rFonts w:ascii="仿宋_GB2312" w:hAnsi="宋体" w:cs="宋体"/>
          <w:bCs/>
          <w:kern w:val="0"/>
          <w:szCs w:val="24"/>
        </w:rPr>
        <w:t>）</w:t>
      </w:r>
      <w:r>
        <w:rPr>
          <w:rFonts w:ascii="仿宋_GB2312" w:hAnsi="宋体" w:cs="宋体" w:hint="eastAsia"/>
          <w:bCs/>
          <w:kern w:val="0"/>
          <w:szCs w:val="24"/>
        </w:rPr>
        <w:t>配合提供托管人相应关联方信息；</w:t>
      </w:r>
    </w:p>
    <w:p w:rsidR="0089610B" w:rsidRDefault="00A93C12">
      <w:pPr>
        <w:tabs>
          <w:tab w:val="left" w:pos="3119"/>
        </w:tabs>
        <w:autoSpaceDE w:val="0"/>
        <w:autoSpaceDN w:val="0"/>
        <w:adjustRightInd w:val="0"/>
        <w:spacing w:before="240" w:line="360" w:lineRule="auto"/>
        <w:ind w:rightChars="15" w:right="36" w:firstLineChars="200" w:firstLine="480"/>
        <w:contextualSpacing/>
        <w:rPr>
          <w:rFonts w:ascii="仿宋_GB2312" w:hAnsi="宋体" w:cs="宋体"/>
          <w:bCs/>
          <w:kern w:val="0"/>
          <w:szCs w:val="24"/>
        </w:rPr>
      </w:pPr>
      <w:r>
        <w:rPr>
          <w:rFonts w:ascii="仿宋_GB2312" w:hAnsi="宋体" w:cs="宋体" w:hint="eastAsia"/>
          <w:bCs/>
          <w:kern w:val="0"/>
          <w:szCs w:val="24"/>
        </w:rPr>
        <w:t>（十</w:t>
      </w:r>
      <w:r>
        <w:rPr>
          <w:rFonts w:ascii="仿宋_GB2312" w:hAnsi="宋体" w:cs="宋体"/>
          <w:bCs/>
          <w:kern w:val="0"/>
          <w:szCs w:val="24"/>
        </w:rPr>
        <w:t>一）</w:t>
      </w:r>
      <w:r>
        <w:rPr>
          <w:rFonts w:ascii="仿宋_GB2312" w:hAnsi="宋体" w:cs="宋体" w:hint="eastAsia"/>
          <w:bCs/>
          <w:kern w:val="0"/>
          <w:szCs w:val="24"/>
        </w:rPr>
        <w:t>国务院银行业监督管理机构规定的其他职责。</w:t>
      </w:r>
    </w:p>
    <w:p w:rsidR="0089610B" w:rsidRDefault="00A93C12">
      <w:pPr>
        <w:rPr>
          <w:rFonts w:ascii="仿宋_GB2312" w:hAnsi="宋体" w:cs="宋体"/>
          <w:bCs/>
          <w:kern w:val="0"/>
          <w:szCs w:val="24"/>
        </w:rPr>
      </w:pPr>
      <w:r>
        <w:rPr>
          <w:rFonts w:ascii="仿宋_GB2312" w:hAnsi="宋体" w:cs="宋体"/>
          <w:bCs/>
          <w:kern w:val="0"/>
          <w:szCs w:val="24"/>
        </w:rPr>
        <w:br w:type="page"/>
      </w:r>
    </w:p>
    <w:p w:rsidR="0089610B" w:rsidRDefault="00A93C12">
      <w:pPr>
        <w:pStyle w:val="1"/>
      </w:pPr>
      <w:r>
        <w:rPr>
          <w:rFonts w:hint="eastAsia"/>
        </w:rPr>
        <w:t>理财产品资产估值</w:t>
      </w:r>
    </w:p>
    <w:p w:rsidR="0089610B" w:rsidRDefault="00A93C12">
      <w:pPr>
        <w:pStyle w:val="2"/>
        <w:ind w:firstLine="482"/>
      </w:pPr>
      <w:r>
        <w:rPr>
          <w:rFonts w:hint="eastAsia"/>
        </w:rPr>
        <w:t>估值日</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hint="eastAsia"/>
        </w:rPr>
        <w:t>本产品的估值日为每个</w:t>
      </w:r>
      <w:r>
        <w:rPr>
          <w:rFonts w:hint="eastAsia"/>
          <w:b/>
        </w:rPr>
        <w:t>产品</w:t>
      </w:r>
      <w:r>
        <w:rPr>
          <w:rFonts w:ascii="仿宋_GB2312" w:hAnsi="宋体" w:cs="宋体" w:hint="eastAsia"/>
          <w:bCs/>
          <w:kern w:val="0"/>
          <w:szCs w:val="24"/>
        </w:rPr>
        <w:t>交易日</w:t>
      </w:r>
      <w:r>
        <w:rPr>
          <w:rFonts w:hint="eastAsia"/>
        </w:rPr>
        <w:t>。</w:t>
      </w:r>
    </w:p>
    <w:p w:rsidR="0089610B" w:rsidRDefault="00A93C12">
      <w:pPr>
        <w:pStyle w:val="2"/>
        <w:ind w:firstLine="482"/>
      </w:pPr>
      <w:r>
        <w:rPr>
          <w:rFonts w:hint="eastAsia"/>
        </w:rPr>
        <w:t>估值对象</w:t>
      </w:r>
    </w:p>
    <w:p w:rsidR="0089610B" w:rsidRDefault="00A93C12">
      <w:pPr>
        <w:autoSpaceDE w:val="0"/>
        <w:autoSpaceDN w:val="0"/>
        <w:adjustRightInd w:val="0"/>
        <w:snapToGrid w:val="0"/>
        <w:spacing w:line="360" w:lineRule="auto"/>
        <w:ind w:firstLineChars="200" w:firstLine="464"/>
        <w:jc w:val="left"/>
        <w:rPr>
          <w:rFonts w:ascii="仿宋_GB2312" w:hAnsi="宋体" w:cs="宋体"/>
          <w:bCs/>
          <w:spacing w:val="-4"/>
          <w:kern w:val="0"/>
          <w:szCs w:val="24"/>
        </w:rPr>
      </w:pPr>
      <w:r>
        <w:rPr>
          <w:rFonts w:ascii="仿宋_GB2312" w:hAnsi="宋体" w:cs="宋体" w:hint="eastAsia"/>
          <w:bCs/>
          <w:spacing w:val="-4"/>
          <w:kern w:val="0"/>
          <w:szCs w:val="24"/>
        </w:rPr>
        <w:t>本理财产品估值的对象为本理财产品所持有的一切资产和负债。</w:t>
      </w:r>
    </w:p>
    <w:p w:rsidR="0089610B" w:rsidRDefault="00A93C12">
      <w:pPr>
        <w:pStyle w:val="2"/>
        <w:ind w:firstLine="482"/>
      </w:pPr>
      <w:r>
        <w:rPr>
          <w:rFonts w:hint="eastAsia"/>
        </w:rPr>
        <w:t>估值方法</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1.货币市场工具类资产的估值</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（1）银行存款及回购按其商定利率或协议利率在实际持有期内逐日计提收益。</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（2）货币基金按最近披露的基金份额净值进行估值，并依据该基金公布的前一日每万份收益计提收益。</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2.在证券交易所和银行间市场交易的债券的估值</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（1）不含转股权的债券，按照第三方估值机构（中债、中证等）提供的估值数据对本理财产品所持有债券进行估值，具体的第三方估值机构有管理人与托管人协商确定；</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（2）含转股权的债券（如可转债券等），实行全价交易的，选取估值日收盘价进行估值；实行净价交易的，选取估值日收盘价并加计债券应计利息后的全价进行估值；</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3）对于暂不具备活跃交易市场，或者在活跃市场中没有公允报价的资产，采用估值技术确定其公允价值。在估值技术难以可靠计量公允价值的情况下，可按照监管机构认可的符合企业会计准则的其他方法进行估值；</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（4）如监管对债券估值另有规定，按照监管的最新规定进行调整。</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3.优先股按第三方估值机构（中证、中债等）提供的估值数据进行估值；无第三方估值数据的，由管理人与托管人根据合理判断按反映产品公允价值的计量方案进行估值。</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4.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5.投资未上市非货币基金，按所投资基金管理人披露的最新份额净值进行估值；交易所上市的非货币基金，按估值日其所在证券交易所的收盘价进行估值。</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6.投资符合投资范围内的其他各类资产管理产品的估值，以估值日截止时点获得的、由所投资资产管理人披露的最新份额净值或者投资收益情况进行估值；或由产品管理人和托管人根据合理判断按反映产品公允价值的估值方案进行估值。</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7.商品与金融衍生品类资产的估值</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（1）场内交易的商品与金融衍生品类资产，以交易所最近交易日的结算价或者收盘价进行估值；</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（2）场外交易的商品与金融衍生品类资产，采用估值技术确定其公允价值，按照外部机构提供的价格数据或管理人与托管人认可的估值方案进行估值。</w:t>
      </w:r>
    </w:p>
    <w:p w:rsidR="0089610B" w:rsidRDefault="00A93C12">
      <w:pPr>
        <w:tabs>
          <w:tab w:val="left" w:pos="3119"/>
        </w:tabs>
        <w:autoSpaceDE w:val="0"/>
        <w:autoSpaceDN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8</w:t>
      </w:r>
      <w:r>
        <w:rPr>
          <w:rFonts w:ascii="仿宋_GB2312" w:hAnsi="宋体" w:cs="宋体"/>
          <w:bCs/>
          <w:kern w:val="0"/>
          <w:szCs w:val="24"/>
        </w:rPr>
        <w:t>.若理财产品存续期间持有其他投资品种，以理财产品管理人与托管人共同认可的估值方法估值。</w:t>
      </w:r>
    </w:p>
    <w:p w:rsidR="0089610B" w:rsidRDefault="00A93C12">
      <w:pPr>
        <w:tabs>
          <w:tab w:val="left" w:pos="3119"/>
        </w:tabs>
        <w:autoSpaceDE w:val="0"/>
        <w:autoSpaceDN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9</w:t>
      </w:r>
      <w:r>
        <w:rPr>
          <w:rFonts w:ascii="仿宋_GB2312" w:hAnsi="宋体" w:cs="宋体"/>
          <w:bCs/>
          <w:kern w:val="0"/>
          <w:szCs w:val="24"/>
        </w:rPr>
        <w:t>.</w:t>
      </w:r>
      <w:r>
        <w:rPr>
          <w:rFonts w:ascii="仿宋_GB2312" w:hAnsi="宋体" w:cs="宋体" w:hint="eastAsia"/>
          <w:bCs/>
          <w:kern w:val="0"/>
          <w:szCs w:val="24"/>
        </w:rPr>
        <w:t>在任何情况下，如采用以上规定的方法对资产进行估值，均应被认为采用了适当的估值方法。如管理人有证据表明上述规定不能客观反映理财产品资产公允价值的，管理人可根据具体情况，在综合考虑市场成交价、市场报价、流动性、收益率曲线与标的信用风险等多种因素基础上，按最能反映理财产品资产公允价值的方法进行估值。</w:t>
      </w:r>
    </w:p>
    <w:p w:rsidR="0089610B" w:rsidRDefault="00A93C12">
      <w:pPr>
        <w:pStyle w:val="2"/>
        <w:ind w:firstLine="482"/>
      </w:pPr>
      <w:r>
        <w:rPr>
          <w:rFonts w:hint="eastAsia"/>
        </w:rPr>
        <w:t>估值错误处理</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理财</w:t>
      </w:r>
      <w:r>
        <w:rPr>
          <w:rFonts w:ascii="仿宋_GB2312" w:hAnsi="宋体" w:cs="宋体"/>
          <w:bCs/>
          <w:kern w:val="0"/>
          <w:szCs w:val="24"/>
        </w:rPr>
        <w:t>产品</w:t>
      </w:r>
      <w:r>
        <w:rPr>
          <w:rFonts w:ascii="仿宋_GB2312" w:hAnsi="宋体" w:cs="宋体" w:hint="eastAsia"/>
          <w:bCs/>
          <w:kern w:val="0"/>
          <w:szCs w:val="24"/>
        </w:rPr>
        <w:t>管理人和</w:t>
      </w:r>
      <w:r>
        <w:rPr>
          <w:rFonts w:ascii="仿宋_GB2312" w:hAnsi="宋体" w:cs="宋体"/>
          <w:bCs/>
          <w:kern w:val="0"/>
          <w:szCs w:val="24"/>
        </w:rPr>
        <w:t>理财产品托管人</w:t>
      </w:r>
      <w:r>
        <w:rPr>
          <w:rFonts w:ascii="仿宋_GB2312" w:hAnsi="宋体" w:cs="宋体" w:hint="eastAsia"/>
          <w:bCs/>
          <w:kern w:val="0"/>
          <w:szCs w:val="24"/>
        </w:rPr>
        <w:t>将采取必要、适当、合理的措施确保产品资产估值的准确性、及时性。</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1.估值错误处理原则</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（1）由于理财产品管理人或理财产品托管人自身过错造成的估值错误，导致投资者遭受损失的，由估值错误责任方按照各自过错程度对该估值错误导致投资者遭受的直接损失给予赔偿，承担赔偿责任。</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2）对因技术原因引起的差错，若系同行业现有技术水平无法预见、无法避免、无法抗拒，属不可抗力。由于不可抗力原因，或由于证券交易所、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但因该差错取得不当得利的投资者仍应负有返还不当得利的义务。</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3）若因理财产品托管人估值错误造成财产损失，理财产品管理人应向托管人追偿；若因理财产品管理人与理财产品托管人之外的第三方估值差错造成财产的损失，并拒绝进行赔偿时，由理财产品管理人负责向差错方追偿，追偿过程中产生的有关费用，应当列入理财产品费用，由理财产品承担。</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（4）因估值错误而获得不当得利的投资者负有及时返还不当得利的义务。</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（5）按法律法规规定的其他原则处理估值错误。</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2.估值错误处理程序</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估值错误被发现后，理财产品管理人与理财产品托管人应当及时进行处理，处理的程序如下：</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（1）查明估值差错发生的原因，根据估值错误发生的原因确定估值错误的责任方；</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（2）根据估值错误处理原则对因估值错误造成的损失进行评估；</w:t>
      </w:r>
    </w:p>
    <w:p w:rsidR="0089610B" w:rsidRDefault="00A93C12">
      <w:pPr>
        <w:tabs>
          <w:tab w:val="left" w:pos="3119"/>
        </w:tabs>
        <w:autoSpaceDE w:val="0"/>
        <w:autoSpaceDN w:val="0"/>
        <w:adjustRightInd w:val="0"/>
        <w:snapToGrid w:val="0"/>
        <w:spacing w:line="360" w:lineRule="auto"/>
        <w:ind w:rightChars="15" w:right="36" w:firstLineChars="200" w:firstLine="480"/>
        <w:rPr>
          <w:rFonts w:ascii="仿宋_GB2312" w:hAnsi="宋体" w:cs="宋体"/>
          <w:bCs/>
          <w:kern w:val="0"/>
          <w:szCs w:val="24"/>
        </w:rPr>
      </w:pPr>
      <w:r>
        <w:rPr>
          <w:rFonts w:ascii="仿宋_GB2312" w:hAnsi="宋体" w:cs="宋体" w:hint="eastAsia"/>
          <w:bCs/>
          <w:kern w:val="0"/>
          <w:szCs w:val="24"/>
        </w:rPr>
        <w:t>（3）根据估值错误处理原则或理财产品管理人与托管人协商的方法，由理财产品管理人与托管人共同进行更正，由估值错误的责任方进行赔偿损失。</w:t>
      </w:r>
    </w:p>
    <w:p w:rsidR="0089610B" w:rsidRDefault="00A93C12">
      <w:pPr>
        <w:pStyle w:val="2"/>
        <w:ind w:firstLine="482"/>
      </w:pPr>
      <w:r>
        <w:rPr>
          <w:rFonts w:hint="eastAsia"/>
        </w:rPr>
        <w:t>暂停估值的情形</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1.当资产估值因不可抗力或其他情形致使本产品管理人和托管人无法准确评估资产价值时；</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2．理财产品投资所涉及的交易市场遇法定节假日或因其他原因暂停营业时；</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3.理财产品投资的其他资产产品合同约定暂停估值或无法估值的情形发生，导致理财产品无法估值时；</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4</w:t>
      </w:r>
      <w:r>
        <w:rPr>
          <w:rFonts w:ascii="仿宋_GB2312" w:hAnsi="宋体" w:cs="宋体"/>
          <w:bCs/>
          <w:kern w:val="0"/>
          <w:szCs w:val="24"/>
        </w:rPr>
        <w:t>.</w:t>
      </w:r>
      <w:r>
        <w:rPr>
          <w:rFonts w:ascii="仿宋_GB2312" w:hAnsi="宋体" w:cs="宋体" w:hint="eastAsia"/>
          <w:bCs/>
          <w:kern w:val="0"/>
          <w:szCs w:val="24"/>
        </w:rPr>
        <w:t>当前一估值日理财产品资产净值5</w:t>
      </w:r>
      <w:r>
        <w:rPr>
          <w:rFonts w:ascii="仿宋_GB2312" w:hAnsi="宋体" w:cs="宋体"/>
          <w:bCs/>
          <w:kern w:val="0"/>
          <w:szCs w:val="24"/>
        </w:rPr>
        <w:t>0</w:t>
      </w:r>
      <w:r>
        <w:rPr>
          <w:rFonts w:ascii="仿宋_GB2312" w:hAnsi="宋体" w:cs="宋体" w:hint="eastAsia"/>
          <w:bCs/>
          <w:kern w:val="0"/>
          <w:szCs w:val="24"/>
        </w:rPr>
        <w:t>%以上的资产不具备活跃市场或在活跃市场中无报价，且采用估值技术不能可靠计量公允价值时；</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bCs/>
          <w:kern w:val="0"/>
          <w:szCs w:val="24"/>
        </w:rPr>
        <w:t>5</w:t>
      </w:r>
      <w:r>
        <w:rPr>
          <w:rFonts w:ascii="仿宋_GB2312" w:hAnsi="宋体" w:cs="宋体" w:hint="eastAsia"/>
          <w:bCs/>
          <w:kern w:val="0"/>
          <w:szCs w:val="24"/>
        </w:rPr>
        <w:t>.国家金融监督管理总局认定的其他情形或理财产品管理人、托管人有合理理由认为将影响本理财产品估值的其他情形。</w:t>
      </w:r>
    </w:p>
    <w:p w:rsidR="0089610B" w:rsidRDefault="00A93C12">
      <w:pPr>
        <w:jc w:val="left"/>
        <w:rPr>
          <w:rFonts w:ascii="仿宋_GB2312" w:hAnsi="宋体" w:cs="宋体"/>
          <w:bCs/>
          <w:kern w:val="0"/>
          <w:szCs w:val="24"/>
        </w:rPr>
      </w:pPr>
      <w:r>
        <w:rPr>
          <w:rFonts w:ascii="仿宋_GB2312" w:hAnsi="宋体" w:cs="宋体" w:hint="eastAsia"/>
          <w:bCs/>
          <w:kern w:val="0"/>
          <w:szCs w:val="24"/>
        </w:rPr>
        <w:br w:type="page"/>
      </w:r>
    </w:p>
    <w:p w:rsidR="0089610B" w:rsidRDefault="00A93C12">
      <w:pPr>
        <w:pStyle w:val="1"/>
      </w:pPr>
      <w:r>
        <w:rPr>
          <w:rFonts w:hint="eastAsia"/>
        </w:rPr>
        <w:t>理财产品的利益分配</w:t>
      </w:r>
    </w:p>
    <w:p w:rsidR="0089610B" w:rsidRDefault="00A93C12">
      <w:pPr>
        <w:pStyle w:val="2"/>
        <w:ind w:firstLine="482"/>
      </w:pPr>
      <w:r>
        <w:rPr>
          <w:rFonts w:hint="eastAsia"/>
        </w:rPr>
        <w:t>理财利益的分配类型</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1.依据分配时点，理财利益的分配可分为“期间分配”与“终止分配”。</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2.依据分配方式，理财利益的分配可分为“现金分配”与“非现金分配”。</w:t>
      </w:r>
    </w:p>
    <w:p w:rsidR="0089610B" w:rsidRDefault="00A93C12">
      <w:pPr>
        <w:pStyle w:val="2"/>
        <w:ind w:firstLine="482"/>
      </w:pPr>
      <w:r>
        <w:rPr>
          <w:rFonts w:hint="eastAsia"/>
        </w:rPr>
        <w:t>理财利益的分配原则</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1.本产品利益分配应遵循下列原则：</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（1）每一产品份额享有同等分配权。</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（2）在不</w:t>
      </w:r>
      <w:r>
        <w:rPr>
          <w:rFonts w:ascii="仿宋_GB2312" w:hAnsi="宋体" w:cs="宋体"/>
          <w:bCs/>
          <w:kern w:val="0"/>
          <w:szCs w:val="24"/>
        </w:rPr>
        <w:t>违反法律法规、理财产品销售文件约定以及对份额持有人权益无实质性不利影响的情况下，产品管理人可</w:t>
      </w:r>
      <w:r>
        <w:rPr>
          <w:rFonts w:ascii="仿宋_GB2312" w:hAnsi="宋体" w:cs="宋体" w:hint="eastAsia"/>
          <w:bCs/>
          <w:kern w:val="0"/>
          <w:szCs w:val="24"/>
        </w:rPr>
        <w:t>调整</w:t>
      </w:r>
      <w:r>
        <w:rPr>
          <w:rFonts w:ascii="仿宋_GB2312" w:hAnsi="宋体" w:cs="宋体"/>
          <w:bCs/>
          <w:kern w:val="0"/>
          <w:szCs w:val="24"/>
        </w:rPr>
        <w:t>本理财产品利益的分配原则与支付方式。法律</w:t>
      </w:r>
      <w:r>
        <w:rPr>
          <w:rFonts w:ascii="仿宋_GB2312" w:hAnsi="宋体" w:cs="宋体" w:hint="eastAsia"/>
          <w:bCs/>
          <w:kern w:val="0"/>
          <w:szCs w:val="24"/>
        </w:rPr>
        <w:t>法规</w:t>
      </w:r>
      <w:r>
        <w:rPr>
          <w:rFonts w:ascii="仿宋_GB2312" w:hAnsi="宋体" w:cs="宋体"/>
          <w:bCs/>
          <w:kern w:val="0"/>
          <w:szCs w:val="24"/>
        </w:rPr>
        <w:t>或监管机构另有规定的从其规定。</w:t>
      </w:r>
    </w:p>
    <w:p w:rsidR="0089610B" w:rsidRDefault="00A93C12">
      <w:pPr>
        <w:pStyle w:val="2"/>
        <w:autoSpaceDE w:val="0"/>
        <w:autoSpaceDN w:val="0"/>
        <w:adjustRightInd w:val="0"/>
        <w:snapToGrid w:val="0"/>
        <w:ind w:firstLine="482"/>
      </w:pPr>
      <w:r>
        <w:rPr>
          <w:rFonts w:hint="eastAsia"/>
        </w:rPr>
        <w:t>理财利益的分配方案</w:t>
      </w:r>
    </w:p>
    <w:p w:rsidR="0089610B" w:rsidRDefault="00A93C12">
      <w:pPr>
        <w:autoSpaceDE w:val="0"/>
        <w:autoSpaceDN w:val="0"/>
        <w:adjustRightInd w:val="0"/>
        <w:snapToGrid w:val="0"/>
        <w:spacing w:line="360" w:lineRule="auto"/>
        <w:ind w:firstLineChars="200" w:firstLine="480"/>
        <w:jc w:val="left"/>
      </w:pPr>
      <w:r>
        <w:rPr>
          <w:rFonts w:ascii="仿宋_GB2312" w:hAnsi="宋体" w:cs="宋体" w:hint="eastAsia"/>
          <w:bCs/>
          <w:kern w:val="0"/>
          <w:szCs w:val="24"/>
        </w:rPr>
        <w:t>1.</w:t>
      </w:r>
      <w:r>
        <w:rPr>
          <w:rFonts w:hint="eastAsia"/>
        </w:rPr>
        <w:t>分配方案要点：</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w:t>
      </w:r>
      <w:r>
        <w:rPr>
          <w:rFonts w:ascii="仿宋_GB2312" w:hAnsi="宋体" w:cs="宋体"/>
          <w:bCs/>
          <w:kern w:val="0"/>
          <w:szCs w:val="24"/>
        </w:rPr>
        <w:t>1）</w:t>
      </w:r>
      <w:r>
        <w:rPr>
          <w:rFonts w:ascii="仿宋_GB2312" w:hAnsi="宋体" w:cs="宋体" w:hint="eastAsia"/>
          <w:bCs/>
          <w:kern w:val="0"/>
          <w:szCs w:val="24"/>
        </w:rPr>
        <w:t>本</w:t>
      </w:r>
      <w:r>
        <w:rPr>
          <w:rFonts w:ascii="仿宋_GB2312" w:hAnsi="宋体" w:cs="宋体"/>
          <w:bCs/>
          <w:kern w:val="0"/>
          <w:szCs w:val="24"/>
        </w:rPr>
        <w:t>理财产品的分配时点包括</w:t>
      </w:r>
      <w:r>
        <w:rPr>
          <w:rFonts w:ascii="仿宋_GB2312" w:hAnsi="宋体" w:cs="宋体" w:hint="eastAsia"/>
          <w:bCs/>
          <w:kern w:val="0"/>
          <w:szCs w:val="24"/>
        </w:rPr>
        <w:t>“■期间分配”“■终止分配”。</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（2</w:t>
      </w:r>
      <w:r>
        <w:rPr>
          <w:rFonts w:ascii="仿宋_GB2312" w:hAnsi="宋体" w:cs="宋体"/>
          <w:bCs/>
          <w:kern w:val="0"/>
          <w:szCs w:val="24"/>
        </w:rPr>
        <w:t>）</w:t>
      </w:r>
      <w:r>
        <w:rPr>
          <w:rFonts w:ascii="仿宋_GB2312" w:hAnsi="宋体" w:cs="宋体" w:hint="eastAsia"/>
          <w:bCs/>
          <w:kern w:val="0"/>
          <w:szCs w:val="24"/>
        </w:rPr>
        <w:t>本</w:t>
      </w:r>
      <w:r>
        <w:rPr>
          <w:rFonts w:ascii="仿宋_GB2312" w:hAnsi="宋体" w:cs="宋体"/>
          <w:bCs/>
          <w:kern w:val="0"/>
          <w:szCs w:val="24"/>
        </w:rPr>
        <w:t>理财产品的分配</w:t>
      </w:r>
      <w:r>
        <w:rPr>
          <w:rFonts w:ascii="仿宋_GB2312" w:hAnsi="宋体" w:cs="宋体" w:hint="eastAsia"/>
          <w:bCs/>
          <w:kern w:val="0"/>
          <w:szCs w:val="24"/>
        </w:rPr>
        <w:t>方式</w:t>
      </w:r>
      <w:r>
        <w:rPr>
          <w:rFonts w:ascii="仿宋_GB2312" w:hAnsi="宋体" w:cs="宋体"/>
          <w:bCs/>
          <w:kern w:val="0"/>
          <w:szCs w:val="24"/>
        </w:rPr>
        <w:t>采取</w:t>
      </w:r>
      <w:r>
        <w:rPr>
          <w:rFonts w:ascii="仿宋_GB2312" w:hAnsi="宋体" w:cs="宋体" w:hint="eastAsia"/>
          <w:bCs/>
          <w:kern w:val="0"/>
          <w:szCs w:val="24"/>
        </w:rPr>
        <w:t>“■现金分配”“□非现金分配”。</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bCs/>
          <w:kern w:val="0"/>
          <w:szCs w:val="24"/>
        </w:rPr>
        <w:t>2.</w:t>
      </w:r>
      <w:r>
        <w:rPr>
          <w:rFonts w:ascii="仿宋_GB2312" w:hAnsi="宋体" w:cs="宋体" w:hint="eastAsia"/>
          <w:bCs/>
          <w:kern w:val="0"/>
          <w:szCs w:val="24"/>
        </w:rPr>
        <w:t>具体</w:t>
      </w:r>
      <w:r>
        <w:rPr>
          <w:rFonts w:ascii="仿宋_GB2312" w:hAnsi="宋体" w:cs="宋体"/>
          <w:bCs/>
          <w:kern w:val="0"/>
          <w:szCs w:val="24"/>
        </w:rPr>
        <w:t>理财产品利益分配方案由产品管理人拟定，并由产品托管人复核后确定。</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3.理财</w:t>
      </w:r>
      <w:r>
        <w:rPr>
          <w:rFonts w:ascii="仿宋_GB2312" w:hAnsi="宋体" w:cs="宋体"/>
          <w:bCs/>
          <w:kern w:val="0"/>
          <w:szCs w:val="24"/>
        </w:rPr>
        <w:t>产品存续期间，产品管理人有权</w:t>
      </w:r>
      <w:r>
        <w:rPr>
          <w:rFonts w:ascii="仿宋_GB2312" w:hAnsi="宋体" w:cs="宋体" w:hint="eastAsia"/>
          <w:bCs/>
          <w:kern w:val="0"/>
          <w:szCs w:val="24"/>
        </w:rPr>
        <w:t>视</w:t>
      </w:r>
      <w:r>
        <w:rPr>
          <w:rFonts w:ascii="仿宋_GB2312" w:hAnsi="宋体" w:cs="宋体"/>
          <w:bCs/>
          <w:kern w:val="0"/>
          <w:szCs w:val="24"/>
        </w:rPr>
        <w:t>理财产品收益情况进行主动分配，相应分配基准日、分配方案由管理人及时披露。</w:t>
      </w:r>
    </w:p>
    <w:p w:rsidR="0089610B" w:rsidRDefault="00A93C12">
      <w:pPr>
        <w:pStyle w:val="2"/>
        <w:tabs>
          <w:tab w:val="left" w:pos="0"/>
          <w:tab w:val="left" w:pos="709"/>
        </w:tabs>
        <w:ind w:firstLineChars="0" w:firstLine="482"/>
      </w:pPr>
      <w:r>
        <w:rPr>
          <w:rFonts w:hint="eastAsia"/>
        </w:rPr>
        <w:t>理财利益的分配</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1.理财</w:t>
      </w:r>
      <w:r>
        <w:rPr>
          <w:rFonts w:ascii="仿宋_GB2312" w:hAnsi="宋体" w:cs="宋体"/>
          <w:bCs/>
          <w:kern w:val="0"/>
          <w:szCs w:val="24"/>
        </w:rPr>
        <w:t>利益的分配日</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（1</w:t>
      </w:r>
      <w:r>
        <w:rPr>
          <w:rFonts w:ascii="仿宋_GB2312" w:hAnsi="宋体" w:cs="宋体"/>
          <w:bCs/>
          <w:kern w:val="0"/>
          <w:szCs w:val="24"/>
        </w:rPr>
        <w:t>）</w:t>
      </w:r>
      <w:r>
        <w:rPr>
          <w:rFonts w:ascii="仿宋_GB2312" w:hAnsi="宋体" w:cs="宋体" w:hint="eastAsia"/>
          <w:bCs/>
          <w:kern w:val="0"/>
          <w:szCs w:val="24"/>
        </w:rPr>
        <w:t>若</w:t>
      </w:r>
      <w:r>
        <w:rPr>
          <w:rFonts w:ascii="仿宋_GB2312" w:hAnsi="宋体" w:cs="宋体"/>
          <w:bCs/>
          <w:kern w:val="0"/>
          <w:szCs w:val="24"/>
        </w:rPr>
        <w:t>为期间分配的，原则上产品管理人应于分配基准日后【</w:t>
      </w:r>
      <w:r>
        <w:rPr>
          <w:rFonts w:ascii="仿宋_GB2312" w:hAnsi="宋体" w:cs="宋体" w:hint="eastAsia"/>
          <w:bCs/>
          <w:kern w:val="0"/>
          <w:szCs w:val="24"/>
        </w:rPr>
        <w:t>5</w:t>
      </w:r>
      <w:r>
        <w:rPr>
          <w:rFonts w:ascii="仿宋_GB2312" w:hAnsi="宋体" w:cs="宋体"/>
          <w:bCs/>
          <w:kern w:val="0"/>
          <w:szCs w:val="24"/>
        </w:rPr>
        <w:t>】</w:t>
      </w:r>
      <w:r>
        <w:rPr>
          <w:rFonts w:ascii="仿宋_GB2312" w:hAnsi="宋体" w:cs="宋体" w:hint="eastAsia"/>
          <w:bCs/>
          <w:kern w:val="0"/>
          <w:szCs w:val="24"/>
        </w:rPr>
        <w:t>个</w:t>
      </w:r>
      <w:r>
        <w:rPr>
          <w:rFonts w:ascii="仿宋_GB2312" w:hAnsi="宋体" w:cs="宋体"/>
          <w:bCs/>
          <w:kern w:val="0"/>
          <w:szCs w:val="24"/>
        </w:rPr>
        <w:t>工作日内分配理财</w:t>
      </w:r>
      <w:r>
        <w:rPr>
          <w:rFonts w:ascii="仿宋_GB2312" w:hAnsi="宋体" w:cs="宋体" w:hint="eastAsia"/>
          <w:bCs/>
          <w:kern w:val="0"/>
          <w:szCs w:val="24"/>
        </w:rPr>
        <w:t>利益</w:t>
      </w:r>
      <w:r>
        <w:rPr>
          <w:rFonts w:ascii="仿宋_GB2312" w:hAnsi="宋体" w:cs="宋体"/>
          <w:bCs/>
          <w:kern w:val="0"/>
          <w:szCs w:val="24"/>
        </w:rPr>
        <w:t>（</w:t>
      </w:r>
      <w:r>
        <w:rPr>
          <w:rFonts w:ascii="仿宋_GB2312" w:hAnsi="宋体" w:cs="宋体" w:hint="eastAsia"/>
          <w:bCs/>
          <w:kern w:val="0"/>
          <w:szCs w:val="24"/>
        </w:rPr>
        <w:t>如有</w:t>
      </w:r>
      <w:r>
        <w:rPr>
          <w:rFonts w:ascii="仿宋_GB2312" w:hAnsi="宋体" w:cs="宋体"/>
          <w:bCs/>
          <w:kern w:val="0"/>
          <w:szCs w:val="24"/>
        </w:rPr>
        <w:t>）</w:t>
      </w:r>
      <w:r>
        <w:rPr>
          <w:rFonts w:ascii="仿宋_GB2312" w:hAnsi="宋体" w:cs="宋体" w:hint="eastAsia"/>
          <w:bCs/>
          <w:kern w:val="0"/>
          <w:szCs w:val="24"/>
        </w:rPr>
        <w:t>。</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hint="eastAsia"/>
          <w:bCs/>
          <w:kern w:val="0"/>
          <w:szCs w:val="24"/>
        </w:rPr>
        <w:t>（2</w:t>
      </w:r>
      <w:r>
        <w:rPr>
          <w:rFonts w:ascii="仿宋_GB2312" w:hAnsi="宋体" w:cs="宋体"/>
          <w:bCs/>
          <w:kern w:val="0"/>
          <w:szCs w:val="24"/>
        </w:rPr>
        <w:t>）</w:t>
      </w:r>
      <w:r>
        <w:rPr>
          <w:rFonts w:ascii="仿宋_GB2312" w:hAnsi="宋体" w:cs="宋体" w:hint="eastAsia"/>
          <w:bCs/>
          <w:kern w:val="0"/>
          <w:szCs w:val="24"/>
        </w:rPr>
        <w:t>若为</w:t>
      </w:r>
      <w:r>
        <w:rPr>
          <w:rFonts w:ascii="仿宋_GB2312" w:hAnsi="宋体" w:cs="宋体"/>
          <w:bCs/>
          <w:kern w:val="0"/>
          <w:szCs w:val="24"/>
        </w:rPr>
        <w:t>终止分配的，</w:t>
      </w:r>
      <w:r>
        <w:rPr>
          <w:rFonts w:ascii="仿宋_GB2312" w:hAnsi="宋体" w:cs="宋体" w:hint="eastAsia"/>
          <w:bCs/>
          <w:kern w:val="0"/>
          <w:szCs w:val="24"/>
        </w:rPr>
        <w:t>产品</w:t>
      </w:r>
      <w:r>
        <w:rPr>
          <w:rFonts w:ascii="仿宋_GB2312" w:hAnsi="宋体" w:cs="宋体"/>
          <w:bCs/>
          <w:kern w:val="0"/>
          <w:szCs w:val="24"/>
        </w:rPr>
        <w:t>管理人应按</w:t>
      </w:r>
      <w:r>
        <w:rPr>
          <w:rFonts w:ascii="仿宋_GB2312" w:hAnsi="宋体" w:cs="宋体"/>
          <w:bCs/>
          <w:kern w:val="0"/>
          <w:szCs w:val="24"/>
        </w:rPr>
        <w:t>“</w:t>
      </w:r>
      <w:r>
        <w:rPr>
          <w:rFonts w:ascii="仿宋_GB2312" w:hAnsi="宋体" w:cs="宋体" w:hint="eastAsia"/>
          <w:bCs/>
          <w:kern w:val="0"/>
          <w:szCs w:val="24"/>
        </w:rPr>
        <w:t>第十节 理财</w:t>
      </w:r>
      <w:r>
        <w:rPr>
          <w:rFonts w:ascii="仿宋_GB2312" w:hAnsi="宋体" w:cs="宋体"/>
          <w:bCs/>
          <w:kern w:val="0"/>
          <w:szCs w:val="24"/>
        </w:rPr>
        <w:t>产品终止与清算</w:t>
      </w:r>
      <w:r>
        <w:rPr>
          <w:rFonts w:ascii="仿宋_GB2312" w:hAnsi="宋体" w:cs="宋体"/>
          <w:bCs/>
          <w:kern w:val="0"/>
          <w:szCs w:val="24"/>
        </w:rPr>
        <w:t>”</w:t>
      </w:r>
      <w:r>
        <w:rPr>
          <w:rFonts w:ascii="仿宋_GB2312" w:hAnsi="宋体" w:cs="宋体" w:hint="eastAsia"/>
          <w:bCs/>
          <w:kern w:val="0"/>
          <w:szCs w:val="24"/>
        </w:rPr>
        <w:t>中</w:t>
      </w:r>
      <w:r>
        <w:rPr>
          <w:rFonts w:ascii="仿宋_GB2312" w:hAnsi="宋体" w:cs="宋体"/>
          <w:bCs/>
          <w:kern w:val="0"/>
          <w:szCs w:val="24"/>
        </w:rPr>
        <w:t>产品清算期的相关约定向投资者分配</w:t>
      </w:r>
      <w:r>
        <w:rPr>
          <w:rFonts w:ascii="仿宋_GB2312" w:hAnsi="宋体" w:cs="宋体" w:hint="eastAsia"/>
          <w:bCs/>
          <w:kern w:val="0"/>
          <w:szCs w:val="24"/>
        </w:rPr>
        <w:t>理财</w:t>
      </w:r>
      <w:r>
        <w:rPr>
          <w:rFonts w:ascii="仿宋_GB2312" w:hAnsi="宋体" w:cs="宋体"/>
          <w:bCs/>
          <w:kern w:val="0"/>
          <w:szCs w:val="24"/>
        </w:rPr>
        <w:t>利益（</w:t>
      </w:r>
      <w:r>
        <w:rPr>
          <w:rFonts w:ascii="仿宋_GB2312" w:hAnsi="宋体" w:cs="宋体" w:hint="eastAsia"/>
          <w:bCs/>
          <w:kern w:val="0"/>
          <w:szCs w:val="24"/>
        </w:rPr>
        <w:t>如有</w:t>
      </w:r>
      <w:r>
        <w:rPr>
          <w:rFonts w:ascii="仿宋_GB2312" w:hAnsi="宋体" w:cs="宋体"/>
          <w:bCs/>
          <w:kern w:val="0"/>
          <w:szCs w:val="24"/>
        </w:rPr>
        <w:t>）</w:t>
      </w:r>
      <w:r>
        <w:rPr>
          <w:rFonts w:ascii="仿宋_GB2312" w:hAnsi="宋体" w:cs="宋体" w:hint="eastAsia"/>
          <w:bCs/>
          <w:kern w:val="0"/>
          <w:szCs w:val="24"/>
        </w:rPr>
        <w:t>。</w:t>
      </w:r>
    </w:p>
    <w:p w:rsidR="0089610B" w:rsidRDefault="00A93C12">
      <w:pPr>
        <w:autoSpaceDE w:val="0"/>
        <w:autoSpaceDN w:val="0"/>
        <w:adjustRightInd w:val="0"/>
        <w:snapToGrid w:val="0"/>
        <w:spacing w:line="360" w:lineRule="auto"/>
        <w:ind w:firstLineChars="200" w:firstLine="480"/>
        <w:jc w:val="left"/>
        <w:rPr>
          <w:rFonts w:ascii="仿宋_GB2312" w:hAnsi="宋体" w:cs="宋体"/>
          <w:bCs/>
          <w:kern w:val="0"/>
          <w:szCs w:val="24"/>
        </w:rPr>
      </w:pPr>
      <w:r>
        <w:rPr>
          <w:rFonts w:ascii="仿宋_GB2312" w:hAnsi="宋体" w:cs="宋体"/>
          <w:bCs/>
          <w:kern w:val="0"/>
          <w:szCs w:val="24"/>
        </w:rPr>
        <w:t>2.</w:t>
      </w:r>
      <w:r>
        <w:rPr>
          <w:rFonts w:ascii="仿宋_GB2312" w:hAnsi="宋体" w:cs="宋体" w:hint="eastAsia"/>
          <w:bCs/>
          <w:kern w:val="0"/>
          <w:szCs w:val="24"/>
        </w:rPr>
        <w:t>具体</w:t>
      </w:r>
      <w:r>
        <w:rPr>
          <w:rFonts w:ascii="仿宋_GB2312" w:hAnsi="宋体" w:cs="宋体"/>
          <w:bCs/>
          <w:kern w:val="0"/>
          <w:szCs w:val="24"/>
        </w:rPr>
        <w:t>的理财产品分配</w:t>
      </w:r>
      <w:r>
        <w:rPr>
          <w:rFonts w:ascii="仿宋_GB2312" w:hAnsi="宋体" w:cs="宋体" w:hint="eastAsia"/>
          <w:bCs/>
          <w:kern w:val="0"/>
          <w:szCs w:val="24"/>
        </w:rPr>
        <w:t>以</w:t>
      </w:r>
      <w:r>
        <w:rPr>
          <w:rFonts w:ascii="仿宋_GB2312" w:hAnsi="宋体" w:cs="宋体"/>
          <w:bCs/>
          <w:kern w:val="0"/>
          <w:szCs w:val="24"/>
        </w:rPr>
        <w:t>管理人实际分配的为准。</w:t>
      </w:r>
    </w:p>
    <w:p w:rsidR="0089610B" w:rsidRDefault="00A93C12">
      <w:pPr>
        <w:pStyle w:val="Default"/>
        <w:widowControl/>
        <w:snapToGrid w:val="0"/>
        <w:spacing w:line="360" w:lineRule="auto"/>
        <w:ind w:firstLineChars="200" w:firstLine="480"/>
        <w:rPr>
          <w:color w:val="auto"/>
        </w:rPr>
      </w:pPr>
      <w:r>
        <w:rPr>
          <w:rFonts w:ascii="仿宋_GB2312" w:eastAsia="仿宋_GB2312" w:hAnsi="宋体" w:hint="eastAsia"/>
          <w:bCs/>
          <w:color w:val="auto"/>
        </w:rPr>
        <w:br w:type="page"/>
      </w:r>
    </w:p>
    <w:p w:rsidR="0089610B" w:rsidRDefault="00A93C12">
      <w:pPr>
        <w:pStyle w:val="1"/>
      </w:pPr>
      <w:r>
        <w:rPr>
          <w:rFonts w:hint="eastAsia"/>
        </w:rPr>
        <w:t>理财产品的费用与税收</w:t>
      </w:r>
    </w:p>
    <w:p w:rsidR="0089610B" w:rsidRDefault="00A93C12">
      <w:pPr>
        <w:pStyle w:val="2"/>
        <w:tabs>
          <w:tab w:val="left" w:pos="0"/>
          <w:tab w:val="left" w:pos="709"/>
        </w:tabs>
        <w:ind w:firstLineChars="0" w:firstLine="482"/>
      </w:pPr>
      <w:r>
        <w:rPr>
          <w:rFonts w:hint="eastAsia"/>
        </w:rPr>
        <w:t>理财费用</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1.理财产品费用的种类</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（1）理财产品的认购费、申购费、赎回费；</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（2）理财产品的销售服务费；</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（3）理财产品的</w:t>
      </w:r>
      <w:r>
        <w:rPr>
          <w:rFonts w:ascii="仿宋_GB2312" w:hAnsi="宋体" w:cs="宋体" w:hint="eastAsia"/>
          <w:bCs/>
          <w:kern w:val="0"/>
          <w:szCs w:val="24"/>
        </w:rPr>
        <w:t>投资管理费</w:t>
      </w:r>
      <w:r>
        <w:rPr>
          <w:rFonts w:ascii="仿宋_GB2312" w:hAnsi="宋体" w:cs="宋体"/>
          <w:bCs/>
          <w:kern w:val="0"/>
          <w:szCs w:val="24"/>
        </w:rPr>
        <w:t>及业绩报酬；</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（4）理财产品的产品托管费；</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（5）</w:t>
      </w:r>
      <w:r>
        <w:rPr>
          <w:rFonts w:ascii="仿宋_GB2312" w:hAnsi="宋体" w:cs="宋体" w:hint="eastAsia"/>
          <w:bCs/>
          <w:kern w:val="0"/>
          <w:szCs w:val="24"/>
        </w:rPr>
        <w:t>其他费用，包括但不限于：与</w:t>
      </w:r>
      <w:r>
        <w:rPr>
          <w:rFonts w:ascii="仿宋_GB2312" w:hAnsi="宋体" w:cs="宋体"/>
          <w:bCs/>
          <w:kern w:val="0"/>
          <w:szCs w:val="24"/>
        </w:rPr>
        <w:t>理财产品相关的</w:t>
      </w:r>
      <w:r>
        <w:rPr>
          <w:rFonts w:ascii="仿宋_GB2312" w:hAnsi="宋体" w:cs="宋体" w:hint="eastAsia"/>
          <w:bCs/>
          <w:kern w:val="0"/>
          <w:szCs w:val="24"/>
        </w:rPr>
        <w:t>账户服务费用、资产服务费用、交易费用（包括但不限于交易佣金、撮合费用等）、注册登记费、验资费、审计费、信息披露费、清算费用、执行费用（包括但不限于律师费、诉讼费、仲裁费、公证费、保全费、执行费等）以及按照法律法规、监管规定和理财产品销售文件约定可以列入的其他费用，具体以实际发生为准。</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宋体" w:hAnsi="宋体" w:cs="宋体" w:hint="eastAsia"/>
          <w:kern w:val="0"/>
          <w:szCs w:val="24"/>
        </w:rPr>
        <w:t>本产品可能根据投资者购买理财产品的金额、销售渠道、客户类型等因素设置不同产品份额类别，各类产品份额可能分别设置不同的销售服务费率、托管费率</w:t>
      </w:r>
      <w:r>
        <w:rPr>
          <w:rFonts w:ascii="宋体" w:hAnsi="宋体" w:cs="宋体"/>
          <w:kern w:val="0"/>
          <w:szCs w:val="24"/>
        </w:rPr>
        <w:t>，</w:t>
      </w:r>
      <w:r>
        <w:rPr>
          <w:rFonts w:ascii="仿宋_GB2312" w:hAnsi="宋体" w:cs="宋体"/>
          <w:bCs/>
          <w:kern w:val="0"/>
          <w:szCs w:val="24"/>
        </w:rPr>
        <w:t>费率具体数值以《产品说明书》</w:t>
      </w:r>
      <w:r>
        <w:rPr>
          <w:rFonts w:ascii="仿宋_GB2312" w:hAnsi="宋体" w:cs="宋体"/>
          <w:bCs/>
          <w:kern w:val="0"/>
          <w:szCs w:val="24"/>
        </w:rPr>
        <w:t>“</w:t>
      </w:r>
      <w:r>
        <w:rPr>
          <w:rFonts w:ascii="仿宋_GB2312" w:hAnsi="宋体" w:cs="宋体" w:hint="eastAsia"/>
          <w:bCs/>
          <w:kern w:val="0"/>
          <w:szCs w:val="24"/>
        </w:rPr>
        <w:t>第二节 理财产品基本情况</w:t>
      </w:r>
      <w:r>
        <w:rPr>
          <w:rFonts w:ascii="仿宋_GB2312" w:hAnsi="宋体" w:cs="宋体"/>
          <w:bCs/>
          <w:kern w:val="0"/>
          <w:szCs w:val="24"/>
        </w:rPr>
        <w:t>”</w:t>
      </w:r>
      <w:r>
        <w:rPr>
          <w:rFonts w:ascii="仿宋_GB2312" w:hAnsi="宋体" w:cs="宋体"/>
          <w:bCs/>
          <w:kern w:val="0"/>
          <w:szCs w:val="24"/>
        </w:rPr>
        <w:t>为准。</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2.理财产品费用计提方法、计提标准和支付方式</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（1）理财产品的认购费、申购费、赎回费</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1）认购费：费率具体数值以《产品说明书》</w:t>
      </w:r>
      <w:r>
        <w:rPr>
          <w:rFonts w:ascii="仿宋_GB2312" w:hAnsi="宋体" w:cs="宋体"/>
          <w:bCs/>
          <w:kern w:val="0"/>
          <w:szCs w:val="24"/>
        </w:rPr>
        <w:t>“</w:t>
      </w:r>
      <w:r>
        <w:rPr>
          <w:rFonts w:ascii="仿宋_GB2312" w:hAnsi="宋体" w:cs="宋体" w:hint="eastAsia"/>
          <w:bCs/>
          <w:kern w:val="0"/>
          <w:szCs w:val="24"/>
        </w:rPr>
        <w:t>第二节 理财产品基本情况</w:t>
      </w:r>
      <w:r>
        <w:rPr>
          <w:rFonts w:ascii="仿宋_GB2312" w:hAnsi="宋体" w:cs="宋体"/>
          <w:bCs/>
          <w:kern w:val="0"/>
          <w:szCs w:val="24"/>
        </w:rPr>
        <w:t>”</w:t>
      </w:r>
      <w:r>
        <w:rPr>
          <w:rFonts w:ascii="仿宋_GB2312" w:hAnsi="宋体" w:cs="宋体"/>
          <w:bCs/>
          <w:kern w:val="0"/>
          <w:szCs w:val="24"/>
        </w:rPr>
        <w:t>为准。</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2）申购费：费率具体数值以《产品说明书》</w:t>
      </w:r>
      <w:r>
        <w:rPr>
          <w:rFonts w:ascii="仿宋_GB2312" w:hAnsi="宋体" w:cs="宋体"/>
          <w:bCs/>
          <w:kern w:val="0"/>
          <w:szCs w:val="24"/>
        </w:rPr>
        <w:t>“</w:t>
      </w:r>
      <w:r>
        <w:rPr>
          <w:rFonts w:ascii="仿宋_GB2312" w:hAnsi="宋体" w:cs="宋体" w:hint="eastAsia"/>
          <w:bCs/>
          <w:kern w:val="0"/>
          <w:szCs w:val="24"/>
        </w:rPr>
        <w:t>第二节 理财产品基本情况</w:t>
      </w:r>
      <w:r>
        <w:rPr>
          <w:rFonts w:ascii="仿宋_GB2312" w:hAnsi="宋体" w:cs="宋体"/>
          <w:bCs/>
          <w:kern w:val="0"/>
          <w:szCs w:val="24"/>
        </w:rPr>
        <w:t>”</w:t>
      </w:r>
      <w:r>
        <w:rPr>
          <w:rFonts w:ascii="仿宋_GB2312" w:hAnsi="宋体" w:cs="宋体"/>
          <w:bCs/>
          <w:kern w:val="0"/>
          <w:szCs w:val="24"/>
        </w:rPr>
        <w:t>为准。</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3）赎回费：费率具体数值以《产品说明书》</w:t>
      </w:r>
      <w:r>
        <w:rPr>
          <w:rFonts w:ascii="仿宋_GB2312" w:hAnsi="宋体" w:cs="宋体"/>
          <w:bCs/>
          <w:kern w:val="0"/>
          <w:szCs w:val="24"/>
        </w:rPr>
        <w:t>“</w:t>
      </w:r>
      <w:r>
        <w:rPr>
          <w:rFonts w:ascii="仿宋_GB2312" w:hAnsi="宋体" w:cs="宋体" w:hint="eastAsia"/>
          <w:bCs/>
          <w:kern w:val="0"/>
          <w:szCs w:val="24"/>
        </w:rPr>
        <w:t>第二节 理财产品基本情况”为准。</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（2）理财产品的销售服务费</w:t>
      </w:r>
    </w:p>
    <w:p w:rsidR="0089610B" w:rsidRDefault="00A93C12">
      <w:pPr>
        <w:tabs>
          <w:tab w:val="left" w:pos="3119"/>
        </w:tabs>
        <w:autoSpaceDE w:val="0"/>
        <w:autoSpaceDN w:val="0"/>
        <w:snapToGrid w:val="0"/>
        <w:spacing w:line="360" w:lineRule="auto"/>
        <w:ind w:firstLineChars="200" w:firstLine="480"/>
        <w:rPr>
          <w:rFonts w:ascii="仿宋_GB2312" w:hAnsi="宋体" w:cs="宋体"/>
          <w:bCs/>
          <w:spacing w:val="-4"/>
          <w:kern w:val="0"/>
          <w:szCs w:val="24"/>
        </w:rPr>
      </w:pPr>
      <w:r>
        <w:rPr>
          <w:rFonts w:ascii="仿宋_GB2312" w:hAnsi="宋体" w:cs="宋体" w:hint="eastAsia"/>
          <w:bCs/>
          <w:kern w:val="0"/>
          <w:szCs w:val="24"/>
        </w:rPr>
        <w:t>本产品的销售服务费按前一日理财资产净值与销售服务费费率每日计提。</w:t>
      </w:r>
      <w:r>
        <w:rPr>
          <w:rFonts w:ascii="仿宋_GB2312" w:hAnsi="宋体" w:cs="宋体" w:hint="eastAsia"/>
          <w:bCs/>
          <w:spacing w:val="-4"/>
          <w:kern w:val="0"/>
          <w:szCs w:val="24"/>
        </w:rPr>
        <w:t>管理人可按季或产品开放周期（如有）收取，或与后续季度、开放周期（如有）合并收取</w:t>
      </w:r>
      <w:r>
        <w:rPr>
          <w:rFonts w:ascii="仿宋_GB2312" w:hAnsi="宋体" w:cs="宋体" w:hint="eastAsia"/>
          <w:bCs/>
          <w:kern w:val="0"/>
          <w:szCs w:val="24"/>
        </w:rPr>
        <w:t>。销售服务费</w:t>
      </w:r>
      <w:r>
        <w:rPr>
          <w:rFonts w:ascii="仿宋_GB2312" w:hAnsi="宋体" w:cs="宋体" w:hint="eastAsia"/>
          <w:bCs/>
          <w:spacing w:val="-4"/>
          <w:kern w:val="0"/>
          <w:szCs w:val="24"/>
        </w:rPr>
        <w:t>精确到小数点后2位，小数点2位以后四舍五入。</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销售服务费的计算方法如下：</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H＝E×销售服务费年费率÷365</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H为每日应计提的销售服务费</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E为前一日的理财资产净值</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销售服务费依照上述约定，从理财财产中支付。费率具体数值以《产品说明书》“第二节 理财产品基本情况”为准。</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（3）理财产品的投资管理费</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本产品的投资管理费按前一日理财资产净值与投资管理费费率每日计提，</w:t>
      </w:r>
      <w:r>
        <w:rPr>
          <w:rFonts w:ascii="仿宋_GB2312" w:hAnsi="宋体" w:cs="宋体" w:hint="eastAsia"/>
          <w:bCs/>
          <w:spacing w:val="-4"/>
          <w:kern w:val="0"/>
          <w:szCs w:val="24"/>
        </w:rPr>
        <w:t>管理人可按季或产品开放周期（如有）收取，或与后续季度、开放周期（如有）合并收取。</w:t>
      </w:r>
      <w:r>
        <w:rPr>
          <w:rFonts w:ascii="仿宋_GB2312" w:hAnsi="宋体" w:cs="宋体" w:hint="eastAsia"/>
          <w:bCs/>
          <w:kern w:val="0"/>
          <w:szCs w:val="24"/>
        </w:rPr>
        <w:t>投资管理费</w:t>
      </w:r>
      <w:r>
        <w:rPr>
          <w:rFonts w:ascii="仿宋_GB2312" w:hAnsi="宋体" w:cs="宋体" w:hint="eastAsia"/>
          <w:bCs/>
          <w:spacing w:val="-4"/>
          <w:kern w:val="0"/>
          <w:szCs w:val="24"/>
        </w:rPr>
        <w:t>精确到小数点后2位，小数点2位以后四舍五入</w:t>
      </w:r>
      <w:r>
        <w:rPr>
          <w:rFonts w:ascii="仿宋_GB2312" w:hAnsi="宋体" w:cs="宋体" w:hint="eastAsia"/>
          <w:bCs/>
          <w:kern w:val="0"/>
          <w:szCs w:val="24"/>
        </w:rPr>
        <w:t>。</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投资管理费的计算方法如下：</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H＝E×投资管理费年费率÷365</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H为每日应计提的产品投资管理费</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E为前一日的理财资产净值</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投资管理费依照上述约定，从理财财产中支付。费率具体数值以《产品说明书》“第二节 理财产品基本情况”为准。</w:t>
      </w:r>
    </w:p>
    <w:p w:rsidR="0089610B" w:rsidRDefault="00A93C12">
      <w:pPr>
        <w:pStyle w:val="af"/>
        <w:widowControl/>
        <w:numPr>
          <w:ilvl w:val="255"/>
          <w:numId w:val="0"/>
        </w:numPr>
        <w:snapToGrid w:val="0"/>
        <w:spacing w:line="360" w:lineRule="auto"/>
        <w:ind w:firstLineChars="200" w:firstLine="480"/>
      </w:pPr>
      <w:r>
        <w:rPr>
          <w:rFonts w:ascii="仿宋_GB2312" w:hAnsi="宋体" w:cs="宋体" w:hint="eastAsia"/>
          <w:bCs/>
          <w:kern w:val="0"/>
          <w:szCs w:val="24"/>
        </w:rPr>
        <w:t>（4）业</w:t>
      </w:r>
      <w:r>
        <w:rPr>
          <w:rFonts w:hint="eastAsia"/>
        </w:rPr>
        <w:t>绩报酬</w:t>
      </w:r>
    </w:p>
    <w:p w:rsidR="0089610B" w:rsidRDefault="00A93C12">
      <w:pPr>
        <w:pStyle w:val="af"/>
        <w:widowControl/>
        <w:snapToGrid w:val="0"/>
        <w:spacing w:line="360" w:lineRule="auto"/>
        <w:ind w:left="420" w:firstLineChars="0" w:firstLine="0"/>
        <w:rPr>
          <w:rFonts w:ascii="仿宋_GB2312" w:hAnsi="宋体" w:cs="宋体"/>
          <w:bCs/>
          <w:kern w:val="0"/>
          <w:szCs w:val="24"/>
        </w:rPr>
      </w:pPr>
      <w:r>
        <w:rPr>
          <w:rFonts w:ascii="仿宋_GB2312" w:hAnsi="宋体" w:cs="宋体" w:hint="eastAsia"/>
          <w:bCs/>
          <w:kern w:val="0"/>
          <w:szCs w:val="24"/>
        </w:rPr>
        <w:t>本产品</w:t>
      </w:r>
      <w:r>
        <w:rPr>
          <w:rFonts w:ascii="仿宋_GB2312" w:hAnsi="宋体" w:cs="宋体"/>
          <w:bCs/>
          <w:kern w:val="0"/>
          <w:szCs w:val="24"/>
        </w:rPr>
        <w:t>无业绩报酬。</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（5）理财产品的产品托管费</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本产品的产品托管费按前一日理财资产净值与产品托管费费率每日计提，</w:t>
      </w:r>
      <w:r>
        <w:rPr>
          <w:rFonts w:ascii="仿宋_GB2312" w:hAnsi="宋体" w:cs="宋体" w:hint="eastAsia"/>
          <w:bCs/>
          <w:spacing w:val="-4"/>
          <w:kern w:val="0"/>
          <w:szCs w:val="24"/>
        </w:rPr>
        <w:t>管理人可按季或产品开放周期（如有）收取，或与后续季度、开放周期（如有）合并收取。</w:t>
      </w:r>
      <w:r>
        <w:rPr>
          <w:rFonts w:ascii="仿宋_GB2312" w:hAnsi="宋体" w:cs="宋体" w:hint="eastAsia"/>
          <w:bCs/>
          <w:kern w:val="0"/>
          <w:szCs w:val="24"/>
        </w:rPr>
        <w:t>产品托管费</w:t>
      </w:r>
      <w:r>
        <w:rPr>
          <w:rFonts w:ascii="仿宋_GB2312" w:hAnsi="宋体" w:cs="宋体" w:hint="eastAsia"/>
          <w:bCs/>
          <w:spacing w:val="-4"/>
          <w:kern w:val="0"/>
          <w:szCs w:val="24"/>
        </w:rPr>
        <w:t>精确到小数点后2位，小数点2位以后四舍五入</w:t>
      </w:r>
      <w:r>
        <w:rPr>
          <w:rFonts w:ascii="仿宋_GB2312" w:hAnsi="宋体" w:cs="宋体" w:hint="eastAsia"/>
          <w:bCs/>
          <w:kern w:val="0"/>
          <w:szCs w:val="24"/>
        </w:rPr>
        <w:t>。</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产品托管费的计算方法如下：</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H＝E×产品托管费年费率÷365</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H为每日应计提的产品托管费</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E为前一日的理财资产净值</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产品托管费依照上述约定，从理财财产中支付。费率具体数值以《产品说明书》“第二节 理财产品基本情况”为准。</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（6）其他费用</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按费用实际支出金额列入当期费用，从理财财产中支付。若产品管理人先行垫付其他费用的，管理人有权从理财产品资产中优先受偿。</w:t>
      </w:r>
    </w:p>
    <w:p w:rsidR="0089610B" w:rsidRDefault="00A93C12">
      <w:pPr>
        <w:widowControl/>
        <w:tabs>
          <w:tab w:val="left" w:pos="709"/>
        </w:tabs>
        <w:snapToGrid w:val="0"/>
        <w:spacing w:line="360" w:lineRule="auto"/>
        <w:ind w:firstLineChars="200" w:firstLine="482"/>
        <w:rPr>
          <w:rFonts w:ascii="仿宋_GB2312" w:hAnsi="宋体" w:cs="宋体"/>
          <w:b/>
          <w:bCs/>
          <w:kern w:val="0"/>
          <w:szCs w:val="24"/>
        </w:rPr>
      </w:pPr>
      <w:r>
        <w:rPr>
          <w:rFonts w:ascii="仿宋_GB2312" w:hAnsi="宋体" w:cs="宋体"/>
          <w:b/>
          <w:bCs/>
          <w:kern w:val="0"/>
          <w:szCs w:val="24"/>
        </w:rPr>
        <w:t>3</w:t>
      </w:r>
      <w:r>
        <w:rPr>
          <w:rFonts w:ascii="仿宋_GB2312" w:hAnsi="宋体" w:cs="宋体" w:hint="eastAsia"/>
          <w:b/>
          <w:bCs/>
          <w:kern w:val="0"/>
          <w:szCs w:val="24"/>
        </w:rPr>
        <w:t>.费用调整</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产品管理人有权根据相关法律和国家政策规定，对理财产品费用的收费项目、收费条件、收费标准和收费方式等进行调整。产品管理人对费用的调整按本说明书约定的方式进行信息披露。投资者有权不接受调整，并按照信息披露内容中约定的方式提前赎回理财产品。</w:t>
      </w:r>
    </w:p>
    <w:p w:rsidR="0089610B" w:rsidRDefault="00A93C12">
      <w:pPr>
        <w:pStyle w:val="2"/>
        <w:ind w:firstLine="482"/>
      </w:pPr>
      <w:r>
        <w:rPr>
          <w:rFonts w:hint="eastAsia"/>
        </w:rPr>
        <w:t>税收说明</w:t>
      </w:r>
    </w:p>
    <w:p w:rsidR="0089610B" w:rsidRDefault="00A93C12">
      <w:pPr>
        <w:tabs>
          <w:tab w:val="left" w:pos="709"/>
        </w:tabs>
        <w:snapToGrid w:val="0"/>
        <w:spacing w:line="360" w:lineRule="auto"/>
        <w:ind w:firstLineChars="200" w:firstLine="480"/>
      </w:pPr>
      <w:r>
        <w:rPr>
          <w:rFonts w:ascii="仿宋_GB2312" w:hAnsi="宋体" w:cs="宋体" w:hint="eastAsia"/>
          <w:bCs/>
          <w:kern w:val="0"/>
          <w:szCs w:val="24"/>
        </w:rPr>
        <w:t>本理财产品运作过程中涉及的各纳税主体的纳税义务按国家税收法律、法规执行。除法律法规特别要求外，理财产品运营过程中发生的增值税应税行为，由理财产品承担增值税及附加税费，并由理财产品管理人进行计算、申报和缴纳，该等税费将直接从理财产品财产中支付。后续国家法律法规如对相关税收政策进行调整，管理人有权根据税收政策相应调整理财产品运营过程中发生的税费的承担方式。理财收益的应纳税款以及其他的投资者应纳税款由投资者自行申报及缴纳，管理人不承担代扣代缴或纳税的义务。</w:t>
      </w:r>
    </w:p>
    <w:p w:rsidR="0089610B" w:rsidRDefault="00A93C12">
      <w:pPr>
        <w:jc w:val="left"/>
        <w:rPr>
          <w:rFonts w:ascii="仿宋_GB2312" w:hAnsi="宋体" w:cs="宋体"/>
          <w:bCs/>
          <w:kern w:val="0"/>
          <w:szCs w:val="24"/>
        </w:rPr>
      </w:pPr>
      <w:r>
        <w:rPr>
          <w:rFonts w:ascii="仿宋_GB2312" w:hAnsi="宋体" w:cs="宋体" w:hint="eastAsia"/>
          <w:bCs/>
          <w:kern w:val="0"/>
          <w:szCs w:val="24"/>
        </w:rPr>
        <w:br w:type="page"/>
      </w:r>
    </w:p>
    <w:p w:rsidR="0089610B" w:rsidRDefault="00A93C12">
      <w:pPr>
        <w:pStyle w:val="1"/>
      </w:pPr>
      <w:r>
        <w:rPr>
          <w:rFonts w:hint="eastAsia"/>
        </w:rPr>
        <w:t>理财产品的终止与清算</w:t>
      </w:r>
    </w:p>
    <w:p w:rsidR="0089610B" w:rsidRDefault="00A93C12">
      <w:pPr>
        <w:pStyle w:val="2"/>
        <w:ind w:firstLine="482"/>
      </w:pPr>
      <w:r>
        <w:rPr>
          <w:rFonts w:hint="eastAsia"/>
        </w:rPr>
        <w:t>理财产品到期</w:t>
      </w:r>
    </w:p>
    <w:p w:rsidR="0089610B" w:rsidRDefault="00A93C12">
      <w:pPr>
        <w:widowControl/>
        <w:tabs>
          <w:tab w:val="left" w:pos="709"/>
        </w:tabs>
        <w:adjustRightInd w:val="0"/>
        <w:snapToGrid w:val="0"/>
        <w:spacing w:line="360" w:lineRule="auto"/>
        <w:ind w:firstLineChars="200" w:firstLine="482"/>
        <w:rPr>
          <w:rFonts w:ascii="仿宋_GB2312" w:hAnsi="宋体" w:cs="宋体"/>
          <w:bCs/>
          <w:kern w:val="0"/>
          <w:szCs w:val="24"/>
        </w:rPr>
      </w:pPr>
      <w:r>
        <w:rPr>
          <w:rFonts w:ascii="仿宋_GB2312" w:hAnsi="宋体" w:cs="宋体" w:hint="eastAsia"/>
          <w:b/>
          <w:bCs/>
          <w:kern w:val="0"/>
          <w:szCs w:val="24"/>
        </w:rPr>
        <w:t>【本理财产品无固定到期日】</w:t>
      </w:r>
      <w:r>
        <w:rPr>
          <w:rFonts w:ascii="仿宋_GB2312" w:hAnsi="宋体" w:cs="宋体" w:hint="eastAsia"/>
          <w:bCs/>
          <w:kern w:val="0"/>
          <w:szCs w:val="24"/>
        </w:rPr>
        <w:t>，</w:t>
      </w:r>
      <w:r>
        <w:rPr>
          <w:rFonts w:ascii="宋体" w:hAnsi="宋体" w:hint="eastAsia"/>
          <w:szCs w:val="24"/>
        </w:rPr>
        <w:t>如产品提前终止，除有特别约定外，实际终止日为到期日。</w:t>
      </w:r>
    </w:p>
    <w:p w:rsidR="0089610B" w:rsidRDefault="00A93C12">
      <w:pPr>
        <w:widowControl/>
        <w:tabs>
          <w:tab w:val="left" w:pos="709"/>
        </w:tabs>
        <w:adjustRightInd w:val="0"/>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理财产品不因投资者死亡、丧失民事行为能力、破产而终止；投资者的法定继承人、承继人或指定受益人以及继任管理人承担本理财产品销售文件项下的相应权利和义务，产品管理人以及代销机构有权要求投资者的继承人或者指定受益人等相关主体配合办理相关变更手续。</w:t>
      </w:r>
    </w:p>
    <w:p w:rsidR="0089610B" w:rsidRDefault="00A93C12">
      <w:pPr>
        <w:pStyle w:val="2"/>
        <w:ind w:firstLine="482"/>
      </w:pPr>
      <w:r>
        <w:rPr>
          <w:rFonts w:hint="eastAsia"/>
        </w:rPr>
        <w:t>理财产品提前终止</w:t>
      </w:r>
    </w:p>
    <w:p w:rsidR="0089610B" w:rsidRDefault="00A93C12">
      <w:pPr>
        <w:widowControl/>
        <w:tabs>
          <w:tab w:val="left" w:pos="709"/>
        </w:tabs>
        <w:snapToGrid w:val="0"/>
        <w:spacing w:line="360" w:lineRule="auto"/>
        <w:ind w:firstLineChars="200" w:firstLine="482"/>
        <w:rPr>
          <w:rFonts w:ascii="仿宋_GB2312" w:hAnsi="宋体" w:cs="宋体"/>
          <w:b/>
          <w:bCs/>
          <w:kern w:val="0"/>
          <w:szCs w:val="24"/>
        </w:rPr>
      </w:pPr>
      <w:r>
        <w:rPr>
          <w:rFonts w:ascii="仿宋_GB2312" w:hAnsi="宋体" w:cs="宋体" w:hint="eastAsia"/>
          <w:b/>
          <w:bCs/>
          <w:kern w:val="0"/>
          <w:szCs w:val="24"/>
        </w:rPr>
        <w:t>本理财产品存续期间，投资者无提前终止权。如出现以下情形，管理人有权但无义务提前终止本产品：</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1.自然灾害、疫情、金融市场危机、战争等不可抗力因素及/或意外事件导致理财产品无法继续运作。</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2.遇有市场出现剧烈波动、异常风险事件等情形导致理财产品收益出现大幅波动或严重影响理财产品的资产安全。</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3.因投资者理财资金被有权机关扣划等原因导致理财产品剩余资产无法满足相关法律法规规定、所投资市场要求或协议等相关法律文件约定，或者继续存续无法实现投资目标。</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4.因相关投资管理机构解散、破产、撤销、被取消业务资格等原因无法继续履行相应职责导致产品无法继续运作。</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5.相关投资管理机构或运用理财资金的第三方主体实施符合法律法规规定或协议等相关文件约定的行为导致理财产品被动提前终止。</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6.因法律法规变化或国家金融政策调整、紧急措施出台影响产品继续正常运作。</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7.提前终止产品比维持产品运作更有利于保护产品持有人的权益。</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8.遇国家政策出现重大调整并影响到本产品的正常运行。</w:t>
      </w:r>
    </w:p>
    <w:p w:rsidR="0089610B" w:rsidRDefault="00A93C12">
      <w:pPr>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9.因本产品投资的资产部分或全部提前终止或发生其他影响本产品正常投资运作的重大事件。</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10</w:t>
      </w:r>
      <w:r>
        <w:rPr>
          <w:rFonts w:ascii="仿宋_GB2312" w:hAnsi="宋体" w:cs="宋体" w:hint="eastAsia"/>
          <w:bCs/>
          <w:kern w:val="0"/>
          <w:szCs w:val="24"/>
        </w:rPr>
        <w:t>.本产品存续期内，所投资资产种类已全部调整为现金资产且无其他投资安排。</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w:t>
      </w:r>
      <w:r>
        <w:rPr>
          <w:rFonts w:ascii="仿宋_GB2312" w:hAnsi="宋体" w:cs="宋体"/>
          <w:bCs/>
          <w:kern w:val="0"/>
          <w:szCs w:val="24"/>
        </w:rPr>
        <w:t>1</w:t>
      </w:r>
      <w:r>
        <w:rPr>
          <w:rFonts w:ascii="仿宋_GB2312" w:hAnsi="宋体" w:cs="宋体" w:hint="eastAsia"/>
          <w:bCs/>
          <w:kern w:val="0"/>
          <w:szCs w:val="24"/>
        </w:rPr>
        <w:t>.管理人认为有必要提前终止本产品的其他情形。</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管理人将至少于提前终止日前2个工作日通过本产品说明书约定</w:t>
      </w:r>
      <w:r>
        <w:rPr>
          <w:rFonts w:ascii="仿宋_GB2312" w:hAnsi="宋体" w:cs="宋体"/>
          <w:bCs/>
          <w:kern w:val="0"/>
          <w:szCs w:val="24"/>
        </w:rPr>
        <w:t>方式</w:t>
      </w:r>
      <w:r>
        <w:rPr>
          <w:rFonts w:ascii="仿宋_GB2312" w:hAnsi="宋体" w:cs="宋体" w:hint="eastAsia"/>
          <w:bCs/>
          <w:kern w:val="0"/>
          <w:szCs w:val="24"/>
        </w:rPr>
        <w:t>发布本产品提前终止公告，并于提前终止日后5个工作日内通过销售机构将兑付理财资金划至投资者指定账户。</w:t>
      </w:r>
    </w:p>
    <w:p w:rsidR="0089610B" w:rsidRDefault="00A93C12">
      <w:pPr>
        <w:pStyle w:val="2"/>
        <w:ind w:firstLine="482"/>
      </w:pPr>
      <w:r>
        <w:rPr>
          <w:rFonts w:ascii="楷体_GB2312" w:eastAsia="楷体_GB2312" w:hAnsi="宋体" w:cs="宋体" w:hint="eastAsia"/>
          <w:bCs/>
          <w:kern w:val="0"/>
          <w:szCs w:val="24"/>
        </w:rPr>
        <w:t>理财产品到期清算</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1.清算程序</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产品到期（含提前终止）后，理财产品终止运作，本理财产品</w:t>
      </w:r>
      <w:r>
        <w:t>管</w:t>
      </w:r>
      <w:r>
        <w:rPr>
          <w:rFonts w:ascii="仿宋_GB2312" w:hAnsi="宋体" w:cs="宋体" w:hint="eastAsia"/>
          <w:bCs/>
          <w:kern w:val="0"/>
          <w:szCs w:val="24"/>
        </w:rPr>
        <w:t>理人启动产品清算，理财资产清</w:t>
      </w:r>
      <w:r>
        <w:rPr>
          <w:rFonts w:ascii="仿宋_GB2312" w:hAnsi="宋体" w:cs="宋体"/>
          <w:bCs/>
          <w:kern w:val="0"/>
          <w:szCs w:val="24"/>
        </w:rPr>
        <w:t>算后扣除理财相关费用、缴纳所欠税款并清偿理财产品负债后，</w:t>
      </w:r>
      <w:r>
        <w:t>管</w:t>
      </w:r>
      <w:r>
        <w:rPr>
          <w:rFonts w:ascii="仿宋_GB2312" w:hAnsi="宋体" w:cs="宋体" w:hint="eastAsia"/>
          <w:bCs/>
          <w:kern w:val="0"/>
          <w:szCs w:val="24"/>
        </w:rPr>
        <w:t>理人通过销售机构将投资者应得资金（如有，下同）划至投资者指定账户。本产品到期（含提前终止）时，如本产品项下财产全部变现，管理人将在产品到期后5个工作日内向投资者完成</w:t>
      </w:r>
      <w:r>
        <w:rPr>
          <w:rFonts w:ascii="仿宋_GB2312" w:hAnsi="宋体" w:cs="宋体"/>
          <w:bCs/>
          <w:kern w:val="0"/>
          <w:szCs w:val="24"/>
        </w:rPr>
        <w:t>分配</w:t>
      </w:r>
      <w:r>
        <w:rPr>
          <w:rFonts w:ascii="仿宋_GB2312" w:hAnsi="宋体" w:cs="宋体" w:hint="eastAsia"/>
          <w:bCs/>
          <w:kern w:val="0"/>
          <w:szCs w:val="24"/>
        </w:rPr>
        <w:t>。</w:t>
      </w:r>
      <w:r>
        <w:rPr>
          <w:rFonts w:ascii="仿宋_GB2312" w:hAnsi="宋体" w:cs="宋体" w:hint="eastAsia"/>
          <w:b/>
          <w:bCs/>
          <w:kern w:val="0"/>
          <w:szCs w:val="24"/>
        </w:rPr>
        <w:t>产品到期日/终止日至资金</w:t>
      </w:r>
      <w:r>
        <w:rPr>
          <w:rFonts w:ascii="仿宋_GB2312" w:hAnsi="宋体" w:cs="宋体"/>
          <w:b/>
          <w:bCs/>
          <w:kern w:val="0"/>
          <w:szCs w:val="24"/>
        </w:rPr>
        <w:t>到账</w:t>
      </w:r>
      <w:r>
        <w:rPr>
          <w:rFonts w:ascii="仿宋_GB2312" w:hAnsi="宋体" w:cs="宋体" w:hint="eastAsia"/>
          <w:b/>
          <w:bCs/>
          <w:kern w:val="0"/>
          <w:szCs w:val="24"/>
        </w:rPr>
        <w:t>日投资者理财资金不计利息。</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如因清算需要，本产品无法在到期后5个工作日内向投资者完成</w:t>
      </w:r>
      <w:r>
        <w:rPr>
          <w:rFonts w:ascii="仿宋_GB2312" w:hAnsi="宋体" w:cs="宋体"/>
          <w:bCs/>
          <w:kern w:val="0"/>
          <w:szCs w:val="24"/>
        </w:rPr>
        <w:t>分配</w:t>
      </w:r>
      <w:r>
        <w:rPr>
          <w:rFonts w:ascii="仿宋_GB2312" w:hAnsi="宋体" w:cs="宋体" w:hint="eastAsia"/>
          <w:bCs/>
          <w:kern w:val="0"/>
          <w:szCs w:val="24"/>
        </w:rPr>
        <w:t>的，管理人有权延后产品可得资金分配并于产品到期日前公告。</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2.清算费用分别按照实际发生费用从产品资产中列支。</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3.产品资产清算剩余资产的分配</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产品资产按下列顺序清偿：</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（1）支付清算费用和交纳所欠税款；</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（2）清偿产品债务；</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（3）按产品份额持有人持有的产品份额比例进行分配。</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4.产品终止投资者到账资金计算</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若产品终止或提前终止时本理财产品项下资产全部变现，产品管理人将在产品到期日后</w:t>
      </w:r>
      <w:r>
        <w:rPr>
          <w:rFonts w:ascii="仿宋_GB2312" w:hAnsi="宋体" w:cs="宋体" w:hint="eastAsia"/>
          <w:bCs/>
          <w:kern w:val="0"/>
          <w:szCs w:val="24"/>
        </w:rPr>
        <w:t>5</w:t>
      </w:r>
      <w:r>
        <w:rPr>
          <w:rFonts w:ascii="仿宋_GB2312" w:hAnsi="宋体" w:cs="宋体"/>
          <w:bCs/>
          <w:kern w:val="0"/>
          <w:szCs w:val="24"/>
        </w:rPr>
        <w:t>个工作日内或提前终止日后</w:t>
      </w:r>
      <w:r>
        <w:rPr>
          <w:rFonts w:ascii="仿宋_GB2312" w:hAnsi="宋体" w:cs="宋体" w:hint="eastAsia"/>
          <w:bCs/>
          <w:kern w:val="0"/>
          <w:szCs w:val="24"/>
        </w:rPr>
        <w:t>5</w:t>
      </w:r>
      <w:r>
        <w:rPr>
          <w:rFonts w:ascii="仿宋_GB2312" w:hAnsi="宋体" w:cs="宋体"/>
          <w:bCs/>
          <w:kern w:val="0"/>
          <w:szCs w:val="24"/>
        </w:rPr>
        <w:t>个工作日</w:t>
      </w:r>
      <w:r>
        <w:rPr>
          <w:rFonts w:ascii="仿宋_GB2312" w:hAnsi="宋体" w:cs="宋体" w:hint="eastAsia"/>
          <w:bCs/>
          <w:kern w:val="0"/>
          <w:szCs w:val="24"/>
        </w:rPr>
        <w:t>通过销售机构</w:t>
      </w:r>
      <w:r>
        <w:rPr>
          <w:rFonts w:ascii="仿宋_GB2312" w:hAnsi="宋体" w:cs="宋体"/>
          <w:bCs/>
          <w:kern w:val="0"/>
          <w:szCs w:val="24"/>
        </w:rPr>
        <w:t>内将投资者应得资金划转投资者指定账户。计算公式如下：</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本产品兑付金额(理财产品总资产净值)=理财产品资产总值-理财产品负债总值</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其中，投资者到账金额计算公式如下：</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本产品投资者到账金额=投资者在到期日持有理财产品份额/理财产品总份额*理财产品总资产净值，</w:t>
      </w:r>
      <w:r>
        <w:rPr>
          <w:rFonts w:ascii="仿宋_GB2312" w:hAnsi="宋体" w:cs="宋体"/>
          <w:bCs/>
          <w:kern w:val="0"/>
          <w:szCs w:val="24"/>
        </w:rPr>
        <w:t>最终资金以实际到账为准。</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bCs/>
          <w:kern w:val="0"/>
          <w:szCs w:val="24"/>
        </w:rPr>
        <w:t>产品终止日，如产品投资资产因市场风险、信用风险以及监管风险等原因不能全部变现且产品管理人未对本产品进行延期则本产品进入延期清算程序。产品延期清算时，产品管理人将提前发布相关公告。产品管理人将产品持有的现金类资产在扣除支付清算费用和交纳所欠税款、清偿产品债务后，如仍有剩余资金可分配给</w:t>
      </w:r>
      <w:r>
        <w:rPr>
          <w:rFonts w:ascii="仿宋_GB2312" w:hAnsi="宋体" w:cs="宋体" w:hint="eastAsia"/>
          <w:bCs/>
          <w:kern w:val="0"/>
          <w:szCs w:val="24"/>
        </w:rPr>
        <w:t>投资者</w:t>
      </w:r>
      <w:r>
        <w:rPr>
          <w:rFonts w:ascii="仿宋_GB2312" w:hAnsi="宋体" w:cs="宋体"/>
          <w:bCs/>
          <w:kern w:val="0"/>
          <w:szCs w:val="24"/>
        </w:rPr>
        <w:t>。对于未变现资产部分，产品管理人以投资者利益最大化的原则，寻求未变现资产变现方式，在资产变现后，产品持有的现金类资产在扣除剩余未支付的清算费用和交纳所欠税款、清偿产品债务后，于产品清算完毕后的</w:t>
      </w:r>
      <w:r>
        <w:rPr>
          <w:rFonts w:ascii="仿宋_GB2312" w:hAnsi="宋体" w:cs="宋体" w:hint="eastAsia"/>
          <w:bCs/>
          <w:kern w:val="0"/>
          <w:szCs w:val="24"/>
        </w:rPr>
        <w:t>5</w:t>
      </w:r>
      <w:r>
        <w:rPr>
          <w:rFonts w:ascii="仿宋_GB2312" w:hAnsi="宋体" w:cs="宋体"/>
          <w:bCs/>
          <w:kern w:val="0"/>
          <w:szCs w:val="24"/>
        </w:rPr>
        <w:t>个工作日内分配给</w:t>
      </w:r>
      <w:r>
        <w:rPr>
          <w:rFonts w:ascii="仿宋_GB2312" w:hAnsi="宋体" w:cs="宋体" w:hint="eastAsia"/>
          <w:bCs/>
          <w:kern w:val="0"/>
          <w:szCs w:val="24"/>
        </w:rPr>
        <w:t>投资者</w:t>
      </w:r>
      <w:r>
        <w:rPr>
          <w:rFonts w:ascii="仿宋_GB2312" w:hAnsi="宋体" w:cs="宋体"/>
          <w:bCs/>
          <w:kern w:val="0"/>
          <w:szCs w:val="24"/>
        </w:rPr>
        <w:t>。</w:t>
      </w:r>
    </w:p>
    <w:p w:rsidR="0089610B" w:rsidRDefault="00A93C12">
      <w:pPr>
        <w:widowControl/>
        <w:tabs>
          <w:tab w:val="left" w:pos="709"/>
        </w:tabs>
        <w:snapToGrid w:val="0"/>
        <w:spacing w:line="360" w:lineRule="auto"/>
        <w:ind w:firstLineChars="200" w:firstLine="480"/>
        <w:rPr>
          <w:rFonts w:ascii="仿宋_GB2312" w:hAnsi="宋体" w:cs="宋体"/>
          <w:bCs/>
          <w:kern w:val="0"/>
          <w:szCs w:val="24"/>
        </w:rPr>
      </w:pPr>
      <w:r>
        <w:rPr>
          <w:rFonts w:ascii="仿宋_GB2312" w:hAnsi="宋体" w:cs="宋体" w:hint="eastAsia"/>
          <w:bCs/>
          <w:kern w:val="0"/>
          <w:szCs w:val="24"/>
        </w:rPr>
        <w:t>产品管理人拟进行二次或多次清算的，管理人应向投资者及时披露。</w:t>
      </w:r>
    </w:p>
    <w:p w:rsidR="0089610B" w:rsidRDefault="00A93C12">
      <w:pPr>
        <w:jc w:val="left"/>
        <w:rPr>
          <w:rFonts w:ascii="仿宋_GB2312" w:hAnsi="宋体" w:cs="宋体"/>
          <w:bCs/>
          <w:kern w:val="0"/>
          <w:szCs w:val="24"/>
        </w:rPr>
      </w:pPr>
      <w:r>
        <w:rPr>
          <w:rFonts w:ascii="仿宋_GB2312" w:hAnsi="宋体" w:cs="宋体"/>
          <w:bCs/>
          <w:kern w:val="0"/>
          <w:szCs w:val="24"/>
        </w:rPr>
        <w:br w:type="page"/>
      </w:r>
    </w:p>
    <w:p w:rsidR="0089610B" w:rsidRDefault="00A93C12">
      <w:pPr>
        <w:pStyle w:val="1"/>
      </w:pPr>
      <w:r>
        <w:rPr>
          <w:rFonts w:hint="eastAsia"/>
        </w:rPr>
        <w:t>理财产品的信息披露</w:t>
      </w:r>
    </w:p>
    <w:p w:rsidR="0089610B" w:rsidRDefault="00A93C12">
      <w:pPr>
        <w:pStyle w:val="2"/>
        <w:ind w:firstLine="482"/>
      </w:pPr>
      <w:r>
        <w:rPr>
          <w:rFonts w:hint="eastAsia"/>
        </w:rPr>
        <w:t>信息披露方式</w:t>
      </w:r>
    </w:p>
    <w:p w:rsidR="0089610B" w:rsidRDefault="00A93C12">
      <w:pPr>
        <w:widowControl/>
        <w:tabs>
          <w:tab w:val="left" w:pos="709"/>
        </w:tabs>
        <w:adjustRightInd w:val="0"/>
        <w:snapToGrid w:val="0"/>
        <w:spacing w:line="360" w:lineRule="auto"/>
        <w:ind w:firstLineChars="200" w:firstLine="482"/>
        <w:rPr>
          <w:rFonts w:ascii="仿宋_GB2312" w:hAnsi="宋体" w:cs="宋体"/>
          <w:b/>
          <w:kern w:val="0"/>
          <w:szCs w:val="24"/>
        </w:rPr>
      </w:pPr>
      <w:r>
        <w:rPr>
          <w:rFonts w:ascii="仿宋_GB2312" w:hAnsi="宋体" w:cs="宋体" w:hint="eastAsia"/>
          <w:b/>
          <w:kern w:val="0"/>
          <w:szCs w:val="24"/>
        </w:rPr>
        <w:t>本理财产品的信息披露将通过产品管理人官方网站【</w:t>
      </w:r>
      <w:r>
        <w:rPr>
          <w:rFonts w:ascii="仿宋_GB2312" w:hAnsi="宋体" w:cs="宋体"/>
          <w:b/>
          <w:kern w:val="0"/>
          <w:szCs w:val="24"/>
        </w:rPr>
        <w:t>www.czbank-wm.com</w:t>
      </w:r>
      <w:r>
        <w:rPr>
          <w:rFonts w:ascii="仿宋_GB2312" w:hAnsi="宋体" w:cs="宋体" w:hint="eastAsia"/>
          <w:b/>
          <w:kern w:val="0"/>
          <w:szCs w:val="24"/>
        </w:rPr>
        <w:t>】</w:t>
      </w:r>
      <w:r>
        <w:rPr>
          <w:rFonts w:hint="eastAsia"/>
        </w:rPr>
        <w:t>、</w:t>
      </w:r>
      <w:r>
        <w:rPr>
          <w:rFonts w:ascii="仿宋_GB2312" w:hAnsi="宋体" w:cs="宋体" w:hint="eastAsia"/>
          <w:b/>
          <w:kern w:val="0"/>
          <w:szCs w:val="24"/>
        </w:rPr>
        <w:t>销售机构渠道发布，投资者可通过产品管理人官方网站、销售机构网上银行、个人手机银行或其他与投资者约定的</w:t>
      </w:r>
      <w:r>
        <w:rPr>
          <w:rFonts w:asciiTheme="minorEastAsia" w:hAnsiTheme="minorEastAsia" w:cs="宋体" w:hint="eastAsia"/>
          <w:b/>
          <w:kern w:val="0"/>
          <w:szCs w:val="24"/>
        </w:rPr>
        <w:t>一种或多种渠道</w:t>
      </w:r>
      <w:r>
        <w:rPr>
          <w:rFonts w:ascii="仿宋_GB2312" w:hAnsi="宋体" w:cs="宋体" w:hint="eastAsia"/>
          <w:b/>
          <w:kern w:val="0"/>
          <w:szCs w:val="24"/>
        </w:rPr>
        <w:t>查询。相关信息自披露之日即视为已送达投资者，也视为产品管理人已适当披露理财产品相关信息。投资者应及时查看，以免因未及时获知信息而错过资金使用和再投资的机会。若由于投资者原因未能及时登陆产品管理人官方网站、销售机构销售平台获取披露信息，所造成的后果将由投资者自行承担，产品管理人不承担相应责任。</w:t>
      </w:r>
    </w:p>
    <w:p w:rsidR="0089610B" w:rsidRDefault="00A93C12">
      <w:pPr>
        <w:pStyle w:val="2"/>
        <w:ind w:firstLine="482"/>
      </w:pPr>
      <w:r>
        <w:rPr>
          <w:rFonts w:hint="eastAsia"/>
        </w:rPr>
        <w:t>信息披露内容</w:t>
      </w:r>
    </w:p>
    <w:p w:rsidR="0089610B" w:rsidRDefault="00A93C12">
      <w:pPr>
        <w:widowControl/>
        <w:tabs>
          <w:tab w:val="left" w:pos="709"/>
        </w:tabs>
        <w:adjustRightInd w:val="0"/>
        <w:snapToGrid w:val="0"/>
        <w:spacing w:line="360" w:lineRule="auto"/>
        <w:ind w:firstLineChars="200" w:firstLine="482"/>
        <w:rPr>
          <w:rFonts w:ascii="仿宋_GB2312" w:hAnsi="宋体" w:cs="宋体"/>
          <w:b/>
          <w:kern w:val="0"/>
          <w:szCs w:val="24"/>
        </w:rPr>
      </w:pPr>
      <w:r>
        <w:rPr>
          <w:rFonts w:ascii="仿宋_GB2312" w:hAnsi="宋体" w:cs="宋体" w:hint="eastAsia"/>
          <w:b/>
          <w:kern w:val="0"/>
          <w:szCs w:val="24"/>
        </w:rPr>
        <w:t>1.产品类型、募集信息、产品净值、产品规模、收益情况；</w:t>
      </w:r>
    </w:p>
    <w:p w:rsidR="0089610B" w:rsidRDefault="00A93C12">
      <w:pPr>
        <w:widowControl/>
        <w:tabs>
          <w:tab w:val="left" w:pos="709"/>
        </w:tabs>
        <w:adjustRightInd w:val="0"/>
        <w:snapToGrid w:val="0"/>
        <w:spacing w:line="360" w:lineRule="auto"/>
        <w:ind w:firstLineChars="200" w:firstLine="482"/>
        <w:rPr>
          <w:rFonts w:ascii="仿宋_GB2312" w:hAnsi="宋体" w:cs="宋体"/>
          <w:b/>
          <w:kern w:val="0"/>
          <w:szCs w:val="24"/>
        </w:rPr>
      </w:pPr>
      <w:r>
        <w:rPr>
          <w:rFonts w:ascii="仿宋_GB2312" w:hAnsi="宋体" w:cs="宋体" w:hint="eastAsia"/>
          <w:b/>
          <w:kern w:val="0"/>
          <w:szCs w:val="24"/>
        </w:rPr>
        <w:t>2.产品直接和间接投资的资产种类、投资比例、</w:t>
      </w:r>
      <w:r>
        <w:rPr>
          <w:rFonts w:ascii="仿宋_GB2312" w:hAnsi="宋体" w:cs="宋体" w:hint="eastAsia"/>
          <w:b/>
          <w:kern w:val="0"/>
          <w:szCs w:val="24"/>
          <w:lang w:val="zh-CN"/>
        </w:rPr>
        <w:t>前十项资产具体名称、规模和比例等信息、</w:t>
      </w:r>
      <w:r>
        <w:rPr>
          <w:rFonts w:ascii="仿宋_GB2312" w:hAnsi="宋体" w:cs="宋体" w:hint="eastAsia"/>
          <w:b/>
          <w:kern w:val="0"/>
          <w:szCs w:val="24"/>
        </w:rPr>
        <w:t>杠杆水平以及流动性风险分析；</w:t>
      </w:r>
    </w:p>
    <w:p w:rsidR="0089610B" w:rsidRDefault="00A93C12">
      <w:pPr>
        <w:widowControl/>
        <w:tabs>
          <w:tab w:val="left" w:pos="709"/>
        </w:tabs>
        <w:adjustRightInd w:val="0"/>
        <w:snapToGrid w:val="0"/>
        <w:spacing w:line="360" w:lineRule="auto"/>
        <w:ind w:firstLineChars="200" w:firstLine="482"/>
        <w:rPr>
          <w:rFonts w:ascii="仿宋_GB2312" w:hAnsi="宋体" w:cs="宋体"/>
          <w:b/>
          <w:kern w:val="0"/>
          <w:szCs w:val="24"/>
        </w:rPr>
      </w:pPr>
      <w:r>
        <w:rPr>
          <w:rFonts w:ascii="仿宋_GB2312" w:hAnsi="宋体" w:cs="宋体" w:hint="eastAsia"/>
          <w:b/>
          <w:kern w:val="0"/>
          <w:szCs w:val="24"/>
        </w:rPr>
        <w:t>3.产品估值方法、托管安排；</w:t>
      </w:r>
    </w:p>
    <w:p w:rsidR="0089610B" w:rsidRDefault="00A93C12">
      <w:pPr>
        <w:widowControl/>
        <w:tabs>
          <w:tab w:val="left" w:pos="709"/>
        </w:tabs>
        <w:adjustRightInd w:val="0"/>
        <w:snapToGrid w:val="0"/>
        <w:spacing w:line="360" w:lineRule="auto"/>
        <w:ind w:firstLineChars="200" w:firstLine="482"/>
        <w:rPr>
          <w:rFonts w:ascii="仿宋_GB2312" w:hAnsi="宋体" w:cs="宋体"/>
          <w:b/>
          <w:kern w:val="0"/>
          <w:szCs w:val="24"/>
        </w:rPr>
      </w:pPr>
      <w:r>
        <w:rPr>
          <w:rFonts w:ascii="仿宋_GB2312" w:hAnsi="宋体" w:cs="宋体" w:hint="eastAsia"/>
          <w:b/>
          <w:kern w:val="0"/>
          <w:szCs w:val="24"/>
        </w:rPr>
        <w:t>4.产品收益分配、各项费用情况及主要投资风险；</w:t>
      </w:r>
    </w:p>
    <w:p w:rsidR="0089610B" w:rsidRDefault="00A93C12">
      <w:pPr>
        <w:widowControl/>
        <w:tabs>
          <w:tab w:val="left" w:pos="709"/>
        </w:tabs>
        <w:adjustRightInd w:val="0"/>
        <w:snapToGrid w:val="0"/>
        <w:spacing w:line="360" w:lineRule="auto"/>
        <w:ind w:firstLineChars="200" w:firstLine="482"/>
        <w:rPr>
          <w:rFonts w:ascii="仿宋_GB2312" w:hAnsi="宋体" w:cs="宋体"/>
          <w:b/>
          <w:kern w:val="0"/>
          <w:szCs w:val="24"/>
        </w:rPr>
      </w:pPr>
      <w:r>
        <w:rPr>
          <w:rFonts w:ascii="仿宋_GB2312" w:hAnsi="宋体" w:cs="宋体" w:hint="eastAsia"/>
          <w:b/>
          <w:kern w:val="0"/>
          <w:szCs w:val="24"/>
        </w:rPr>
        <w:t>5.如本理财产品投资于理财产品管理人或托管机构的主要股东、实际控制人、一致行动人、最终受益人，托管机构，同一股东或托管机构控股的机构，或者与理财产品管理人或托管机构有重大利害关系的机构，以及国家金融监督管理机构关于关联交易管理相关规定中涉及的其他关联方发行或承销的证券、发行的资产管理产品，或者从事其他关联交易的，应当在理财产品管理人官方网站或者行业统一渠道披露关联交易信息，在理财产品管理人年报中披露当年关联交易总体情况，并应向投资者充分披露。</w:t>
      </w:r>
    </w:p>
    <w:p w:rsidR="0089610B" w:rsidRDefault="00A93C12">
      <w:pPr>
        <w:widowControl/>
        <w:tabs>
          <w:tab w:val="left" w:pos="709"/>
        </w:tabs>
        <w:adjustRightInd w:val="0"/>
        <w:snapToGrid w:val="0"/>
        <w:spacing w:line="360" w:lineRule="auto"/>
        <w:ind w:firstLineChars="200" w:firstLine="482"/>
        <w:rPr>
          <w:rFonts w:ascii="仿宋_GB2312" w:hAnsi="宋体" w:cs="宋体"/>
          <w:b/>
          <w:kern w:val="0"/>
          <w:szCs w:val="24"/>
        </w:rPr>
      </w:pPr>
      <w:r>
        <w:rPr>
          <w:rFonts w:ascii="仿宋_GB2312" w:hAnsi="宋体" w:cs="宋体" w:hint="eastAsia"/>
          <w:b/>
          <w:kern w:val="0"/>
          <w:szCs w:val="24"/>
        </w:rPr>
        <w:t>6.其他影响本产品投资运作的重大事项、突发事件、临时性信息披露等。</w:t>
      </w:r>
    </w:p>
    <w:p w:rsidR="0089610B" w:rsidRDefault="00A93C12">
      <w:pPr>
        <w:pStyle w:val="2"/>
        <w:tabs>
          <w:tab w:val="left" w:pos="0"/>
          <w:tab w:val="left" w:pos="709"/>
        </w:tabs>
        <w:ind w:firstLineChars="0" w:firstLine="480"/>
      </w:pPr>
      <w:r>
        <w:rPr>
          <w:rFonts w:hint="eastAsia"/>
        </w:rPr>
        <w:t>信息披露频率</w:t>
      </w:r>
    </w:p>
    <w:p w:rsidR="0089610B" w:rsidRDefault="00A93C12">
      <w:pPr>
        <w:widowControl/>
        <w:tabs>
          <w:tab w:val="left" w:pos="709"/>
        </w:tabs>
        <w:adjustRightInd w:val="0"/>
        <w:snapToGrid w:val="0"/>
        <w:spacing w:line="360" w:lineRule="auto"/>
        <w:ind w:firstLineChars="200" w:firstLine="480"/>
        <w:rPr>
          <w:rFonts w:ascii="仿宋_GB2312" w:hAnsi="宋体" w:cs="宋体"/>
          <w:kern w:val="0"/>
          <w:szCs w:val="24"/>
        </w:rPr>
      </w:pPr>
      <w:r>
        <w:rPr>
          <w:rFonts w:ascii="仿宋_GB2312" w:hAnsi="宋体" w:cs="宋体"/>
          <w:kern w:val="0"/>
          <w:szCs w:val="24"/>
        </w:rPr>
        <w:t>1.发行公告：本产品成立后5个工作日（含）内，将发布本理财产品成立公告；如</w:t>
      </w:r>
      <w:r>
        <w:rPr>
          <w:rFonts w:ascii="仿宋_GB2312" w:hAnsi="宋体" w:cs="宋体" w:hint="eastAsia"/>
          <w:kern w:val="0"/>
          <w:szCs w:val="24"/>
        </w:rPr>
        <w:t>产品</w:t>
      </w:r>
      <w:r>
        <w:rPr>
          <w:rFonts w:ascii="仿宋_GB2312" w:hAnsi="宋体" w:cs="宋体"/>
          <w:kern w:val="0"/>
          <w:szCs w:val="24"/>
        </w:rPr>
        <w:t>管理人决定本理财产品募集期延长，将于原定成立日前发布理财产品募集期延长公告；</w:t>
      </w:r>
      <w:r>
        <w:rPr>
          <w:rFonts w:ascii="仿宋_GB2312" w:hAnsi="宋体" w:cs="宋体" w:hint="eastAsia"/>
          <w:kern w:val="0"/>
          <w:szCs w:val="24"/>
        </w:rPr>
        <w:t>产品</w:t>
      </w:r>
      <w:r>
        <w:rPr>
          <w:rFonts w:ascii="仿宋_GB2312" w:hAnsi="宋体" w:cs="宋体"/>
          <w:kern w:val="0"/>
          <w:szCs w:val="24"/>
        </w:rPr>
        <w:t>管理人决定本理财产品不成立，将在理财产品原定成立日后的2个工作日（含）内发布理财产品不成立公告。</w:t>
      </w:r>
    </w:p>
    <w:p w:rsidR="0089610B" w:rsidRDefault="00A93C12">
      <w:pPr>
        <w:widowControl/>
        <w:tabs>
          <w:tab w:val="left" w:pos="709"/>
        </w:tabs>
        <w:adjustRightInd w:val="0"/>
        <w:snapToGrid w:val="0"/>
        <w:spacing w:line="360" w:lineRule="auto"/>
        <w:ind w:firstLineChars="200" w:firstLine="480"/>
        <w:rPr>
          <w:rFonts w:ascii="仿宋_GB2312" w:hAnsi="宋体" w:cs="宋体"/>
          <w:kern w:val="0"/>
          <w:szCs w:val="24"/>
        </w:rPr>
      </w:pPr>
      <w:r>
        <w:rPr>
          <w:rFonts w:ascii="仿宋_GB2312" w:hAnsi="宋体" w:cs="宋体"/>
          <w:kern w:val="0"/>
          <w:szCs w:val="24"/>
        </w:rPr>
        <w:t>2.定期公告：本产品在每个季度结束之日起15</w:t>
      </w:r>
      <w:r>
        <w:rPr>
          <w:rFonts w:ascii="仿宋_GB2312" w:hAnsi="宋体" w:cs="宋体" w:hint="eastAsia"/>
          <w:kern w:val="0"/>
          <w:szCs w:val="24"/>
        </w:rPr>
        <w:t>个工作日内、上半年结束之日起</w:t>
      </w:r>
      <w:r>
        <w:rPr>
          <w:rFonts w:ascii="仿宋_GB2312" w:hAnsi="宋体" w:cs="宋体"/>
          <w:kern w:val="0"/>
          <w:szCs w:val="24"/>
        </w:rPr>
        <w:t>60</w:t>
      </w:r>
      <w:r>
        <w:rPr>
          <w:rFonts w:ascii="仿宋_GB2312" w:hAnsi="宋体" w:cs="宋体" w:hint="eastAsia"/>
          <w:kern w:val="0"/>
          <w:szCs w:val="24"/>
        </w:rPr>
        <w:t>个工作日内、每年结束之日起</w:t>
      </w:r>
      <w:r>
        <w:rPr>
          <w:rFonts w:ascii="仿宋_GB2312" w:hAnsi="宋体" w:cs="宋体"/>
          <w:kern w:val="0"/>
          <w:szCs w:val="24"/>
        </w:rPr>
        <w:t>90</w:t>
      </w:r>
      <w:r>
        <w:rPr>
          <w:rFonts w:ascii="仿宋_GB2312" w:hAnsi="宋体" w:cs="宋体" w:hint="eastAsia"/>
          <w:kern w:val="0"/>
          <w:szCs w:val="24"/>
        </w:rPr>
        <w:t>个工作日内，披露本产品季度、半年和年度报告等定期报告。产品成立不足</w:t>
      </w:r>
      <w:r>
        <w:rPr>
          <w:rFonts w:ascii="仿宋_GB2312" w:hAnsi="宋体" w:cs="宋体"/>
          <w:kern w:val="0"/>
          <w:szCs w:val="24"/>
        </w:rPr>
        <w:t>90</w:t>
      </w:r>
      <w:r>
        <w:rPr>
          <w:rFonts w:ascii="仿宋_GB2312" w:hAnsi="宋体" w:cs="宋体" w:hint="eastAsia"/>
          <w:kern w:val="0"/>
          <w:szCs w:val="24"/>
        </w:rPr>
        <w:t>个工作日或者剩余存续期不超过</w:t>
      </w:r>
      <w:r>
        <w:rPr>
          <w:rFonts w:ascii="仿宋_GB2312" w:hAnsi="宋体" w:cs="宋体"/>
          <w:kern w:val="0"/>
          <w:szCs w:val="24"/>
        </w:rPr>
        <w:t>90</w:t>
      </w:r>
      <w:r>
        <w:rPr>
          <w:rFonts w:ascii="仿宋_GB2312" w:hAnsi="宋体" w:cs="宋体" w:hint="eastAsia"/>
          <w:kern w:val="0"/>
          <w:szCs w:val="24"/>
        </w:rPr>
        <w:t>个工作日的，将不编制本产品当期的季度、半年和年度报告。定期报告将披露理财产品组合资产情况及其流动性风险分析等。</w:t>
      </w:r>
    </w:p>
    <w:p w:rsidR="0089610B" w:rsidRDefault="00A93C12">
      <w:pPr>
        <w:widowControl/>
        <w:tabs>
          <w:tab w:val="left" w:pos="709"/>
        </w:tabs>
        <w:adjustRightInd w:val="0"/>
        <w:snapToGrid w:val="0"/>
        <w:spacing w:line="360" w:lineRule="auto"/>
        <w:ind w:firstLineChars="200" w:firstLine="480"/>
        <w:rPr>
          <w:rFonts w:ascii="仿宋_GB2312" w:hAnsi="宋体" w:cs="宋体"/>
          <w:kern w:val="0"/>
          <w:szCs w:val="24"/>
        </w:rPr>
      </w:pPr>
      <w:r>
        <w:rPr>
          <w:rFonts w:ascii="仿宋_GB2312" w:hAnsi="宋体" w:cs="宋体"/>
          <w:kern w:val="0"/>
          <w:szCs w:val="24"/>
        </w:rPr>
        <w:t>3.到期公告：本产品在终止后5</w:t>
      </w:r>
      <w:r>
        <w:rPr>
          <w:rFonts w:ascii="仿宋_GB2312" w:hAnsi="宋体" w:cs="宋体" w:hint="eastAsia"/>
          <w:kern w:val="0"/>
          <w:szCs w:val="24"/>
        </w:rPr>
        <w:t>个工作日内，披露本产品到期公告，包括理财产品的存续期限、终止日期、收费情况和收益分配情况等信息。本产品终止后5个工作日内，产品管理人发布产品到期公告。</w:t>
      </w:r>
    </w:p>
    <w:p w:rsidR="0089610B" w:rsidRDefault="00A93C12">
      <w:pPr>
        <w:widowControl/>
        <w:tabs>
          <w:tab w:val="left" w:pos="709"/>
        </w:tabs>
        <w:adjustRightInd w:val="0"/>
        <w:snapToGrid w:val="0"/>
        <w:spacing w:line="360" w:lineRule="auto"/>
        <w:ind w:firstLineChars="200" w:firstLine="480"/>
        <w:rPr>
          <w:rFonts w:ascii="仿宋_GB2312" w:hAnsi="宋体" w:cs="宋体"/>
          <w:kern w:val="0"/>
          <w:szCs w:val="24"/>
        </w:rPr>
      </w:pPr>
      <w:r>
        <w:rPr>
          <w:rFonts w:ascii="仿宋_GB2312" w:hAnsi="宋体" w:cs="宋体" w:hint="eastAsia"/>
          <w:kern w:val="0"/>
          <w:szCs w:val="24"/>
        </w:rPr>
        <w:t>如果产品管理人提前或</w:t>
      </w:r>
      <w:r>
        <w:rPr>
          <w:rFonts w:ascii="仿宋_GB2312" w:hAnsi="宋体" w:cs="宋体"/>
          <w:kern w:val="0"/>
          <w:szCs w:val="24"/>
        </w:rPr>
        <w:t>延后</w:t>
      </w:r>
      <w:r>
        <w:rPr>
          <w:rFonts w:ascii="仿宋_GB2312" w:hAnsi="宋体" w:cs="宋体" w:hint="eastAsia"/>
          <w:kern w:val="0"/>
          <w:szCs w:val="24"/>
        </w:rPr>
        <w:t>终止本产品，产品管理人将提前2个工作日进行公告。</w:t>
      </w:r>
    </w:p>
    <w:p w:rsidR="0089610B" w:rsidRDefault="00A93C12">
      <w:pPr>
        <w:widowControl/>
        <w:tabs>
          <w:tab w:val="left" w:pos="709"/>
        </w:tabs>
        <w:adjustRightInd w:val="0"/>
        <w:snapToGrid w:val="0"/>
        <w:spacing w:line="360" w:lineRule="auto"/>
        <w:ind w:firstLineChars="200" w:firstLine="480"/>
        <w:rPr>
          <w:rFonts w:ascii="仿宋_GB2312" w:hAnsi="宋体" w:cs="宋体"/>
          <w:kern w:val="0"/>
          <w:szCs w:val="24"/>
        </w:rPr>
      </w:pPr>
      <w:r>
        <w:rPr>
          <w:rFonts w:ascii="仿宋_GB2312" w:hAnsi="宋体" w:cs="宋体"/>
          <w:kern w:val="0"/>
          <w:szCs w:val="24"/>
        </w:rPr>
        <w:t>4.开放日</w:t>
      </w:r>
      <w:r>
        <w:rPr>
          <w:rFonts w:ascii="仿宋_GB2312" w:hAnsi="宋体" w:cs="宋体" w:hint="eastAsia"/>
          <w:kern w:val="0"/>
          <w:szCs w:val="24"/>
        </w:rPr>
        <w:t>（估值日</w:t>
      </w:r>
      <w:r>
        <w:rPr>
          <w:rFonts w:ascii="仿宋_GB2312" w:hAnsi="宋体" w:cs="宋体"/>
          <w:kern w:val="0"/>
          <w:szCs w:val="24"/>
        </w:rPr>
        <w:t>）公告：</w:t>
      </w:r>
      <w:r>
        <w:rPr>
          <w:rFonts w:ascii="仿宋_GB2312" w:hAnsi="宋体" w:cs="宋体" w:hint="eastAsia"/>
          <w:kern w:val="0"/>
          <w:szCs w:val="24"/>
        </w:rPr>
        <w:t>产品管理人在申购日</w:t>
      </w:r>
      <w:r>
        <w:rPr>
          <w:rFonts w:ascii="仿宋_GB2312" w:hAnsi="宋体" w:cs="宋体"/>
          <w:kern w:val="0"/>
          <w:szCs w:val="24"/>
        </w:rPr>
        <w:t>/赎回日结束后2</w:t>
      </w:r>
      <w:r>
        <w:rPr>
          <w:rFonts w:ascii="仿宋_GB2312" w:hAnsi="宋体" w:cs="宋体" w:hint="eastAsia"/>
          <w:kern w:val="0"/>
          <w:szCs w:val="24"/>
        </w:rPr>
        <w:t>个工作日内披露开放日公告，公告内容包括申购日</w:t>
      </w:r>
      <w:r>
        <w:rPr>
          <w:rFonts w:ascii="仿宋_GB2312" w:hAnsi="宋体" w:cs="宋体"/>
          <w:kern w:val="0"/>
          <w:szCs w:val="24"/>
        </w:rPr>
        <w:t>/赎回日的产品份额净值、产品份额累计净值、</w:t>
      </w:r>
      <w:r>
        <w:rPr>
          <w:rFonts w:ascii="仿宋_GB2312" w:hAnsi="宋体" w:cs="宋体" w:hint="eastAsia"/>
          <w:kern w:val="0"/>
          <w:szCs w:val="24"/>
        </w:rPr>
        <w:t>申购/赎回</w:t>
      </w:r>
      <w:r>
        <w:rPr>
          <w:rFonts w:ascii="仿宋_GB2312" w:hAnsi="宋体" w:cs="宋体"/>
          <w:kern w:val="0"/>
          <w:szCs w:val="24"/>
        </w:rPr>
        <w:t>价格</w:t>
      </w:r>
      <w:r>
        <w:rPr>
          <w:rFonts w:ascii="仿宋_GB2312" w:hAnsi="宋体" w:cs="宋体" w:hint="eastAsia"/>
          <w:kern w:val="0"/>
          <w:szCs w:val="24"/>
        </w:rPr>
        <w:t>。如遇法定节假日顺延。如遇产品到期日、季度末、半年度末、年度末等时间节点，产品管理人将增加估值日。此外，如遇其他特殊情况，以产品管理人信息披露为准。</w:t>
      </w:r>
    </w:p>
    <w:p w:rsidR="0089610B" w:rsidRDefault="00A93C12">
      <w:pPr>
        <w:widowControl/>
        <w:tabs>
          <w:tab w:val="left" w:pos="709"/>
        </w:tabs>
        <w:adjustRightInd w:val="0"/>
        <w:snapToGrid w:val="0"/>
        <w:spacing w:line="360" w:lineRule="auto"/>
        <w:ind w:firstLineChars="200" w:firstLine="482"/>
        <w:rPr>
          <w:rFonts w:ascii="仿宋_GB2312" w:hAnsi="宋体" w:cs="宋体"/>
          <w:b/>
          <w:kern w:val="0"/>
          <w:szCs w:val="24"/>
        </w:rPr>
      </w:pPr>
      <w:r>
        <w:rPr>
          <w:rFonts w:ascii="仿宋_GB2312" w:hAnsi="宋体" w:cs="宋体"/>
          <w:b/>
          <w:kern w:val="0"/>
          <w:szCs w:val="24"/>
        </w:rPr>
        <w:t>5.</w:t>
      </w:r>
      <w:r>
        <w:rPr>
          <w:rFonts w:ascii="仿宋_GB2312" w:hAnsi="宋体" w:cs="宋体" w:hint="eastAsia"/>
          <w:b/>
          <w:kern w:val="0"/>
          <w:szCs w:val="24"/>
        </w:rPr>
        <w:t>如发生可能对本产品投资者或者产品收益产生重大影响的事件，将在事件发生后2个工作日（含）内发布重大事项公告。如有相关国家法律、法规或监管部门规定的其他需要信息披露的情形，产品管理人将按其规定进行信息披露。</w:t>
      </w:r>
    </w:p>
    <w:p w:rsidR="0089610B" w:rsidRDefault="00A93C12">
      <w:pPr>
        <w:widowControl/>
        <w:tabs>
          <w:tab w:val="left" w:pos="709"/>
        </w:tabs>
        <w:adjustRightInd w:val="0"/>
        <w:snapToGrid w:val="0"/>
        <w:spacing w:line="360" w:lineRule="auto"/>
        <w:ind w:firstLineChars="200" w:firstLine="480"/>
        <w:rPr>
          <w:rFonts w:ascii="仿宋_GB2312" w:hAnsi="宋体" w:cs="宋体"/>
          <w:kern w:val="0"/>
          <w:szCs w:val="24"/>
        </w:rPr>
      </w:pPr>
      <w:r>
        <w:rPr>
          <w:rFonts w:ascii="仿宋_GB2312" w:hAnsi="宋体" w:cs="宋体"/>
          <w:kern w:val="0"/>
          <w:szCs w:val="24"/>
        </w:rPr>
        <w:t>6.</w:t>
      </w:r>
      <w:r>
        <w:rPr>
          <w:rFonts w:ascii="仿宋_GB2312" w:hAnsi="宋体" w:cs="宋体" w:hint="eastAsia"/>
          <w:kern w:val="0"/>
          <w:szCs w:val="24"/>
        </w:rPr>
        <w:t>产品临时公告</w:t>
      </w:r>
    </w:p>
    <w:p w:rsidR="0089610B" w:rsidRDefault="00A93C12">
      <w:pPr>
        <w:widowControl/>
        <w:tabs>
          <w:tab w:val="left" w:pos="709"/>
        </w:tabs>
        <w:adjustRightInd w:val="0"/>
        <w:snapToGrid w:val="0"/>
        <w:spacing w:line="360" w:lineRule="auto"/>
        <w:ind w:firstLineChars="200" w:firstLine="480"/>
        <w:rPr>
          <w:rFonts w:ascii="仿宋_GB2312" w:hAnsi="宋体" w:cs="宋体"/>
          <w:kern w:val="0"/>
          <w:szCs w:val="24"/>
        </w:rPr>
      </w:pPr>
      <w:r>
        <w:rPr>
          <w:rFonts w:ascii="仿宋_GB2312" w:hAnsi="宋体" w:cs="宋体" w:hint="eastAsia"/>
          <w:kern w:val="0"/>
          <w:szCs w:val="24"/>
        </w:rPr>
        <w:t>（</w:t>
      </w:r>
      <w:r>
        <w:rPr>
          <w:rFonts w:ascii="仿宋_GB2312" w:hAnsi="宋体" w:cs="宋体"/>
          <w:kern w:val="0"/>
          <w:szCs w:val="24"/>
        </w:rPr>
        <w:t>1</w:t>
      </w:r>
      <w:r>
        <w:rPr>
          <w:rFonts w:ascii="仿宋_GB2312" w:hAnsi="宋体" w:cs="宋体" w:hint="eastAsia"/>
          <w:kern w:val="0"/>
          <w:szCs w:val="24"/>
        </w:rPr>
        <w:t>）产品管理人对投资范围、投资资产种类、投资比例、估值方法、收费项目、收费条件、收费标准、收费方式、业绩比较基准（如有）、业绩报酬计提基准（如有）等保留调整的权利，如发生调整，调整后的要素以产品管理人发布的公告中所载明的内容为准。产品管理人将提前</w:t>
      </w:r>
      <w:r>
        <w:rPr>
          <w:rFonts w:ascii="仿宋_GB2312" w:hAnsi="宋体" w:cs="宋体"/>
          <w:kern w:val="0"/>
          <w:szCs w:val="24"/>
        </w:rPr>
        <w:t>2</w:t>
      </w:r>
      <w:r>
        <w:rPr>
          <w:rFonts w:ascii="仿宋_GB2312" w:hAnsi="宋体" w:cs="宋体" w:hint="eastAsia"/>
          <w:kern w:val="0"/>
          <w:szCs w:val="24"/>
        </w:rPr>
        <w:t>个工作日发布公告。</w:t>
      </w:r>
    </w:p>
    <w:p w:rsidR="0089610B" w:rsidRDefault="00A93C12">
      <w:pPr>
        <w:widowControl/>
        <w:tabs>
          <w:tab w:val="left" w:pos="709"/>
        </w:tabs>
        <w:adjustRightInd w:val="0"/>
        <w:snapToGrid w:val="0"/>
        <w:spacing w:line="360" w:lineRule="auto"/>
        <w:ind w:firstLineChars="200" w:firstLine="482"/>
        <w:rPr>
          <w:rFonts w:ascii="仿宋_GB2312" w:hAnsi="宋体" w:cs="宋体"/>
          <w:b/>
          <w:kern w:val="0"/>
          <w:szCs w:val="24"/>
        </w:rPr>
      </w:pPr>
      <w:r>
        <w:rPr>
          <w:rFonts w:ascii="仿宋_GB2312" w:hAnsi="宋体" w:cs="宋体" w:hint="eastAsia"/>
          <w:b/>
          <w:kern w:val="0"/>
          <w:szCs w:val="24"/>
        </w:rPr>
        <w:t>（</w:t>
      </w:r>
      <w:r>
        <w:rPr>
          <w:rFonts w:ascii="仿宋_GB2312" w:hAnsi="宋体" w:cs="宋体"/>
          <w:b/>
          <w:kern w:val="0"/>
          <w:szCs w:val="24"/>
        </w:rPr>
        <w:t>2）在发生产品管理人拒绝或暂停接受投资者认购/申购申请、</w:t>
      </w:r>
      <w:r>
        <w:rPr>
          <w:rFonts w:ascii="仿宋_GB2312" w:hAnsi="宋体" w:cs="宋体" w:hint="eastAsia"/>
          <w:b/>
          <w:kern w:val="0"/>
          <w:szCs w:val="24"/>
        </w:rPr>
        <w:t>延期办理巨额赎回申请、</w:t>
      </w:r>
      <w:r>
        <w:rPr>
          <w:rFonts w:ascii="仿宋_GB2312" w:hAnsi="宋体" w:cs="宋体"/>
          <w:b/>
          <w:kern w:val="0"/>
          <w:szCs w:val="24"/>
        </w:rPr>
        <w:t>暂停接受投资者赎回申请、延缓支付赎回款项、暂停理财产品估值、采用摆动定价等情形时，产品管理人将于</w:t>
      </w:r>
      <w:r>
        <w:rPr>
          <w:rFonts w:ascii="仿宋_GB2312" w:hAnsi="宋体" w:cs="宋体" w:hint="eastAsia"/>
          <w:b/>
          <w:kern w:val="0"/>
          <w:szCs w:val="24"/>
        </w:rPr>
        <w:t>情形发生后</w:t>
      </w:r>
      <w:r>
        <w:rPr>
          <w:rFonts w:ascii="仿宋_GB2312" w:hAnsi="宋体" w:cs="宋体"/>
          <w:b/>
          <w:kern w:val="0"/>
          <w:szCs w:val="24"/>
        </w:rPr>
        <w:t>3</w:t>
      </w:r>
      <w:r>
        <w:rPr>
          <w:rFonts w:ascii="仿宋_GB2312" w:hAnsi="宋体" w:cs="宋体" w:hint="eastAsia"/>
          <w:b/>
          <w:kern w:val="0"/>
          <w:szCs w:val="24"/>
        </w:rPr>
        <w:t>个工作日内告知投资者，并说明运用相关措施的原因和拟采取的应对安排等。在发生涉及产品认购、申购或赎回事项调整或潜在影响投资者赎回等事项时，管理人将发布临时公告。</w:t>
      </w:r>
    </w:p>
    <w:p w:rsidR="0089610B" w:rsidRDefault="00A93C12">
      <w:pPr>
        <w:widowControl/>
        <w:tabs>
          <w:tab w:val="left" w:pos="709"/>
        </w:tabs>
        <w:adjustRightInd w:val="0"/>
        <w:snapToGrid w:val="0"/>
        <w:spacing w:line="360" w:lineRule="auto"/>
        <w:ind w:firstLineChars="200" w:firstLine="480"/>
        <w:rPr>
          <w:rFonts w:ascii="仿宋_GB2312" w:hAnsi="宋体" w:cs="宋体"/>
          <w:kern w:val="0"/>
          <w:szCs w:val="24"/>
        </w:rPr>
      </w:pPr>
      <w:r>
        <w:rPr>
          <w:rFonts w:ascii="仿宋_GB2312" w:hAnsi="宋体" w:cs="宋体" w:hint="eastAsia"/>
          <w:kern w:val="0"/>
          <w:szCs w:val="24"/>
        </w:rPr>
        <w:t>（</w:t>
      </w:r>
      <w:r>
        <w:rPr>
          <w:rFonts w:ascii="仿宋_GB2312" w:hAnsi="宋体" w:cs="宋体"/>
          <w:kern w:val="0"/>
          <w:szCs w:val="24"/>
        </w:rPr>
        <w:t>3）理财产品清算期超过5</w:t>
      </w:r>
      <w:r>
        <w:rPr>
          <w:rFonts w:ascii="仿宋_GB2312" w:hAnsi="宋体" w:cs="宋体" w:hint="eastAsia"/>
          <w:kern w:val="0"/>
          <w:szCs w:val="24"/>
        </w:rPr>
        <w:t>个工作日的，产品管理人应当在理财产品终止前</w:t>
      </w:r>
      <w:r>
        <w:rPr>
          <w:rFonts w:ascii="仿宋_GB2312" w:hAnsi="宋体" w:cs="宋体"/>
          <w:kern w:val="0"/>
          <w:szCs w:val="24"/>
        </w:rPr>
        <w:t>2</w:t>
      </w:r>
      <w:r>
        <w:rPr>
          <w:rFonts w:ascii="仿宋_GB2312" w:hAnsi="宋体" w:cs="宋体" w:hint="eastAsia"/>
          <w:kern w:val="0"/>
          <w:szCs w:val="24"/>
        </w:rPr>
        <w:t>个</w:t>
      </w:r>
      <w:r>
        <w:rPr>
          <w:rFonts w:ascii="仿宋_GB2312" w:hAnsi="宋体" w:cs="宋体"/>
          <w:kern w:val="0"/>
          <w:szCs w:val="24"/>
        </w:rPr>
        <w:t>工作日</w:t>
      </w:r>
      <w:r>
        <w:rPr>
          <w:rFonts w:ascii="仿宋_GB2312" w:hAnsi="宋体" w:cs="宋体" w:hint="eastAsia"/>
          <w:kern w:val="0"/>
          <w:szCs w:val="24"/>
        </w:rPr>
        <w:t>，根据与投资者约定的渠道向投资者进行信息披露。</w:t>
      </w:r>
    </w:p>
    <w:p w:rsidR="0089610B" w:rsidRDefault="00A93C12">
      <w:pPr>
        <w:widowControl/>
        <w:tabs>
          <w:tab w:val="left" w:pos="709"/>
        </w:tabs>
        <w:adjustRightInd w:val="0"/>
        <w:snapToGrid w:val="0"/>
        <w:spacing w:line="360" w:lineRule="auto"/>
        <w:ind w:firstLineChars="200" w:firstLine="482"/>
        <w:rPr>
          <w:rFonts w:ascii="仿宋_GB2312" w:hAnsi="宋体" w:cs="宋体"/>
          <w:b/>
          <w:kern w:val="0"/>
          <w:szCs w:val="24"/>
        </w:rPr>
      </w:pPr>
      <w:r>
        <w:rPr>
          <w:rFonts w:ascii="仿宋_GB2312" w:hAnsi="宋体" w:cs="宋体" w:hint="eastAsia"/>
          <w:b/>
          <w:kern w:val="0"/>
          <w:szCs w:val="24"/>
        </w:rPr>
        <w:t>（4）在本产品存续期内，如因国家法律法规、监管规定发生变化，或是出于维护本产品正常运营的需要，在不损害投资者权益的前提下，产品管理人有权对理财产品销售文件进行修订，并提前2个工作日进行公告。</w:t>
      </w:r>
    </w:p>
    <w:p w:rsidR="0089610B" w:rsidRDefault="00A93C12">
      <w:pPr>
        <w:widowControl/>
        <w:tabs>
          <w:tab w:val="left" w:pos="709"/>
        </w:tabs>
        <w:adjustRightInd w:val="0"/>
        <w:snapToGrid w:val="0"/>
        <w:spacing w:line="360" w:lineRule="auto"/>
        <w:ind w:firstLineChars="200" w:firstLine="480"/>
        <w:rPr>
          <w:rFonts w:ascii="仿宋_GB2312" w:hAnsi="宋体" w:cs="宋体"/>
          <w:kern w:val="0"/>
          <w:szCs w:val="24"/>
        </w:rPr>
      </w:pPr>
      <w:r>
        <w:rPr>
          <w:rFonts w:ascii="仿宋_GB2312" w:hAnsi="宋体" w:cs="宋体" w:hint="eastAsia"/>
          <w:kern w:val="0"/>
          <w:szCs w:val="24"/>
        </w:rPr>
        <w:t>（</w:t>
      </w:r>
      <w:r>
        <w:rPr>
          <w:rFonts w:ascii="仿宋_GB2312" w:hAnsi="宋体" w:cs="宋体"/>
          <w:kern w:val="0"/>
          <w:szCs w:val="24"/>
        </w:rPr>
        <w:t>5）其他临时性公告</w:t>
      </w:r>
    </w:p>
    <w:p w:rsidR="0089610B" w:rsidRDefault="00A93C12">
      <w:pPr>
        <w:widowControl/>
        <w:tabs>
          <w:tab w:val="left" w:pos="709"/>
        </w:tabs>
        <w:adjustRightInd w:val="0"/>
        <w:snapToGrid w:val="0"/>
        <w:spacing w:line="360" w:lineRule="auto"/>
        <w:ind w:firstLineChars="200" w:firstLine="480"/>
        <w:rPr>
          <w:rFonts w:ascii="仿宋_GB2312" w:hAnsi="宋体" w:cs="宋体"/>
          <w:kern w:val="0"/>
          <w:szCs w:val="24"/>
        </w:rPr>
      </w:pPr>
      <w:r>
        <w:rPr>
          <w:rFonts w:ascii="仿宋_GB2312" w:hAnsi="宋体" w:cs="宋体" w:hint="eastAsia"/>
          <w:kern w:val="0"/>
          <w:szCs w:val="24"/>
        </w:rPr>
        <w:t>除前述事项外，如出现产品</w:t>
      </w:r>
      <w:r>
        <w:rPr>
          <w:rFonts w:ascii="仿宋_GB2312" w:hAnsi="宋体" w:cs="宋体"/>
          <w:kern w:val="0"/>
          <w:szCs w:val="24"/>
        </w:rPr>
        <w:t>二次清算</w:t>
      </w:r>
      <w:r>
        <w:rPr>
          <w:rFonts w:ascii="仿宋_GB2312" w:hAnsi="宋体" w:cs="宋体" w:hint="eastAsia"/>
          <w:kern w:val="0"/>
          <w:szCs w:val="24"/>
        </w:rPr>
        <w:t>等其他突发事件，需在事件发生后2个</w:t>
      </w:r>
      <w:r>
        <w:rPr>
          <w:rFonts w:ascii="仿宋_GB2312" w:hAnsi="宋体" w:cs="宋体"/>
          <w:kern w:val="0"/>
          <w:szCs w:val="24"/>
        </w:rPr>
        <w:t>工作日内</w:t>
      </w:r>
      <w:r>
        <w:rPr>
          <w:rFonts w:ascii="仿宋_GB2312" w:hAnsi="宋体" w:cs="宋体" w:hint="eastAsia"/>
          <w:kern w:val="0"/>
          <w:szCs w:val="24"/>
        </w:rPr>
        <w:t>及时进行披露。</w:t>
      </w:r>
    </w:p>
    <w:p w:rsidR="0089610B" w:rsidRDefault="00A93C12">
      <w:pPr>
        <w:widowControl/>
        <w:tabs>
          <w:tab w:val="left" w:pos="709"/>
        </w:tabs>
        <w:adjustRightInd w:val="0"/>
        <w:snapToGrid w:val="0"/>
        <w:spacing w:line="360" w:lineRule="auto"/>
        <w:ind w:firstLineChars="200" w:firstLine="482"/>
        <w:rPr>
          <w:rFonts w:ascii="仿宋_GB2312" w:hAnsi="宋体" w:cs="宋体"/>
          <w:b/>
          <w:kern w:val="0"/>
          <w:szCs w:val="24"/>
        </w:rPr>
      </w:pPr>
      <w:r>
        <w:rPr>
          <w:rFonts w:ascii="仿宋_GB2312" w:hAnsi="宋体" w:cs="宋体" w:hint="eastAsia"/>
          <w:b/>
          <w:kern w:val="0"/>
          <w:szCs w:val="24"/>
        </w:rPr>
        <w:t>在本产品存续期内，当产品管理人对理财产品进行相应调整（包括调整投资范围、投资资产种类、投资比例或收费项目、收费条件、收费标准、收费方式等）时，若构成对投资者利益产生实质性不利影响或涉及当事人权利义务的重大变更的，投资者有权不接受调整，在符合法律法规及监管政策的前提下，可由产品管理人决定投资者提前赎回的方式，并通过公告进行披露。若投资者未选择赎回本产品的，则视为已理解并接受产品管理人的相应调整。</w:t>
      </w:r>
    </w:p>
    <w:p w:rsidR="0089610B" w:rsidRDefault="00A93C12">
      <w:pPr>
        <w:widowControl/>
        <w:jc w:val="left"/>
        <w:rPr>
          <w:rFonts w:eastAsia="黑体"/>
          <w:kern w:val="44"/>
          <w:sz w:val="28"/>
        </w:rPr>
      </w:pPr>
      <w:r>
        <w:br w:type="page"/>
      </w:r>
    </w:p>
    <w:p w:rsidR="0089610B" w:rsidRDefault="00A93C12">
      <w:pPr>
        <w:pStyle w:val="1"/>
      </w:pPr>
      <w:r>
        <w:rPr>
          <w:rFonts w:hint="eastAsia"/>
        </w:rPr>
        <w:t>特别提示</w:t>
      </w:r>
    </w:p>
    <w:p w:rsidR="0089610B" w:rsidRDefault="00A93C12">
      <w:pPr>
        <w:widowControl/>
        <w:tabs>
          <w:tab w:val="left" w:pos="709"/>
        </w:tabs>
        <w:snapToGrid w:val="0"/>
        <w:spacing w:line="360" w:lineRule="auto"/>
        <w:ind w:firstLineChars="200" w:firstLine="482"/>
        <w:rPr>
          <w:rFonts w:ascii="仿宋_GB2312" w:hAnsi="宋体" w:cs="宋体"/>
          <w:b/>
          <w:bCs/>
          <w:kern w:val="0"/>
          <w:szCs w:val="24"/>
        </w:rPr>
      </w:pPr>
      <w:r>
        <w:rPr>
          <w:rFonts w:ascii="仿宋_GB2312" w:hAnsi="宋体" w:cs="宋体" w:hint="eastAsia"/>
          <w:b/>
          <w:bCs/>
          <w:kern w:val="0"/>
          <w:szCs w:val="24"/>
        </w:rPr>
        <w:t>若本理财产品所投资资产到期不能全部偿付导致资产减值甚至本金大幅损失，则浙银理财将以产品管理人名义，代表投资者利益行使诉讼权利或者实施其他法律行为。</w:t>
      </w:r>
    </w:p>
    <w:p w:rsidR="0089610B" w:rsidRDefault="00A93C12">
      <w:pPr>
        <w:widowControl/>
        <w:tabs>
          <w:tab w:val="left" w:pos="709"/>
        </w:tabs>
        <w:snapToGrid w:val="0"/>
        <w:spacing w:line="360" w:lineRule="auto"/>
        <w:ind w:firstLineChars="200" w:firstLine="482"/>
        <w:rPr>
          <w:rFonts w:ascii="仿宋_GB2312" w:hAnsi="宋体" w:cs="宋体"/>
          <w:b/>
          <w:bCs/>
          <w:kern w:val="0"/>
          <w:szCs w:val="24"/>
        </w:rPr>
      </w:pPr>
      <w:r>
        <w:rPr>
          <w:rFonts w:ascii="仿宋_GB2312" w:hAnsi="宋体" w:cs="宋体" w:hint="eastAsia"/>
          <w:b/>
          <w:bCs/>
          <w:kern w:val="0"/>
          <w:szCs w:val="24"/>
        </w:rPr>
        <w:t>产品管理人对投资者信息负有保密义务，不得无故向任何组织、个人提供或泄露与投资者有关的业务资料及信息。产品管理人向确有知悉必要的雇员提供投资者信息，或按照有关法律、法规、监管要求向司法机关、行政机关等有关政府部门、投资合作机构及第三方专业机构提供的，不视为对保密义务的违反。</w:t>
      </w:r>
    </w:p>
    <w:p w:rsidR="0089610B" w:rsidRDefault="00A93C12">
      <w:pPr>
        <w:widowControl/>
        <w:tabs>
          <w:tab w:val="left" w:pos="709"/>
        </w:tabs>
        <w:snapToGrid w:val="0"/>
        <w:spacing w:line="360" w:lineRule="auto"/>
        <w:ind w:firstLineChars="200" w:firstLine="482"/>
        <w:rPr>
          <w:rFonts w:ascii="仿宋_GB2312" w:hAnsi="宋体" w:cs="宋体"/>
          <w:b/>
          <w:bCs/>
          <w:kern w:val="0"/>
          <w:szCs w:val="24"/>
        </w:rPr>
      </w:pPr>
      <w:r>
        <w:rPr>
          <w:rFonts w:ascii="仿宋_GB2312" w:hAnsi="宋体" w:cs="宋体" w:hint="eastAsia"/>
          <w:b/>
          <w:bCs/>
          <w:kern w:val="0"/>
          <w:szCs w:val="24"/>
        </w:rPr>
        <w:t>产品管理人根据适用的法律法规和监管机构要求，向监管机构和/或其他有权机关（包括但不限于理财登记中心数据交换平台）报送投资者身份信息及投资者持有本产品份额及其变动情况等相关信息。产品管理人对向监管机构和/或监管机构指定机构报送的相关信息负有保密义务,并在报送信息过程中,采取有效措施确保信息安全与保密。</w:t>
      </w:r>
    </w:p>
    <w:p w:rsidR="0089610B" w:rsidRDefault="00A93C12">
      <w:pPr>
        <w:widowControl/>
        <w:tabs>
          <w:tab w:val="left" w:pos="709"/>
        </w:tabs>
        <w:snapToGrid w:val="0"/>
        <w:spacing w:line="360" w:lineRule="auto"/>
        <w:ind w:firstLineChars="200" w:firstLine="480"/>
        <w:rPr>
          <w:rFonts w:ascii="仿宋_GB2312" w:hAnsi="宋体" w:cs="宋体"/>
          <w:b/>
          <w:bCs/>
          <w:kern w:val="0"/>
          <w:szCs w:val="24"/>
        </w:rPr>
      </w:pPr>
      <w:r>
        <w:rPr>
          <w:rFonts w:hint="eastAsia"/>
        </w:rPr>
        <w:t>本产品的转让将依照理财产品销售文件及销售机构的业务政策执行。</w:t>
      </w:r>
    </w:p>
    <w:p w:rsidR="0089610B" w:rsidRDefault="00A93C12">
      <w:pPr>
        <w:tabs>
          <w:tab w:val="left" w:pos="709"/>
        </w:tabs>
        <w:snapToGrid w:val="0"/>
        <w:spacing w:line="360" w:lineRule="auto"/>
        <w:ind w:firstLineChars="200" w:firstLine="480"/>
      </w:pPr>
      <w:r>
        <w:rPr>
          <w:rFonts w:ascii="仿宋_GB2312" w:hAnsi="宋体" w:cs="宋体" w:hint="eastAsia"/>
          <w:bCs/>
          <w:kern w:val="0"/>
          <w:szCs w:val="24"/>
        </w:rPr>
        <w:t>投资者对本理财产品有任何意见或异议，</w:t>
      </w:r>
      <w:r>
        <w:rPr>
          <w:rFonts w:ascii="仿宋_GB2312" w:hAnsiTheme="minorEastAsia" w:cs="宋体" w:hint="eastAsia"/>
          <w:bCs/>
          <w:kern w:val="0"/>
          <w:szCs w:val="32"/>
        </w:rPr>
        <w:t>敬请联系您的销售服务机构：</w:t>
      </w:r>
      <w:r>
        <w:rPr>
          <w:rFonts w:ascii="仿宋_GB2312" w:hAnsi="Times New Roman" w:hint="eastAsia"/>
          <w:kern w:val="0"/>
        </w:rPr>
        <w:t>浙江桐乡农村商业银行股份有限公司</w:t>
      </w:r>
      <w:r>
        <w:rPr>
          <w:rFonts w:ascii="仿宋_GB2312" w:hAnsiTheme="minorEastAsia" w:cs="宋体" w:hint="eastAsia"/>
          <w:bCs/>
          <w:kern w:val="0"/>
          <w:szCs w:val="32"/>
        </w:rPr>
        <w:t>服务热线96596</w:t>
      </w:r>
      <w:r>
        <w:rPr>
          <w:rFonts w:ascii="仿宋_GB2312" w:hAnsi="Times New Roman" w:hint="eastAsia"/>
          <w:kern w:val="0"/>
        </w:rPr>
        <w:t>、浙江萧山农村商业银行股份有限公司</w:t>
      </w:r>
      <w:r>
        <w:rPr>
          <w:rFonts w:ascii="仿宋_GB2312" w:hAnsiTheme="minorEastAsia" w:cs="宋体" w:hint="eastAsia"/>
          <w:bCs/>
          <w:kern w:val="0"/>
          <w:szCs w:val="32"/>
        </w:rPr>
        <w:t>服务热线96596、</w:t>
      </w:r>
      <w:r>
        <w:rPr>
          <w:rFonts w:ascii="仿宋_GB2312" w:hAnsi="Times New Roman" w:hint="eastAsia"/>
          <w:kern w:val="0"/>
        </w:rPr>
        <w:t>浙江德清农村商业银行股份有限公司</w:t>
      </w:r>
      <w:r>
        <w:rPr>
          <w:rFonts w:ascii="仿宋_GB2312" w:hAnsiTheme="minorEastAsia" w:cs="宋体" w:hint="eastAsia"/>
          <w:bCs/>
          <w:kern w:val="0"/>
          <w:szCs w:val="32"/>
        </w:rPr>
        <w:t>服务热线96596、</w:t>
      </w:r>
      <w:r>
        <w:rPr>
          <w:rFonts w:ascii="仿宋_GB2312" w:hAnsi="Times New Roman" w:hint="eastAsia"/>
          <w:kern w:val="0"/>
        </w:rPr>
        <w:t>浙江禾城农村商业银行股份有限公司</w:t>
      </w:r>
      <w:r>
        <w:rPr>
          <w:rFonts w:ascii="仿宋_GB2312" w:hAnsiTheme="minorEastAsia" w:cs="宋体" w:hint="eastAsia"/>
          <w:bCs/>
          <w:kern w:val="0"/>
          <w:szCs w:val="32"/>
        </w:rPr>
        <w:t>服务热线96596、</w:t>
      </w:r>
      <w:r>
        <w:rPr>
          <w:rFonts w:ascii="仿宋_GB2312" w:hAnsi="Times New Roman" w:hint="eastAsia"/>
          <w:kern w:val="0"/>
        </w:rPr>
        <w:t>浙江海宁农村商业银行股份有限公司</w:t>
      </w:r>
      <w:r>
        <w:rPr>
          <w:rFonts w:ascii="仿宋_GB2312" w:hAnsiTheme="minorEastAsia" w:cs="宋体" w:hint="eastAsia"/>
          <w:bCs/>
          <w:kern w:val="0"/>
          <w:szCs w:val="32"/>
        </w:rPr>
        <w:t>服务热线96596；或反馈至浙银理财：浙银理财服务电话，0571-57192881。</w:t>
      </w:r>
    </w:p>
    <w:p w:rsidR="0089610B" w:rsidRDefault="0089610B">
      <w:pPr>
        <w:widowControl/>
        <w:tabs>
          <w:tab w:val="left" w:pos="709"/>
        </w:tabs>
        <w:snapToGrid w:val="0"/>
        <w:spacing w:line="360" w:lineRule="auto"/>
        <w:ind w:firstLineChars="200" w:firstLine="480"/>
        <w:rPr>
          <w:rFonts w:ascii="仿宋_GB2312" w:hAnsi="宋体" w:cs="宋体"/>
          <w:bCs/>
          <w:kern w:val="0"/>
          <w:szCs w:val="24"/>
        </w:rPr>
      </w:pPr>
    </w:p>
    <w:p w:rsidR="0089610B" w:rsidRDefault="0089610B">
      <w:pPr>
        <w:widowControl/>
        <w:jc w:val="left"/>
        <w:rPr>
          <w:szCs w:val="24"/>
        </w:rPr>
      </w:pPr>
    </w:p>
    <w:sectPr w:rsidR="0089610B">
      <w:headerReference w:type="default" r:id="rId7"/>
      <w:footerReference w:type="default" r:id="rId8"/>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FFE" w:rsidRDefault="00287FFE">
      <w:r>
        <w:separator/>
      </w:r>
    </w:p>
  </w:endnote>
  <w:endnote w:type="continuationSeparator" w:id="0">
    <w:p w:rsidR="00287FFE" w:rsidRDefault="0028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altName w:val="微软雅黑"/>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C12" w:rsidRDefault="00A93C12">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87FF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87FFE">
      <w:rPr>
        <w:b/>
        <w:bCs/>
        <w:noProof/>
      </w:rPr>
      <w:t>1</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FFE" w:rsidRDefault="00287FFE">
      <w:r>
        <w:separator/>
      </w:r>
    </w:p>
  </w:footnote>
  <w:footnote w:type="continuationSeparator" w:id="0">
    <w:p w:rsidR="00287FFE" w:rsidRDefault="00287F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C12" w:rsidRDefault="00A93C12">
    <w:pPr>
      <w:pStyle w:val="a8"/>
      <w:jc w:val="left"/>
      <w:rPr>
        <w:rFonts w:asciiTheme="majorEastAsia" w:eastAsiaTheme="majorEastAsia" w:hAnsiTheme="majorEastAsia"/>
        <w:b/>
        <w:sz w:val="24"/>
      </w:rPr>
    </w:pPr>
    <w:r>
      <w:rPr>
        <w:rFonts w:asciiTheme="majorEastAsia" w:eastAsiaTheme="majorEastAsia" w:hAnsiTheme="majorEastAsia" w:hint="eastAsia"/>
        <w:b/>
        <w:sz w:val="24"/>
      </w:rPr>
      <w:t>理财非存款</w:t>
    </w:r>
    <w:r>
      <w:rPr>
        <w:rFonts w:asciiTheme="majorEastAsia" w:eastAsiaTheme="majorEastAsia" w:hAnsiTheme="majorEastAsia"/>
        <w:b/>
        <w:sz w:val="24"/>
      </w:rPr>
      <w:t xml:space="preserve"> </w:t>
    </w:r>
    <w:r>
      <w:rPr>
        <w:rFonts w:asciiTheme="majorEastAsia" w:eastAsiaTheme="majorEastAsia" w:hAnsiTheme="majorEastAsia" w:hint="eastAsia"/>
        <w:b/>
        <w:sz w:val="24"/>
      </w:rPr>
      <w:t>产品有风险</w:t>
    </w:r>
    <w:r>
      <w:rPr>
        <w:rFonts w:asciiTheme="majorEastAsia" w:eastAsiaTheme="majorEastAsia" w:hAnsiTheme="majorEastAsia"/>
        <w:b/>
        <w:sz w:val="24"/>
      </w:rPr>
      <w:t xml:space="preserve"> </w:t>
    </w:r>
    <w:r>
      <w:rPr>
        <w:rFonts w:asciiTheme="majorEastAsia" w:eastAsiaTheme="majorEastAsia" w:hAnsiTheme="majorEastAsia" w:hint="eastAsia"/>
        <w:b/>
        <w:sz w:val="24"/>
      </w:rPr>
      <w:t>投资须谨慎</w:t>
    </w:r>
    <w:r>
      <w:rPr>
        <w:rFonts w:asciiTheme="majorEastAsia" w:eastAsiaTheme="majorEastAsia" w:hAnsiTheme="majorEastAsia"/>
        <w:b/>
        <w:sz w:val="24"/>
      </w:rPr>
      <w:t xml:space="preserve">  </w:t>
    </w:r>
    <w:r>
      <w:rPr>
        <w:rFonts w:asciiTheme="majorEastAsia" w:eastAsiaTheme="majorEastAsia" w:hAnsiTheme="majorEastAsia"/>
        <w:b/>
        <w:sz w:val="21"/>
      </w:rPr>
      <w:t xml:space="preserve">                                                </w:t>
    </w:r>
    <w:r>
      <w:rPr>
        <w:rFonts w:asciiTheme="majorEastAsia" w:eastAsiaTheme="majorEastAsia" w:hAnsiTheme="majorEastAsia" w:hint="eastAsia"/>
        <w:b/>
        <w:sz w:val="24"/>
      </w:rPr>
      <w:t>浙银理财</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642D44"/>
    <w:multiLevelType w:val="singleLevel"/>
    <w:tmpl w:val="EA642D44"/>
    <w:lvl w:ilvl="0">
      <w:start w:val="1"/>
      <w:numFmt w:val="decimal"/>
      <w:lvlText w:val="%1."/>
      <w:lvlJc w:val="left"/>
      <w:pPr>
        <w:tabs>
          <w:tab w:val="left" w:pos="312"/>
        </w:tabs>
      </w:pPr>
    </w:lvl>
  </w:abstractNum>
  <w:abstractNum w:abstractNumId="1" w15:restartNumberingAfterBreak="0">
    <w:nsid w:val="F7DE153C"/>
    <w:multiLevelType w:val="singleLevel"/>
    <w:tmpl w:val="F7DE153C"/>
    <w:lvl w:ilvl="0">
      <w:start w:val="1"/>
      <w:numFmt w:val="decimal"/>
      <w:suff w:val="nothing"/>
      <w:lvlText w:val="（%1）"/>
      <w:lvlJc w:val="left"/>
    </w:lvl>
  </w:abstractNum>
  <w:abstractNum w:abstractNumId="2" w15:restartNumberingAfterBreak="0">
    <w:nsid w:val="7477F87A"/>
    <w:multiLevelType w:val="multilevel"/>
    <w:tmpl w:val="7477F87A"/>
    <w:lvl w:ilvl="0">
      <w:start w:val="1"/>
      <w:numFmt w:val="chineseCounting"/>
      <w:pStyle w:val="1"/>
      <w:suff w:val="nothing"/>
      <w:lvlText w:val="第%1节 "/>
      <w:lvlJc w:val="left"/>
      <w:pPr>
        <w:tabs>
          <w:tab w:val="left" w:pos="0"/>
        </w:tabs>
        <w:ind w:left="0" w:firstLine="0"/>
      </w:pPr>
      <w:rPr>
        <w:rFonts w:ascii="宋体" w:eastAsia="黑体" w:hAnsi="宋体" w:cs="宋体" w:hint="eastAsia"/>
        <w:sz w:val="28"/>
      </w:rPr>
    </w:lvl>
    <w:lvl w:ilvl="1">
      <w:start w:val="1"/>
      <w:numFmt w:val="chineseCounting"/>
      <w:pStyle w:val="2"/>
      <w:suff w:val="nothing"/>
      <w:lvlText w:val="（%2）"/>
      <w:lvlJc w:val="left"/>
      <w:pPr>
        <w:tabs>
          <w:tab w:val="left" w:pos="3261"/>
        </w:tabs>
        <w:ind w:left="3261" w:firstLine="0"/>
      </w:pPr>
      <w:rPr>
        <w:rFonts w:ascii="宋体" w:eastAsia="仿宋_GB2312" w:hAnsi="宋体" w:cs="宋体" w:hint="eastAsia"/>
        <w:b/>
        <w:sz w:val="24"/>
      </w:rPr>
    </w:lvl>
    <w:lvl w:ilvl="2">
      <w:start w:val="1"/>
      <w:numFmt w:val="decimal"/>
      <w:pStyle w:val="3"/>
      <w:suff w:val="nothing"/>
      <w:lvlText w:val="%3．"/>
      <w:lvlJc w:val="left"/>
      <w:pPr>
        <w:ind w:left="0" w:firstLine="400"/>
      </w:pPr>
      <w:rPr>
        <w:rFonts w:ascii="宋体" w:eastAsia="宋体" w:hAnsi="宋体" w:cs="宋体"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mYjM3ZmJlMjNhM2Y5MDE0ZTRlMTUxZThiNDdmNTYifQ=="/>
    <w:docVar w:name="KSO_WPS_MARK_KEY" w:val="2176d3be-20b8-4d3b-b4e7-551bb84ae047"/>
  </w:docVars>
  <w:rsids>
    <w:rsidRoot w:val="00172A27"/>
    <w:rsid w:val="99DBA649"/>
    <w:rsid w:val="AFFA3FB6"/>
    <w:rsid w:val="B9FF2C24"/>
    <w:rsid w:val="BFADC5B0"/>
    <w:rsid w:val="BFE42279"/>
    <w:rsid w:val="CBFF1D28"/>
    <w:rsid w:val="D7EF4B5F"/>
    <w:rsid w:val="DB7E199B"/>
    <w:rsid w:val="DDBF4B06"/>
    <w:rsid w:val="DDF4691B"/>
    <w:rsid w:val="DFF88715"/>
    <w:rsid w:val="E5CD6294"/>
    <w:rsid w:val="E7DF7C9A"/>
    <w:rsid w:val="EDEFF2C6"/>
    <w:rsid w:val="EDF78973"/>
    <w:rsid w:val="EF8FABD7"/>
    <w:rsid w:val="EFB70F39"/>
    <w:rsid w:val="EFF6255A"/>
    <w:rsid w:val="F3376637"/>
    <w:rsid w:val="F35B9371"/>
    <w:rsid w:val="F5372C2B"/>
    <w:rsid w:val="F6675321"/>
    <w:rsid w:val="F753CE23"/>
    <w:rsid w:val="F7FDAD9F"/>
    <w:rsid w:val="F9D62103"/>
    <w:rsid w:val="FA76970C"/>
    <w:rsid w:val="FAEFDAE1"/>
    <w:rsid w:val="FBF1AF0E"/>
    <w:rsid w:val="FCDDE1EB"/>
    <w:rsid w:val="FCDF1BDF"/>
    <w:rsid w:val="FCF79DB0"/>
    <w:rsid w:val="FEFD8FB5"/>
    <w:rsid w:val="FEFDDC0A"/>
    <w:rsid w:val="FF6FA6C8"/>
    <w:rsid w:val="FFAF9A9F"/>
    <w:rsid w:val="FFDAE77E"/>
    <w:rsid w:val="FFE7B06C"/>
    <w:rsid w:val="FFF96160"/>
    <w:rsid w:val="FFFF2A41"/>
    <w:rsid w:val="0000053F"/>
    <w:rsid w:val="00000932"/>
    <w:rsid w:val="00001A8A"/>
    <w:rsid w:val="00002202"/>
    <w:rsid w:val="00003465"/>
    <w:rsid w:val="000034B1"/>
    <w:rsid w:val="00003627"/>
    <w:rsid w:val="00004097"/>
    <w:rsid w:val="000041F2"/>
    <w:rsid w:val="000045D6"/>
    <w:rsid w:val="000051BB"/>
    <w:rsid w:val="00007FF7"/>
    <w:rsid w:val="000118E2"/>
    <w:rsid w:val="0001485C"/>
    <w:rsid w:val="00014973"/>
    <w:rsid w:val="00016F63"/>
    <w:rsid w:val="0001700B"/>
    <w:rsid w:val="00017F8F"/>
    <w:rsid w:val="00021933"/>
    <w:rsid w:val="00021C50"/>
    <w:rsid w:val="00022038"/>
    <w:rsid w:val="000223C4"/>
    <w:rsid w:val="000226E6"/>
    <w:rsid w:val="000233DA"/>
    <w:rsid w:val="00023F5E"/>
    <w:rsid w:val="00024634"/>
    <w:rsid w:val="00025ABD"/>
    <w:rsid w:val="00025FD7"/>
    <w:rsid w:val="00027B90"/>
    <w:rsid w:val="00027C68"/>
    <w:rsid w:val="00030944"/>
    <w:rsid w:val="00030BC9"/>
    <w:rsid w:val="000319BE"/>
    <w:rsid w:val="00031CF8"/>
    <w:rsid w:val="00035C1C"/>
    <w:rsid w:val="0003736A"/>
    <w:rsid w:val="00041252"/>
    <w:rsid w:val="0004142C"/>
    <w:rsid w:val="000415AA"/>
    <w:rsid w:val="00041703"/>
    <w:rsid w:val="000426E6"/>
    <w:rsid w:val="00042BF7"/>
    <w:rsid w:val="000431E5"/>
    <w:rsid w:val="00044093"/>
    <w:rsid w:val="000446BA"/>
    <w:rsid w:val="00044C98"/>
    <w:rsid w:val="000472B3"/>
    <w:rsid w:val="000475D1"/>
    <w:rsid w:val="00047AC5"/>
    <w:rsid w:val="00047E39"/>
    <w:rsid w:val="00050DF7"/>
    <w:rsid w:val="00050ED6"/>
    <w:rsid w:val="00051CBD"/>
    <w:rsid w:val="00051DBD"/>
    <w:rsid w:val="00052D3C"/>
    <w:rsid w:val="00054C78"/>
    <w:rsid w:val="0005535C"/>
    <w:rsid w:val="00056882"/>
    <w:rsid w:val="00056AE1"/>
    <w:rsid w:val="000577A3"/>
    <w:rsid w:val="000618A3"/>
    <w:rsid w:val="00062D7A"/>
    <w:rsid w:val="00063034"/>
    <w:rsid w:val="00063F96"/>
    <w:rsid w:val="00064B7F"/>
    <w:rsid w:val="000652DC"/>
    <w:rsid w:val="00065662"/>
    <w:rsid w:val="00065679"/>
    <w:rsid w:val="00065A4A"/>
    <w:rsid w:val="000678DE"/>
    <w:rsid w:val="00067F68"/>
    <w:rsid w:val="000723FC"/>
    <w:rsid w:val="00073ED7"/>
    <w:rsid w:val="0007490B"/>
    <w:rsid w:val="00074DFA"/>
    <w:rsid w:val="00074F4F"/>
    <w:rsid w:val="000771FB"/>
    <w:rsid w:val="00077B11"/>
    <w:rsid w:val="00083F31"/>
    <w:rsid w:val="00084F65"/>
    <w:rsid w:val="00085066"/>
    <w:rsid w:val="00085E2A"/>
    <w:rsid w:val="000867B9"/>
    <w:rsid w:val="00086827"/>
    <w:rsid w:val="00086894"/>
    <w:rsid w:val="00086A79"/>
    <w:rsid w:val="00086C25"/>
    <w:rsid w:val="000909B2"/>
    <w:rsid w:val="00091111"/>
    <w:rsid w:val="00091483"/>
    <w:rsid w:val="00091670"/>
    <w:rsid w:val="00092597"/>
    <w:rsid w:val="00092682"/>
    <w:rsid w:val="00092B17"/>
    <w:rsid w:val="00093075"/>
    <w:rsid w:val="000947EB"/>
    <w:rsid w:val="00095515"/>
    <w:rsid w:val="00095FF1"/>
    <w:rsid w:val="000961AC"/>
    <w:rsid w:val="0009621A"/>
    <w:rsid w:val="0009704C"/>
    <w:rsid w:val="000970E2"/>
    <w:rsid w:val="00097EC1"/>
    <w:rsid w:val="000A0285"/>
    <w:rsid w:val="000A143B"/>
    <w:rsid w:val="000A3108"/>
    <w:rsid w:val="000A4117"/>
    <w:rsid w:val="000A6501"/>
    <w:rsid w:val="000A7976"/>
    <w:rsid w:val="000B0E53"/>
    <w:rsid w:val="000B182A"/>
    <w:rsid w:val="000B1A0B"/>
    <w:rsid w:val="000B268B"/>
    <w:rsid w:val="000B5885"/>
    <w:rsid w:val="000B7E6D"/>
    <w:rsid w:val="000C0AE7"/>
    <w:rsid w:val="000C0B8A"/>
    <w:rsid w:val="000C0BB5"/>
    <w:rsid w:val="000C0C3F"/>
    <w:rsid w:val="000C13AA"/>
    <w:rsid w:val="000C2BB8"/>
    <w:rsid w:val="000C3ADB"/>
    <w:rsid w:val="000C3D57"/>
    <w:rsid w:val="000C544D"/>
    <w:rsid w:val="000C5757"/>
    <w:rsid w:val="000C7005"/>
    <w:rsid w:val="000D1700"/>
    <w:rsid w:val="000D1AFA"/>
    <w:rsid w:val="000D25F1"/>
    <w:rsid w:val="000D266F"/>
    <w:rsid w:val="000D4325"/>
    <w:rsid w:val="000D4568"/>
    <w:rsid w:val="000D459B"/>
    <w:rsid w:val="000D4A35"/>
    <w:rsid w:val="000D5AC0"/>
    <w:rsid w:val="000D5CF1"/>
    <w:rsid w:val="000D6A79"/>
    <w:rsid w:val="000D7DA1"/>
    <w:rsid w:val="000E0413"/>
    <w:rsid w:val="000E0EDC"/>
    <w:rsid w:val="000E48F0"/>
    <w:rsid w:val="000E523B"/>
    <w:rsid w:val="000E5C59"/>
    <w:rsid w:val="000F0833"/>
    <w:rsid w:val="000F0F9E"/>
    <w:rsid w:val="000F16CF"/>
    <w:rsid w:val="000F2F64"/>
    <w:rsid w:val="000F5A13"/>
    <w:rsid w:val="000F5CEA"/>
    <w:rsid w:val="000F787D"/>
    <w:rsid w:val="001039A6"/>
    <w:rsid w:val="00105009"/>
    <w:rsid w:val="00105425"/>
    <w:rsid w:val="00105AD4"/>
    <w:rsid w:val="001065F8"/>
    <w:rsid w:val="00106768"/>
    <w:rsid w:val="00106861"/>
    <w:rsid w:val="00106AC9"/>
    <w:rsid w:val="0011053C"/>
    <w:rsid w:val="0011090A"/>
    <w:rsid w:val="00110B3B"/>
    <w:rsid w:val="00110BD1"/>
    <w:rsid w:val="0011228C"/>
    <w:rsid w:val="00112554"/>
    <w:rsid w:val="0011279A"/>
    <w:rsid w:val="00112B83"/>
    <w:rsid w:val="001130B6"/>
    <w:rsid w:val="00113B87"/>
    <w:rsid w:val="00113C86"/>
    <w:rsid w:val="00114882"/>
    <w:rsid w:val="0011547C"/>
    <w:rsid w:val="00115EA8"/>
    <w:rsid w:val="0011646A"/>
    <w:rsid w:val="001167B8"/>
    <w:rsid w:val="00117975"/>
    <w:rsid w:val="001179A1"/>
    <w:rsid w:val="00117EE1"/>
    <w:rsid w:val="0012040A"/>
    <w:rsid w:val="001209C2"/>
    <w:rsid w:val="0012182E"/>
    <w:rsid w:val="00122F57"/>
    <w:rsid w:val="00125C6F"/>
    <w:rsid w:val="00126288"/>
    <w:rsid w:val="0012661B"/>
    <w:rsid w:val="00126854"/>
    <w:rsid w:val="001275C1"/>
    <w:rsid w:val="00127AD3"/>
    <w:rsid w:val="00130DAD"/>
    <w:rsid w:val="00131B9D"/>
    <w:rsid w:val="00135510"/>
    <w:rsid w:val="00135B6B"/>
    <w:rsid w:val="00136DD8"/>
    <w:rsid w:val="001404FD"/>
    <w:rsid w:val="00140EDA"/>
    <w:rsid w:val="00141336"/>
    <w:rsid w:val="00144558"/>
    <w:rsid w:val="00145D4F"/>
    <w:rsid w:val="0014607E"/>
    <w:rsid w:val="00146776"/>
    <w:rsid w:val="00152B04"/>
    <w:rsid w:val="00152E4B"/>
    <w:rsid w:val="00152FBB"/>
    <w:rsid w:val="00152FC0"/>
    <w:rsid w:val="00153FF6"/>
    <w:rsid w:val="0015408D"/>
    <w:rsid w:val="001548EB"/>
    <w:rsid w:val="001549FC"/>
    <w:rsid w:val="00156C01"/>
    <w:rsid w:val="00157BB9"/>
    <w:rsid w:val="00160475"/>
    <w:rsid w:val="00160F23"/>
    <w:rsid w:val="001610BE"/>
    <w:rsid w:val="0016160C"/>
    <w:rsid w:val="00163B07"/>
    <w:rsid w:val="00163CF7"/>
    <w:rsid w:val="00163D84"/>
    <w:rsid w:val="0016633B"/>
    <w:rsid w:val="001678B7"/>
    <w:rsid w:val="00167FB3"/>
    <w:rsid w:val="001702EE"/>
    <w:rsid w:val="0017275F"/>
    <w:rsid w:val="00172A27"/>
    <w:rsid w:val="00172C45"/>
    <w:rsid w:val="001733EC"/>
    <w:rsid w:val="00173856"/>
    <w:rsid w:val="00173AA0"/>
    <w:rsid w:val="00173B39"/>
    <w:rsid w:val="00174D15"/>
    <w:rsid w:val="001769BE"/>
    <w:rsid w:val="00176C54"/>
    <w:rsid w:val="00176D33"/>
    <w:rsid w:val="00177102"/>
    <w:rsid w:val="00177C7F"/>
    <w:rsid w:val="00177D7B"/>
    <w:rsid w:val="001802C5"/>
    <w:rsid w:val="00180BC2"/>
    <w:rsid w:val="00180C14"/>
    <w:rsid w:val="00185F91"/>
    <w:rsid w:val="00186EC5"/>
    <w:rsid w:val="00187161"/>
    <w:rsid w:val="001872FB"/>
    <w:rsid w:val="00187904"/>
    <w:rsid w:val="00190EEA"/>
    <w:rsid w:val="00191981"/>
    <w:rsid w:val="0019269F"/>
    <w:rsid w:val="00192C24"/>
    <w:rsid w:val="00193698"/>
    <w:rsid w:val="00193C79"/>
    <w:rsid w:val="0019495D"/>
    <w:rsid w:val="001955D9"/>
    <w:rsid w:val="00195BEB"/>
    <w:rsid w:val="0019607D"/>
    <w:rsid w:val="0019694F"/>
    <w:rsid w:val="00196AD3"/>
    <w:rsid w:val="00196CE2"/>
    <w:rsid w:val="001A00B3"/>
    <w:rsid w:val="001A01A6"/>
    <w:rsid w:val="001A11E7"/>
    <w:rsid w:val="001A1526"/>
    <w:rsid w:val="001A16ED"/>
    <w:rsid w:val="001A1C72"/>
    <w:rsid w:val="001A1CAC"/>
    <w:rsid w:val="001A2E36"/>
    <w:rsid w:val="001A55EB"/>
    <w:rsid w:val="001A5B06"/>
    <w:rsid w:val="001A5E38"/>
    <w:rsid w:val="001A7C40"/>
    <w:rsid w:val="001B0646"/>
    <w:rsid w:val="001B102F"/>
    <w:rsid w:val="001B2C6C"/>
    <w:rsid w:val="001B3142"/>
    <w:rsid w:val="001B6061"/>
    <w:rsid w:val="001B6520"/>
    <w:rsid w:val="001B67B5"/>
    <w:rsid w:val="001B6B5B"/>
    <w:rsid w:val="001C10F3"/>
    <w:rsid w:val="001C1230"/>
    <w:rsid w:val="001C1F3F"/>
    <w:rsid w:val="001C32A4"/>
    <w:rsid w:val="001C37FC"/>
    <w:rsid w:val="001C3EB4"/>
    <w:rsid w:val="001C4EA9"/>
    <w:rsid w:val="001C4EC2"/>
    <w:rsid w:val="001C5022"/>
    <w:rsid w:val="001C5170"/>
    <w:rsid w:val="001C66F0"/>
    <w:rsid w:val="001C6DB0"/>
    <w:rsid w:val="001C7B85"/>
    <w:rsid w:val="001D1B80"/>
    <w:rsid w:val="001D46C6"/>
    <w:rsid w:val="001D4793"/>
    <w:rsid w:val="001D5EDD"/>
    <w:rsid w:val="001D7336"/>
    <w:rsid w:val="001D74E5"/>
    <w:rsid w:val="001E0F2D"/>
    <w:rsid w:val="001E173C"/>
    <w:rsid w:val="001E3331"/>
    <w:rsid w:val="001E514C"/>
    <w:rsid w:val="001E5385"/>
    <w:rsid w:val="001E783F"/>
    <w:rsid w:val="001E7C38"/>
    <w:rsid w:val="001F12BF"/>
    <w:rsid w:val="001F2E18"/>
    <w:rsid w:val="001F2FD1"/>
    <w:rsid w:val="001F4416"/>
    <w:rsid w:val="001F5C58"/>
    <w:rsid w:val="001F6F68"/>
    <w:rsid w:val="001F7BC4"/>
    <w:rsid w:val="0020008F"/>
    <w:rsid w:val="00207ACA"/>
    <w:rsid w:val="00210318"/>
    <w:rsid w:val="00211308"/>
    <w:rsid w:val="002119BB"/>
    <w:rsid w:val="00211FB9"/>
    <w:rsid w:val="002130ED"/>
    <w:rsid w:val="00213153"/>
    <w:rsid w:val="0021453A"/>
    <w:rsid w:val="002162BB"/>
    <w:rsid w:val="00217360"/>
    <w:rsid w:val="002176CB"/>
    <w:rsid w:val="0022078A"/>
    <w:rsid w:val="00224AAA"/>
    <w:rsid w:val="00225F4A"/>
    <w:rsid w:val="00226024"/>
    <w:rsid w:val="002262BE"/>
    <w:rsid w:val="00230EBB"/>
    <w:rsid w:val="00232060"/>
    <w:rsid w:val="002320B1"/>
    <w:rsid w:val="002321FC"/>
    <w:rsid w:val="002324D1"/>
    <w:rsid w:val="00235ACB"/>
    <w:rsid w:val="00236D5F"/>
    <w:rsid w:val="002378B5"/>
    <w:rsid w:val="00242EE6"/>
    <w:rsid w:val="00246671"/>
    <w:rsid w:val="0024745F"/>
    <w:rsid w:val="00247D85"/>
    <w:rsid w:val="00254BEF"/>
    <w:rsid w:val="00255A6E"/>
    <w:rsid w:val="00255B23"/>
    <w:rsid w:val="00255F94"/>
    <w:rsid w:val="00256B46"/>
    <w:rsid w:val="002605A4"/>
    <w:rsid w:val="00260F20"/>
    <w:rsid w:val="00261A46"/>
    <w:rsid w:val="00261E14"/>
    <w:rsid w:val="00263B7F"/>
    <w:rsid w:val="00265C42"/>
    <w:rsid w:val="002660A7"/>
    <w:rsid w:val="00266E35"/>
    <w:rsid w:val="00267D5C"/>
    <w:rsid w:val="00267F40"/>
    <w:rsid w:val="002706E9"/>
    <w:rsid w:val="002719C1"/>
    <w:rsid w:val="00273053"/>
    <w:rsid w:val="0027328C"/>
    <w:rsid w:val="00273D66"/>
    <w:rsid w:val="002742B4"/>
    <w:rsid w:val="00275DC0"/>
    <w:rsid w:val="0027777F"/>
    <w:rsid w:val="00277CD1"/>
    <w:rsid w:val="0028162E"/>
    <w:rsid w:val="00281C40"/>
    <w:rsid w:val="00282700"/>
    <w:rsid w:val="00282793"/>
    <w:rsid w:val="00284651"/>
    <w:rsid w:val="002874B4"/>
    <w:rsid w:val="00287BA0"/>
    <w:rsid w:val="00287D51"/>
    <w:rsid w:val="00287FFE"/>
    <w:rsid w:val="00290258"/>
    <w:rsid w:val="002939BB"/>
    <w:rsid w:val="00296DBA"/>
    <w:rsid w:val="0029735A"/>
    <w:rsid w:val="00297954"/>
    <w:rsid w:val="002A0AD1"/>
    <w:rsid w:val="002A1101"/>
    <w:rsid w:val="002A25AA"/>
    <w:rsid w:val="002A354C"/>
    <w:rsid w:val="002A380C"/>
    <w:rsid w:val="002A4B32"/>
    <w:rsid w:val="002A6447"/>
    <w:rsid w:val="002A74E0"/>
    <w:rsid w:val="002B00B0"/>
    <w:rsid w:val="002B04D0"/>
    <w:rsid w:val="002B0F92"/>
    <w:rsid w:val="002B1335"/>
    <w:rsid w:val="002B3503"/>
    <w:rsid w:val="002B36EC"/>
    <w:rsid w:val="002B5D89"/>
    <w:rsid w:val="002B7AEA"/>
    <w:rsid w:val="002B7DD0"/>
    <w:rsid w:val="002C04B5"/>
    <w:rsid w:val="002C079A"/>
    <w:rsid w:val="002C0AB6"/>
    <w:rsid w:val="002C13DB"/>
    <w:rsid w:val="002C13F4"/>
    <w:rsid w:val="002C1E2A"/>
    <w:rsid w:val="002C1E65"/>
    <w:rsid w:val="002C2FD0"/>
    <w:rsid w:val="002C335C"/>
    <w:rsid w:val="002C3421"/>
    <w:rsid w:val="002C3840"/>
    <w:rsid w:val="002C385A"/>
    <w:rsid w:val="002C42C7"/>
    <w:rsid w:val="002C45F0"/>
    <w:rsid w:val="002C4E4B"/>
    <w:rsid w:val="002C69BA"/>
    <w:rsid w:val="002C6D94"/>
    <w:rsid w:val="002C73A8"/>
    <w:rsid w:val="002D2062"/>
    <w:rsid w:val="002D270E"/>
    <w:rsid w:val="002D532C"/>
    <w:rsid w:val="002D5E92"/>
    <w:rsid w:val="002D5F98"/>
    <w:rsid w:val="002D673F"/>
    <w:rsid w:val="002D6CC4"/>
    <w:rsid w:val="002D6F9B"/>
    <w:rsid w:val="002D7BBF"/>
    <w:rsid w:val="002D7FE1"/>
    <w:rsid w:val="002E148E"/>
    <w:rsid w:val="002E17BB"/>
    <w:rsid w:val="002E307F"/>
    <w:rsid w:val="002E32C9"/>
    <w:rsid w:val="002E339F"/>
    <w:rsid w:val="002E3478"/>
    <w:rsid w:val="002E3529"/>
    <w:rsid w:val="002E5508"/>
    <w:rsid w:val="002E7D4F"/>
    <w:rsid w:val="002F1699"/>
    <w:rsid w:val="002F1EFE"/>
    <w:rsid w:val="002F4B15"/>
    <w:rsid w:val="002F5009"/>
    <w:rsid w:val="002F5429"/>
    <w:rsid w:val="002F6931"/>
    <w:rsid w:val="00300304"/>
    <w:rsid w:val="00300570"/>
    <w:rsid w:val="00301DD6"/>
    <w:rsid w:val="003020F9"/>
    <w:rsid w:val="003027F2"/>
    <w:rsid w:val="003028F5"/>
    <w:rsid w:val="00302A5A"/>
    <w:rsid w:val="0030318D"/>
    <w:rsid w:val="00303B03"/>
    <w:rsid w:val="00304869"/>
    <w:rsid w:val="00304BB4"/>
    <w:rsid w:val="00305FDF"/>
    <w:rsid w:val="00307784"/>
    <w:rsid w:val="0031082D"/>
    <w:rsid w:val="00310C5A"/>
    <w:rsid w:val="00310DEF"/>
    <w:rsid w:val="00312406"/>
    <w:rsid w:val="00313AEA"/>
    <w:rsid w:val="003148C6"/>
    <w:rsid w:val="00314CE7"/>
    <w:rsid w:val="00315DCB"/>
    <w:rsid w:val="00316364"/>
    <w:rsid w:val="0031681E"/>
    <w:rsid w:val="003177BE"/>
    <w:rsid w:val="00321F58"/>
    <w:rsid w:val="003235BC"/>
    <w:rsid w:val="003254A1"/>
    <w:rsid w:val="003258AF"/>
    <w:rsid w:val="003259C2"/>
    <w:rsid w:val="00326872"/>
    <w:rsid w:val="003279C0"/>
    <w:rsid w:val="00327D48"/>
    <w:rsid w:val="00330F34"/>
    <w:rsid w:val="00331073"/>
    <w:rsid w:val="00331843"/>
    <w:rsid w:val="00331B00"/>
    <w:rsid w:val="003322BB"/>
    <w:rsid w:val="00332356"/>
    <w:rsid w:val="00332446"/>
    <w:rsid w:val="0033279B"/>
    <w:rsid w:val="003332F9"/>
    <w:rsid w:val="0033378B"/>
    <w:rsid w:val="00335775"/>
    <w:rsid w:val="00335BD4"/>
    <w:rsid w:val="00340534"/>
    <w:rsid w:val="003406AD"/>
    <w:rsid w:val="003429E1"/>
    <w:rsid w:val="00343E82"/>
    <w:rsid w:val="00344DB9"/>
    <w:rsid w:val="00344E82"/>
    <w:rsid w:val="003479A5"/>
    <w:rsid w:val="003518AC"/>
    <w:rsid w:val="003534C4"/>
    <w:rsid w:val="00353511"/>
    <w:rsid w:val="003543B2"/>
    <w:rsid w:val="00354D22"/>
    <w:rsid w:val="00356E19"/>
    <w:rsid w:val="003609CF"/>
    <w:rsid w:val="003615F1"/>
    <w:rsid w:val="00361860"/>
    <w:rsid w:val="0036282C"/>
    <w:rsid w:val="003628A6"/>
    <w:rsid w:val="003630CD"/>
    <w:rsid w:val="00363EE4"/>
    <w:rsid w:val="003655A6"/>
    <w:rsid w:val="00365B7C"/>
    <w:rsid w:val="00367309"/>
    <w:rsid w:val="003676CF"/>
    <w:rsid w:val="003700A7"/>
    <w:rsid w:val="00372FA0"/>
    <w:rsid w:val="00373084"/>
    <w:rsid w:val="003760C1"/>
    <w:rsid w:val="00376D65"/>
    <w:rsid w:val="003775A7"/>
    <w:rsid w:val="00377CE4"/>
    <w:rsid w:val="0038002E"/>
    <w:rsid w:val="00380AA2"/>
    <w:rsid w:val="00380C66"/>
    <w:rsid w:val="00380D37"/>
    <w:rsid w:val="00380DAC"/>
    <w:rsid w:val="003814FD"/>
    <w:rsid w:val="00382958"/>
    <w:rsid w:val="00383E8C"/>
    <w:rsid w:val="00385820"/>
    <w:rsid w:val="00385999"/>
    <w:rsid w:val="00386AEF"/>
    <w:rsid w:val="00387FCE"/>
    <w:rsid w:val="00390125"/>
    <w:rsid w:val="00391CF3"/>
    <w:rsid w:val="003937A7"/>
    <w:rsid w:val="0039389A"/>
    <w:rsid w:val="0039417D"/>
    <w:rsid w:val="0039470A"/>
    <w:rsid w:val="00394A9E"/>
    <w:rsid w:val="00395309"/>
    <w:rsid w:val="00396279"/>
    <w:rsid w:val="003970C8"/>
    <w:rsid w:val="0039790C"/>
    <w:rsid w:val="003A0D55"/>
    <w:rsid w:val="003A1FE3"/>
    <w:rsid w:val="003A2869"/>
    <w:rsid w:val="003A3F7B"/>
    <w:rsid w:val="003A4B5F"/>
    <w:rsid w:val="003A4DD1"/>
    <w:rsid w:val="003A6785"/>
    <w:rsid w:val="003B1094"/>
    <w:rsid w:val="003B16C6"/>
    <w:rsid w:val="003B26E5"/>
    <w:rsid w:val="003B2941"/>
    <w:rsid w:val="003B415B"/>
    <w:rsid w:val="003B5387"/>
    <w:rsid w:val="003B6479"/>
    <w:rsid w:val="003C1C3C"/>
    <w:rsid w:val="003C4936"/>
    <w:rsid w:val="003C4C27"/>
    <w:rsid w:val="003C5605"/>
    <w:rsid w:val="003C7B02"/>
    <w:rsid w:val="003C7D88"/>
    <w:rsid w:val="003D0160"/>
    <w:rsid w:val="003D044A"/>
    <w:rsid w:val="003D2047"/>
    <w:rsid w:val="003D25AF"/>
    <w:rsid w:val="003D29AA"/>
    <w:rsid w:val="003D3ADD"/>
    <w:rsid w:val="003D536C"/>
    <w:rsid w:val="003D553D"/>
    <w:rsid w:val="003D6BBB"/>
    <w:rsid w:val="003D7174"/>
    <w:rsid w:val="003D74D5"/>
    <w:rsid w:val="003E052A"/>
    <w:rsid w:val="003E13D5"/>
    <w:rsid w:val="003E1D2F"/>
    <w:rsid w:val="003E3DB6"/>
    <w:rsid w:val="003E47E9"/>
    <w:rsid w:val="003E5409"/>
    <w:rsid w:val="003E6DBA"/>
    <w:rsid w:val="003E6FFF"/>
    <w:rsid w:val="003F25E5"/>
    <w:rsid w:val="003F3D8B"/>
    <w:rsid w:val="003F458B"/>
    <w:rsid w:val="003F4756"/>
    <w:rsid w:val="003F5B09"/>
    <w:rsid w:val="003F6BB6"/>
    <w:rsid w:val="003F7BED"/>
    <w:rsid w:val="00400D10"/>
    <w:rsid w:val="004013DB"/>
    <w:rsid w:val="00401E6A"/>
    <w:rsid w:val="004022A7"/>
    <w:rsid w:val="0040365B"/>
    <w:rsid w:val="00404D59"/>
    <w:rsid w:val="00405EAF"/>
    <w:rsid w:val="00410808"/>
    <w:rsid w:val="00410E79"/>
    <w:rsid w:val="0041112D"/>
    <w:rsid w:val="004113DE"/>
    <w:rsid w:val="00413918"/>
    <w:rsid w:val="00413F18"/>
    <w:rsid w:val="004140E4"/>
    <w:rsid w:val="00414597"/>
    <w:rsid w:val="00414615"/>
    <w:rsid w:val="0041510C"/>
    <w:rsid w:val="0041551B"/>
    <w:rsid w:val="0041635B"/>
    <w:rsid w:val="0041719C"/>
    <w:rsid w:val="004207DD"/>
    <w:rsid w:val="00420FE2"/>
    <w:rsid w:val="004213D5"/>
    <w:rsid w:val="004217A0"/>
    <w:rsid w:val="00421893"/>
    <w:rsid w:val="004222B5"/>
    <w:rsid w:val="00424C27"/>
    <w:rsid w:val="00426039"/>
    <w:rsid w:val="00427BEE"/>
    <w:rsid w:val="00432363"/>
    <w:rsid w:val="00432B38"/>
    <w:rsid w:val="004331B5"/>
    <w:rsid w:val="00433BC9"/>
    <w:rsid w:val="00435876"/>
    <w:rsid w:val="00435B0E"/>
    <w:rsid w:val="00435F9E"/>
    <w:rsid w:val="0043627D"/>
    <w:rsid w:val="0043759C"/>
    <w:rsid w:val="00437ED4"/>
    <w:rsid w:val="004409E5"/>
    <w:rsid w:val="004414F3"/>
    <w:rsid w:val="00441549"/>
    <w:rsid w:val="00441B08"/>
    <w:rsid w:val="00443043"/>
    <w:rsid w:val="0044399E"/>
    <w:rsid w:val="00445CC3"/>
    <w:rsid w:val="00445CF9"/>
    <w:rsid w:val="00447DF2"/>
    <w:rsid w:val="00447EF2"/>
    <w:rsid w:val="0045009E"/>
    <w:rsid w:val="00451441"/>
    <w:rsid w:val="00452C24"/>
    <w:rsid w:val="00452F99"/>
    <w:rsid w:val="00453BC9"/>
    <w:rsid w:val="00455144"/>
    <w:rsid w:val="004551FA"/>
    <w:rsid w:val="0046064A"/>
    <w:rsid w:val="00463E9A"/>
    <w:rsid w:val="00464A5B"/>
    <w:rsid w:val="004653FD"/>
    <w:rsid w:val="00465C76"/>
    <w:rsid w:val="0046608D"/>
    <w:rsid w:val="00466ACB"/>
    <w:rsid w:val="00466BB4"/>
    <w:rsid w:val="0046731C"/>
    <w:rsid w:val="00467E0D"/>
    <w:rsid w:val="004700EF"/>
    <w:rsid w:val="00472709"/>
    <w:rsid w:val="0047373A"/>
    <w:rsid w:val="00473B12"/>
    <w:rsid w:val="00473C06"/>
    <w:rsid w:val="0047550A"/>
    <w:rsid w:val="00475653"/>
    <w:rsid w:val="00475CD3"/>
    <w:rsid w:val="00475FB6"/>
    <w:rsid w:val="004820E4"/>
    <w:rsid w:val="004826C9"/>
    <w:rsid w:val="004828B5"/>
    <w:rsid w:val="00482ED2"/>
    <w:rsid w:val="00486836"/>
    <w:rsid w:val="00486973"/>
    <w:rsid w:val="00487146"/>
    <w:rsid w:val="00487C60"/>
    <w:rsid w:val="00487DE2"/>
    <w:rsid w:val="0049072D"/>
    <w:rsid w:val="00491586"/>
    <w:rsid w:val="00492688"/>
    <w:rsid w:val="00492A5F"/>
    <w:rsid w:val="004942C9"/>
    <w:rsid w:val="004944DF"/>
    <w:rsid w:val="004947A8"/>
    <w:rsid w:val="004949BB"/>
    <w:rsid w:val="00494C6D"/>
    <w:rsid w:val="00495C9F"/>
    <w:rsid w:val="00497186"/>
    <w:rsid w:val="004977F3"/>
    <w:rsid w:val="00497950"/>
    <w:rsid w:val="00497F07"/>
    <w:rsid w:val="004A0B03"/>
    <w:rsid w:val="004A1413"/>
    <w:rsid w:val="004A2916"/>
    <w:rsid w:val="004A2F58"/>
    <w:rsid w:val="004A50C2"/>
    <w:rsid w:val="004A5A53"/>
    <w:rsid w:val="004A76CA"/>
    <w:rsid w:val="004A76D1"/>
    <w:rsid w:val="004B1D0B"/>
    <w:rsid w:val="004B28EC"/>
    <w:rsid w:val="004B2ADC"/>
    <w:rsid w:val="004B3070"/>
    <w:rsid w:val="004B3917"/>
    <w:rsid w:val="004B39AE"/>
    <w:rsid w:val="004B3A52"/>
    <w:rsid w:val="004B40A6"/>
    <w:rsid w:val="004B5AAD"/>
    <w:rsid w:val="004B6346"/>
    <w:rsid w:val="004B6CBB"/>
    <w:rsid w:val="004B6D57"/>
    <w:rsid w:val="004C017F"/>
    <w:rsid w:val="004C057A"/>
    <w:rsid w:val="004C07BA"/>
    <w:rsid w:val="004C1007"/>
    <w:rsid w:val="004C18D9"/>
    <w:rsid w:val="004C1D88"/>
    <w:rsid w:val="004C1EEC"/>
    <w:rsid w:val="004C5E87"/>
    <w:rsid w:val="004C748A"/>
    <w:rsid w:val="004D0F3A"/>
    <w:rsid w:val="004D11A6"/>
    <w:rsid w:val="004D160F"/>
    <w:rsid w:val="004D168B"/>
    <w:rsid w:val="004D2BD3"/>
    <w:rsid w:val="004D36DC"/>
    <w:rsid w:val="004D3813"/>
    <w:rsid w:val="004D3F28"/>
    <w:rsid w:val="004D464F"/>
    <w:rsid w:val="004D46DF"/>
    <w:rsid w:val="004D4B9D"/>
    <w:rsid w:val="004D5251"/>
    <w:rsid w:val="004D5BAD"/>
    <w:rsid w:val="004D624D"/>
    <w:rsid w:val="004D64A2"/>
    <w:rsid w:val="004D6C05"/>
    <w:rsid w:val="004D6D96"/>
    <w:rsid w:val="004E0BAD"/>
    <w:rsid w:val="004E0D29"/>
    <w:rsid w:val="004E15FE"/>
    <w:rsid w:val="004E1765"/>
    <w:rsid w:val="004E1E0A"/>
    <w:rsid w:val="004E2F68"/>
    <w:rsid w:val="004E2FAF"/>
    <w:rsid w:val="004E4284"/>
    <w:rsid w:val="004E4D1C"/>
    <w:rsid w:val="004E5174"/>
    <w:rsid w:val="004E56D2"/>
    <w:rsid w:val="004E5CEF"/>
    <w:rsid w:val="004E65E6"/>
    <w:rsid w:val="004E6DF1"/>
    <w:rsid w:val="004F0A1D"/>
    <w:rsid w:val="004F13BB"/>
    <w:rsid w:val="004F1A66"/>
    <w:rsid w:val="004F1F49"/>
    <w:rsid w:val="004F25DC"/>
    <w:rsid w:val="004F32D0"/>
    <w:rsid w:val="004F6289"/>
    <w:rsid w:val="004F74D0"/>
    <w:rsid w:val="005022FD"/>
    <w:rsid w:val="0050300D"/>
    <w:rsid w:val="005040A2"/>
    <w:rsid w:val="00506466"/>
    <w:rsid w:val="00506860"/>
    <w:rsid w:val="005074C9"/>
    <w:rsid w:val="00507676"/>
    <w:rsid w:val="005077E3"/>
    <w:rsid w:val="00510731"/>
    <w:rsid w:val="005131A7"/>
    <w:rsid w:val="00513C12"/>
    <w:rsid w:val="00513CA2"/>
    <w:rsid w:val="00515D90"/>
    <w:rsid w:val="00516F9B"/>
    <w:rsid w:val="00521D41"/>
    <w:rsid w:val="00523C62"/>
    <w:rsid w:val="00523CB3"/>
    <w:rsid w:val="005268A1"/>
    <w:rsid w:val="00526923"/>
    <w:rsid w:val="00530676"/>
    <w:rsid w:val="00531899"/>
    <w:rsid w:val="00531B3C"/>
    <w:rsid w:val="00532404"/>
    <w:rsid w:val="00532EB7"/>
    <w:rsid w:val="00533F9B"/>
    <w:rsid w:val="00534884"/>
    <w:rsid w:val="00534B79"/>
    <w:rsid w:val="00535313"/>
    <w:rsid w:val="005357FD"/>
    <w:rsid w:val="00535893"/>
    <w:rsid w:val="00535E89"/>
    <w:rsid w:val="005363EA"/>
    <w:rsid w:val="0053679C"/>
    <w:rsid w:val="00536AEA"/>
    <w:rsid w:val="0054069F"/>
    <w:rsid w:val="0054118E"/>
    <w:rsid w:val="005447A4"/>
    <w:rsid w:val="00544AB9"/>
    <w:rsid w:val="00545202"/>
    <w:rsid w:val="00545569"/>
    <w:rsid w:val="00550703"/>
    <w:rsid w:val="00550A39"/>
    <w:rsid w:val="005513A8"/>
    <w:rsid w:val="005516CF"/>
    <w:rsid w:val="00551E0B"/>
    <w:rsid w:val="00551F45"/>
    <w:rsid w:val="005530D6"/>
    <w:rsid w:val="00553A11"/>
    <w:rsid w:val="00553B19"/>
    <w:rsid w:val="00554D55"/>
    <w:rsid w:val="005554F6"/>
    <w:rsid w:val="00555544"/>
    <w:rsid w:val="005576BE"/>
    <w:rsid w:val="00560382"/>
    <w:rsid w:val="00560D52"/>
    <w:rsid w:val="00561732"/>
    <w:rsid w:val="0056216B"/>
    <w:rsid w:val="00563B60"/>
    <w:rsid w:val="0056412C"/>
    <w:rsid w:val="00564586"/>
    <w:rsid w:val="00565900"/>
    <w:rsid w:val="00566B0E"/>
    <w:rsid w:val="00566EC8"/>
    <w:rsid w:val="00567177"/>
    <w:rsid w:val="0057192F"/>
    <w:rsid w:val="005727E7"/>
    <w:rsid w:val="00572F4C"/>
    <w:rsid w:val="00573830"/>
    <w:rsid w:val="00573976"/>
    <w:rsid w:val="0057441B"/>
    <w:rsid w:val="005746B5"/>
    <w:rsid w:val="00575D88"/>
    <w:rsid w:val="005766B6"/>
    <w:rsid w:val="00577C4A"/>
    <w:rsid w:val="00580024"/>
    <w:rsid w:val="005811FD"/>
    <w:rsid w:val="005832FC"/>
    <w:rsid w:val="005853C2"/>
    <w:rsid w:val="0058707A"/>
    <w:rsid w:val="0059004B"/>
    <w:rsid w:val="0059012D"/>
    <w:rsid w:val="00590385"/>
    <w:rsid w:val="0059095A"/>
    <w:rsid w:val="00590CFC"/>
    <w:rsid w:val="00591D34"/>
    <w:rsid w:val="00591F2E"/>
    <w:rsid w:val="00592C45"/>
    <w:rsid w:val="00593130"/>
    <w:rsid w:val="00593242"/>
    <w:rsid w:val="00593678"/>
    <w:rsid w:val="00596CAD"/>
    <w:rsid w:val="00597FB9"/>
    <w:rsid w:val="005A4D37"/>
    <w:rsid w:val="005A5B40"/>
    <w:rsid w:val="005B09DE"/>
    <w:rsid w:val="005B0E41"/>
    <w:rsid w:val="005B4BAF"/>
    <w:rsid w:val="005B52B4"/>
    <w:rsid w:val="005B62B0"/>
    <w:rsid w:val="005B6582"/>
    <w:rsid w:val="005C04B6"/>
    <w:rsid w:val="005C0D39"/>
    <w:rsid w:val="005C1E01"/>
    <w:rsid w:val="005C36D0"/>
    <w:rsid w:val="005C4F2C"/>
    <w:rsid w:val="005C4FBB"/>
    <w:rsid w:val="005C73EE"/>
    <w:rsid w:val="005D000A"/>
    <w:rsid w:val="005D38E8"/>
    <w:rsid w:val="005D3B4B"/>
    <w:rsid w:val="005D527E"/>
    <w:rsid w:val="005D5879"/>
    <w:rsid w:val="005E0C53"/>
    <w:rsid w:val="005E13AE"/>
    <w:rsid w:val="005E13D0"/>
    <w:rsid w:val="005E54A2"/>
    <w:rsid w:val="005E6939"/>
    <w:rsid w:val="005E6E5A"/>
    <w:rsid w:val="005E7EEC"/>
    <w:rsid w:val="005F0197"/>
    <w:rsid w:val="005F0F9C"/>
    <w:rsid w:val="005F117E"/>
    <w:rsid w:val="005F1C5F"/>
    <w:rsid w:val="005F1EB4"/>
    <w:rsid w:val="005F25B8"/>
    <w:rsid w:val="005F283D"/>
    <w:rsid w:val="005F2989"/>
    <w:rsid w:val="005F31FD"/>
    <w:rsid w:val="005F35EC"/>
    <w:rsid w:val="005F5D0D"/>
    <w:rsid w:val="005F601F"/>
    <w:rsid w:val="005F680E"/>
    <w:rsid w:val="005F695F"/>
    <w:rsid w:val="005F746F"/>
    <w:rsid w:val="006004A1"/>
    <w:rsid w:val="00600CCA"/>
    <w:rsid w:val="006024DB"/>
    <w:rsid w:val="00606051"/>
    <w:rsid w:val="006104EA"/>
    <w:rsid w:val="0061066D"/>
    <w:rsid w:val="00611EDD"/>
    <w:rsid w:val="006121F9"/>
    <w:rsid w:val="00615CD4"/>
    <w:rsid w:val="006176CF"/>
    <w:rsid w:val="00622BCB"/>
    <w:rsid w:val="0062379D"/>
    <w:rsid w:val="00623B22"/>
    <w:rsid w:val="00624EF3"/>
    <w:rsid w:val="006250E2"/>
    <w:rsid w:val="00625314"/>
    <w:rsid w:val="00626834"/>
    <w:rsid w:val="00626D43"/>
    <w:rsid w:val="00627585"/>
    <w:rsid w:val="0063187E"/>
    <w:rsid w:val="00632622"/>
    <w:rsid w:val="00632BAF"/>
    <w:rsid w:val="006343E2"/>
    <w:rsid w:val="006346E6"/>
    <w:rsid w:val="00634867"/>
    <w:rsid w:val="006353C8"/>
    <w:rsid w:val="00635BE4"/>
    <w:rsid w:val="0063672C"/>
    <w:rsid w:val="00637CAB"/>
    <w:rsid w:val="006405F7"/>
    <w:rsid w:val="00642649"/>
    <w:rsid w:val="00643BC6"/>
    <w:rsid w:val="006441C5"/>
    <w:rsid w:val="00646CD3"/>
    <w:rsid w:val="0065016D"/>
    <w:rsid w:val="00651772"/>
    <w:rsid w:val="00652792"/>
    <w:rsid w:val="00652EDA"/>
    <w:rsid w:val="00654682"/>
    <w:rsid w:val="006564A9"/>
    <w:rsid w:val="00656E74"/>
    <w:rsid w:val="00664450"/>
    <w:rsid w:val="0066461D"/>
    <w:rsid w:val="00665015"/>
    <w:rsid w:val="00667D18"/>
    <w:rsid w:val="00670587"/>
    <w:rsid w:val="00670E0A"/>
    <w:rsid w:val="00670E9E"/>
    <w:rsid w:val="00670F2E"/>
    <w:rsid w:val="00671522"/>
    <w:rsid w:val="00671D29"/>
    <w:rsid w:val="00673213"/>
    <w:rsid w:val="006734F3"/>
    <w:rsid w:val="00673DC3"/>
    <w:rsid w:val="00674CE6"/>
    <w:rsid w:val="00675B9C"/>
    <w:rsid w:val="00676922"/>
    <w:rsid w:val="006804E5"/>
    <w:rsid w:val="00680775"/>
    <w:rsid w:val="0068132D"/>
    <w:rsid w:val="00682B91"/>
    <w:rsid w:val="00683C03"/>
    <w:rsid w:val="00683CB6"/>
    <w:rsid w:val="006864EF"/>
    <w:rsid w:val="00686BAD"/>
    <w:rsid w:val="006877DF"/>
    <w:rsid w:val="00687E8B"/>
    <w:rsid w:val="00690084"/>
    <w:rsid w:val="006901A1"/>
    <w:rsid w:val="0069043B"/>
    <w:rsid w:val="00690812"/>
    <w:rsid w:val="006912E4"/>
    <w:rsid w:val="00692507"/>
    <w:rsid w:val="00692A6E"/>
    <w:rsid w:val="0069533C"/>
    <w:rsid w:val="00695B34"/>
    <w:rsid w:val="00695F1B"/>
    <w:rsid w:val="0069739D"/>
    <w:rsid w:val="00697ECF"/>
    <w:rsid w:val="006A227A"/>
    <w:rsid w:val="006A2683"/>
    <w:rsid w:val="006A406A"/>
    <w:rsid w:val="006A4877"/>
    <w:rsid w:val="006A685B"/>
    <w:rsid w:val="006A7E23"/>
    <w:rsid w:val="006B1607"/>
    <w:rsid w:val="006B1816"/>
    <w:rsid w:val="006B223D"/>
    <w:rsid w:val="006B2A9A"/>
    <w:rsid w:val="006B30F9"/>
    <w:rsid w:val="006B3E55"/>
    <w:rsid w:val="006B3EA1"/>
    <w:rsid w:val="006B3F74"/>
    <w:rsid w:val="006B40C4"/>
    <w:rsid w:val="006B4170"/>
    <w:rsid w:val="006B6099"/>
    <w:rsid w:val="006B75A2"/>
    <w:rsid w:val="006B7BBF"/>
    <w:rsid w:val="006C23F9"/>
    <w:rsid w:val="006C2492"/>
    <w:rsid w:val="006C281B"/>
    <w:rsid w:val="006C2B12"/>
    <w:rsid w:val="006C388F"/>
    <w:rsid w:val="006C395A"/>
    <w:rsid w:val="006C5137"/>
    <w:rsid w:val="006C589C"/>
    <w:rsid w:val="006C6DFF"/>
    <w:rsid w:val="006C6EBB"/>
    <w:rsid w:val="006D09EF"/>
    <w:rsid w:val="006D1915"/>
    <w:rsid w:val="006D2E73"/>
    <w:rsid w:val="006D36B5"/>
    <w:rsid w:val="006D4807"/>
    <w:rsid w:val="006D4986"/>
    <w:rsid w:val="006D5358"/>
    <w:rsid w:val="006D7A60"/>
    <w:rsid w:val="006D7CA5"/>
    <w:rsid w:val="006D7ECE"/>
    <w:rsid w:val="006E067F"/>
    <w:rsid w:val="006E0E80"/>
    <w:rsid w:val="006E0EDE"/>
    <w:rsid w:val="006E18DA"/>
    <w:rsid w:val="006E4AFF"/>
    <w:rsid w:val="006E5B58"/>
    <w:rsid w:val="006E5F63"/>
    <w:rsid w:val="006E640A"/>
    <w:rsid w:val="006E6E46"/>
    <w:rsid w:val="006E75C2"/>
    <w:rsid w:val="006E77FD"/>
    <w:rsid w:val="006F14A7"/>
    <w:rsid w:val="006F2787"/>
    <w:rsid w:val="006F65CC"/>
    <w:rsid w:val="006F6B49"/>
    <w:rsid w:val="006F7E0C"/>
    <w:rsid w:val="00700494"/>
    <w:rsid w:val="007012B1"/>
    <w:rsid w:val="007024B6"/>
    <w:rsid w:val="00703F01"/>
    <w:rsid w:val="00704749"/>
    <w:rsid w:val="00705724"/>
    <w:rsid w:val="00706045"/>
    <w:rsid w:val="00706188"/>
    <w:rsid w:val="007062E4"/>
    <w:rsid w:val="00706428"/>
    <w:rsid w:val="007068C8"/>
    <w:rsid w:val="00710BD0"/>
    <w:rsid w:val="0071225B"/>
    <w:rsid w:val="00712701"/>
    <w:rsid w:val="00715AC3"/>
    <w:rsid w:val="00715D36"/>
    <w:rsid w:val="00715EBC"/>
    <w:rsid w:val="007168F4"/>
    <w:rsid w:val="00716AC2"/>
    <w:rsid w:val="00716AC5"/>
    <w:rsid w:val="00722898"/>
    <w:rsid w:val="007243EE"/>
    <w:rsid w:val="00725399"/>
    <w:rsid w:val="007254D6"/>
    <w:rsid w:val="00725B40"/>
    <w:rsid w:val="00727034"/>
    <w:rsid w:val="007303C1"/>
    <w:rsid w:val="0073109C"/>
    <w:rsid w:val="00732876"/>
    <w:rsid w:val="00734DBC"/>
    <w:rsid w:val="007360AA"/>
    <w:rsid w:val="00736EFD"/>
    <w:rsid w:val="00737A50"/>
    <w:rsid w:val="00737CD3"/>
    <w:rsid w:val="00740755"/>
    <w:rsid w:val="00740C91"/>
    <w:rsid w:val="007418DD"/>
    <w:rsid w:val="00744D7D"/>
    <w:rsid w:val="007453C4"/>
    <w:rsid w:val="00745A6C"/>
    <w:rsid w:val="00745C19"/>
    <w:rsid w:val="0074611F"/>
    <w:rsid w:val="00752A8F"/>
    <w:rsid w:val="007530C7"/>
    <w:rsid w:val="007534CC"/>
    <w:rsid w:val="0075391A"/>
    <w:rsid w:val="00753E0C"/>
    <w:rsid w:val="0075552F"/>
    <w:rsid w:val="00756E7C"/>
    <w:rsid w:val="00757752"/>
    <w:rsid w:val="00764BC5"/>
    <w:rsid w:val="00765223"/>
    <w:rsid w:val="00765326"/>
    <w:rsid w:val="00767384"/>
    <w:rsid w:val="00767D3F"/>
    <w:rsid w:val="007705C7"/>
    <w:rsid w:val="00771BB8"/>
    <w:rsid w:val="00772B55"/>
    <w:rsid w:val="00774E6E"/>
    <w:rsid w:val="00775EBF"/>
    <w:rsid w:val="0077758F"/>
    <w:rsid w:val="0078207D"/>
    <w:rsid w:val="007858FC"/>
    <w:rsid w:val="00786141"/>
    <w:rsid w:val="00787B4B"/>
    <w:rsid w:val="00787B81"/>
    <w:rsid w:val="0079005A"/>
    <w:rsid w:val="007916F1"/>
    <w:rsid w:val="00793048"/>
    <w:rsid w:val="00793A7F"/>
    <w:rsid w:val="007944AC"/>
    <w:rsid w:val="0079544C"/>
    <w:rsid w:val="00795D11"/>
    <w:rsid w:val="00796D55"/>
    <w:rsid w:val="00797BB7"/>
    <w:rsid w:val="007A1943"/>
    <w:rsid w:val="007A4EE3"/>
    <w:rsid w:val="007A631C"/>
    <w:rsid w:val="007A7B56"/>
    <w:rsid w:val="007B2CAB"/>
    <w:rsid w:val="007B32B5"/>
    <w:rsid w:val="007B4EA3"/>
    <w:rsid w:val="007B4EAC"/>
    <w:rsid w:val="007B5A3B"/>
    <w:rsid w:val="007B7AA0"/>
    <w:rsid w:val="007C03B6"/>
    <w:rsid w:val="007C0CE0"/>
    <w:rsid w:val="007C0F8F"/>
    <w:rsid w:val="007C24D8"/>
    <w:rsid w:val="007C27FB"/>
    <w:rsid w:val="007C2B78"/>
    <w:rsid w:val="007C2C1B"/>
    <w:rsid w:val="007C31CE"/>
    <w:rsid w:val="007C3A46"/>
    <w:rsid w:val="007C4218"/>
    <w:rsid w:val="007C6174"/>
    <w:rsid w:val="007C6226"/>
    <w:rsid w:val="007C62EE"/>
    <w:rsid w:val="007C6F6A"/>
    <w:rsid w:val="007C70B0"/>
    <w:rsid w:val="007D04FE"/>
    <w:rsid w:val="007D3170"/>
    <w:rsid w:val="007D32EC"/>
    <w:rsid w:val="007D4061"/>
    <w:rsid w:val="007D4F47"/>
    <w:rsid w:val="007D52D6"/>
    <w:rsid w:val="007D632C"/>
    <w:rsid w:val="007D7A46"/>
    <w:rsid w:val="007E074F"/>
    <w:rsid w:val="007E0AAD"/>
    <w:rsid w:val="007E0E56"/>
    <w:rsid w:val="007E1E00"/>
    <w:rsid w:val="007E58C1"/>
    <w:rsid w:val="007E61E7"/>
    <w:rsid w:val="007E6A77"/>
    <w:rsid w:val="007E6F4F"/>
    <w:rsid w:val="007E7597"/>
    <w:rsid w:val="007E778F"/>
    <w:rsid w:val="007F0337"/>
    <w:rsid w:val="007F2341"/>
    <w:rsid w:val="007F2F05"/>
    <w:rsid w:val="007F5024"/>
    <w:rsid w:val="007F551B"/>
    <w:rsid w:val="007F757A"/>
    <w:rsid w:val="007F75E7"/>
    <w:rsid w:val="007F7DFB"/>
    <w:rsid w:val="008003DD"/>
    <w:rsid w:val="00801407"/>
    <w:rsid w:val="008018F3"/>
    <w:rsid w:val="00801E2E"/>
    <w:rsid w:val="008035BF"/>
    <w:rsid w:val="008043A4"/>
    <w:rsid w:val="008051C6"/>
    <w:rsid w:val="0080552D"/>
    <w:rsid w:val="0080560D"/>
    <w:rsid w:val="00810364"/>
    <w:rsid w:val="00810897"/>
    <w:rsid w:val="00810E7C"/>
    <w:rsid w:val="00811A25"/>
    <w:rsid w:val="00811FB1"/>
    <w:rsid w:val="0081204D"/>
    <w:rsid w:val="00812A08"/>
    <w:rsid w:val="00814111"/>
    <w:rsid w:val="008146C0"/>
    <w:rsid w:val="008157D1"/>
    <w:rsid w:val="00815C84"/>
    <w:rsid w:val="00815EDF"/>
    <w:rsid w:val="0081619F"/>
    <w:rsid w:val="00816C84"/>
    <w:rsid w:val="00820DF9"/>
    <w:rsid w:val="008210B2"/>
    <w:rsid w:val="00821AB9"/>
    <w:rsid w:val="008230E0"/>
    <w:rsid w:val="0082325D"/>
    <w:rsid w:val="00823EA0"/>
    <w:rsid w:val="00825419"/>
    <w:rsid w:val="00827804"/>
    <w:rsid w:val="00827BF3"/>
    <w:rsid w:val="00827D4F"/>
    <w:rsid w:val="00831B3A"/>
    <w:rsid w:val="00831B84"/>
    <w:rsid w:val="00832D11"/>
    <w:rsid w:val="00834018"/>
    <w:rsid w:val="00834F72"/>
    <w:rsid w:val="00835298"/>
    <w:rsid w:val="008374C4"/>
    <w:rsid w:val="00837897"/>
    <w:rsid w:val="008379F4"/>
    <w:rsid w:val="0084006D"/>
    <w:rsid w:val="00840C37"/>
    <w:rsid w:val="00840D21"/>
    <w:rsid w:val="0084293B"/>
    <w:rsid w:val="008450B1"/>
    <w:rsid w:val="008456F0"/>
    <w:rsid w:val="0084627B"/>
    <w:rsid w:val="008466A3"/>
    <w:rsid w:val="00847162"/>
    <w:rsid w:val="008517B6"/>
    <w:rsid w:val="00852F36"/>
    <w:rsid w:val="0085382E"/>
    <w:rsid w:val="00853A87"/>
    <w:rsid w:val="00853C6D"/>
    <w:rsid w:val="00853EE2"/>
    <w:rsid w:val="00853F86"/>
    <w:rsid w:val="008559BC"/>
    <w:rsid w:val="00855CDA"/>
    <w:rsid w:val="008578C4"/>
    <w:rsid w:val="00857BC5"/>
    <w:rsid w:val="00857EE0"/>
    <w:rsid w:val="00857FD5"/>
    <w:rsid w:val="00862474"/>
    <w:rsid w:val="0086254D"/>
    <w:rsid w:val="00863012"/>
    <w:rsid w:val="00864C00"/>
    <w:rsid w:val="008678EB"/>
    <w:rsid w:val="00870354"/>
    <w:rsid w:val="008708E5"/>
    <w:rsid w:val="00871456"/>
    <w:rsid w:val="00872725"/>
    <w:rsid w:val="00872A24"/>
    <w:rsid w:val="0087495B"/>
    <w:rsid w:val="00874D45"/>
    <w:rsid w:val="00875D4C"/>
    <w:rsid w:val="00875DA5"/>
    <w:rsid w:val="008764E2"/>
    <w:rsid w:val="00881F3E"/>
    <w:rsid w:val="00883404"/>
    <w:rsid w:val="00883531"/>
    <w:rsid w:val="00883BCD"/>
    <w:rsid w:val="0088424F"/>
    <w:rsid w:val="00886F6A"/>
    <w:rsid w:val="008901A5"/>
    <w:rsid w:val="008915DB"/>
    <w:rsid w:val="008916F5"/>
    <w:rsid w:val="00892F1A"/>
    <w:rsid w:val="00895EE3"/>
    <w:rsid w:val="00895EEE"/>
    <w:rsid w:val="0089610B"/>
    <w:rsid w:val="008967EF"/>
    <w:rsid w:val="008979B1"/>
    <w:rsid w:val="008A1783"/>
    <w:rsid w:val="008A1FC5"/>
    <w:rsid w:val="008A2B7A"/>
    <w:rsid w:val="008A30F7"/>
    <w:rsid w:val="008A5CB9"/>
    <w:rsid w:val="008A6C7A"/>
    <w:rsid w:val="008A7AF2"/>
    <w:rsid w:val="008B1604"/>
    <w:rsid w:val="008B3D5D"/>
    <w:rsid w:val="008B4756"/>
    <w:rsid w:val="008B67A0"/>
    <w:rsid w:val="008B67FD"/>
    <w:rsid w:val="008C1A01"/>
    <w:rsid w:val="008C3F16"/>
    <w:rsid w:val="008C42FA"/>
    <w:rsid w:val="008C7AEA"/>
    <w:rsid w:val="008D1C34"/>
    <w:rsid w:val="008D1E4A"/>
    <w:rsid w:val="008D3D51"/>
    <w:rsid w:val="008D4D80"/>
    <w:rsid w:val="008D5A25"/>
    <w:rsid w:val="008D6D30"/>
    <w:rsid w:val="008D6D48"/>
    <w:rsid w:val="008E02D8"/>
    <w:rsid w:val="008E0447"/>
    <w:rsid w:val="008E0712"/>
    <w:rsid w:val="008E2A3A"/>
    <w:rsid w:val="008E2BB6"/>
    <w:rsid w:val="008E55C8"/>
    <w:rsid w:val="008E5D22"/>
    <w:rsid w:val="008E726B"/>
    <w:rsid w:val="008E774D"/>
    <w:rsid w:val="008F30F6"/>
    <w:rsid w:val="008F41FD"/>
    <w:rsid w:val="008F5475"/>
    <w:rsid w:val="008F768A"/>
    <w:rsid w:val="008F7D16"/>
    <w:rsid w:val="008F7EA3"/>
    <w:rsid w:val="009013FE"/>
    <w:rsid w:val="009016B0"/>
    <w:rsid w:val="00901C90"/>
    <w:rsid w:val="00902E40"/>
    <w:rsid w:val="00902F23"/>
    <w:rsid w:val="00902F98"/>
    <w:rsid w:val="0090469C"/>
    <w:rsid w:val="00905705"/>
    <w:rsid w:val="009061B2"/>
    <w:rsid w:val="00906E11"/>
    <w:rsid w:val="009079CB"/>
    <w:rsid w:val="009109DB"/>
    <w:rsid w:val="00910E59"/>
    <w:rsid w:val="00911D45"/>
    <w:rsid w:val="009123C9"/>
    <w:rsid w:val="00914163"/>
    <w:rsid w:val="00916000"/>
    <w:rsid w:val="00916CCD"/>
    <w:rsid w:val="009170A7"/>
    <w:rsid w:val="009179FC"/>
    <w:rsid w:val="0092027E"/>
    <w:rsid w:val="009208F7"/>
    <w:rsid w:val="00923D69"/>
    <w:rsid w:val="009241A7"/>
    <w:rsid w:val="00924278"/>
    <w:rsid w:val="009242BC"/>
    <w:rsid w:val="0092464C"/>
    <w:rsid w:val="009247C6"/>
    <w:rsid w:val="00924D82"/>
    <w:rsid w:val="00926EC6"/>
    <w:rsid w:val="009310DE"/>
    <w:rsid w:val="009314BF"/>
    <w:rsid w:val="00931801"/>
    <w:rsid w:val="0093213B"/>
    <w:rsid w:val="009348CF"/>
    <w:rsid w:val="009366A0"/>
    <w:rsid w:val="0093682F"/>
    <w:rsid w:val="009370E1"/>
    <w:rsid w:val="00937622"/>
    <w:rsid w:val="00937A81"/>
    <w:rsid w:val="00937C61"/>
    <w:rsid w:val="00941AA2"/>
    <w:rsid w:val="00941B5D"/>
    <w:rsid w:val="00943302"/>
    <w:rsid w:val="009438A1"/>
    <w:rsid w:val="0094474B"/>
    <w:rsid w:val="00946A1E"/>
    <w:rsid w:val="00947B41"/>
    <w:rsid w:val="00947BCF"/>
    <w:rsid w:val="009508F6"/>
    <w:rsid w:val="00952120"/>
    <w:rsid w:val="009534FE"/>
    <w:rsid w:val="009536B9"/>
    <w:rsid w:val="00954696"/>
    <w:rsid w:val="009558D4"/>
    <w:rsid w:val="0095630C"/>
    <w:rsid w:val="009574AD"/>
    <w:rsid w:val="0096129F"/>
    <w:rsid w:val="00962A79"/>
    <w:rsid w:val="00962A82"/>
    <w:rsid w:val="009634F8"/>
    <w:rsid w:val="0096381D"/>
    <w:rsid w:val="00963DC8"/>
    <w:rsid w:val="0096455A"/>
    <w:rsid w:val="00967109"/>
    <w:rsid w:val="00967166"/>
    <w:rsid w:val="00967421"/>
    <w:rsid w:val="00967858"/>
    <w:rsid w:val="00967F41"/>
    <w:rsid w:val="00970B57"/>
    <w:rsid w:val="00970C74"/>
    <w:rsid w:val="00972A41"/>
    <w:rsid w:val="00972D28"/>
    <w:rsid w:val="00974CB9"/>
    <w:rsid w:val="00974F7D"/>
    <w:rsid w:val="0097519E"/>
    <w:rsid w:val="009753AA"/>
    <w:rsid w:val="00976875"/>
    <w:rsid w:val="00977051"/>
    <w:rsid w:val="00980323"/>
    <w:rsid w:val="0098109C"/>
    <w:rsid w:val="0098181A"/>
    <w:rsid w:val="009820DB"/>
    <w:rsid w:val="00983256"/>
    <w:rsid w:val="00983E39"/>
    <w:rsid w:val="00986426"/>
    <w:rsid w:val="00986CA7"/>
    <w:rsid w:val="00990065"/>
    <w:rsid w:val="009917C5"/>
    <w:rsid w:val="00992D2F"/>
    <w:rsid w:val="0099497D"/>
    <w:rsid w:val="009950E8"/>
    <w:rsid w:val="0099675C"/>
    <w:rsid w:val="00996F99"/>
    <w:rsid w:val="009977A9"/>
    <w:rsid w:val="00997A19"/>
    <w:rsid w:val="009A017C"/>
    <w:rsid w:val="009A0A65"/>
    <w:rsid w:val="009A0A82"/>
    <w:rsid w:val="009A12E9"/>
    <w:rsid w:val="009A23F5"/>
    <w:rsid w:val="009A3DA5"/>
    <w:rsid w:val="009A5092"/>
    <w:rsid w:val="009A5821"/>
    <w:rsid w:val="009A5C78"/>
    <w:rsid w:val="009A6849"/>
    <w:rsid w:val="009B018F"/>
    <w:rsid w:val="009B0E43"/>
    <w:rsid w:val="009B1C8E"/>
    <w:rsid w:val="009B2DA0"/>
    <w:rsid w:val="009B2F31"/>
    <w:rsid w:val="009B30C6"/>
    <w:rsid w:val="009B3E60"/>
    <w:rsid w:val="009B40A3"/>
    <w:rsid w:val="009B5FA8"/>
    <w:rsid w:val="009B6459"/>
    <w:rsid w:val="009B655F"/>
    <w:rsid w:val="009B6914"/>
    <w:rsid w:val="009C0CF4"/>
    <w:rsid w:val="009C2327"/>
    <w:rsid w:val="009C2999"/>
    <w:rsid w:val="009C3060"/>
    <w:rsid w:val="009C3A27"/>
    <w:rsid w:val="009C4F85"/>
    <w:rsid w:val="009C64D9"/>
    <w:rsid w:val="009D09F2"/>
    <w:rsid w:val="009D3383"/>
    <w:rsid w:val="009D6870"/>
    <w:rsid w:val="009D78CF"/>
    <w:rsid w:val="009E0EA2"/>
    <w:rsid w:val="009E22BC"/>
    <w:rsid w:val="009E3F57"/>
    <w:rsid w:val="009E4470"/>
    <w:rsid w:val="009E5BB4"/>
    <w:rsid w:val="009E5F00"/>
    <w:rsid w:val="009E655B"/>
    <w:rsid w:val="009E6B69"/>
    <w:rsid w:val="009E75FF"/>
    <w:rsid w:val="009E7C0A"/>
    <w:rsid w:val="009E7C46"/>
    <w:rsid w:val="009F047F"/>
    <w:rsid w:val="009F04B1"/>
    <w:rsid w:val="009F0F91"/>
    <w:rsid w:val="009F29CB"/>
    <w:rsid w:val="009F30DD"/>
    <w:rsid w:val="009F3122"/>
    <w:rsid w:val="009F3B8D"/>
    <w:rsid w:val="009F46F0"/>
    <w:rsid w:val="009F4D80"/>
    <w:rsid w:val="009F53E2"/>
    <w:rsid w:val="009F5DC6"/>
    <w:rsid w:val="009F7A1C"/>
    <w:rsid w:val="009F7B2B"/>
    <w:rsid w:val="00A02005"/>
    <w:rsid w:val="00A030C7"/>
    <w:rsid w:val="00A03241"/>
    <w:rsid w:val="00A04871"/>
    <w:rsid w:val="00A0594E"/>
    <w:rsid w:val="00A06620"/>
    <w:rsid w:val="00A06F97"/>
    <w:rsid w:val="00A10FFA"/>
    <w:rsid w:val="00A11069"/>
    <w:rsid w:val="00A11103"/>
    <w:rsid w:val="00A11826"/>
    <w:rsid w:val="00A13969"/>
    <w:rsid w:val="00A14965"/>
    <w:rsid w:val="00A14B76"/>
    <w:rsid w:val="00A16954"/>
    <w:rsid w:val="00A16956"/>
    <w:rsid w:val="00A16B29"/>
    <w:rsid w:val="00A211F8"/>
    <w:rsid w:val="00A21616"/>
    <w:rsid w:val="00A234A2"/>
    <w:rsid w:val="00A2502B"/>
    <w:rsid w:val="00A25D5B"/>
    <w:rsid w:val="00A263AE"/>
    <w:rsid w:val="00A267E1"/>
    <w:rsid w:val="00A30288"/>
    <w:rsid w:val="00A313A6"/>
    <w:rsid w:val="00A33183"/>
    <w:rsid w:val="00A33892"/>
    <w:rsid w:val="00A3647E"/>
    <w:rsid w:val="00A37521"/>
    <w:rsid w:val="00A4052D"/>
    <w:rsid w:val="00A417E5"/>
    <w:rsid w:val="00A42393"/>
    <w:rsid w:val="00A42C4C"/>
    <w:rsid w:val="00A433BD"/>
    <w:rsid w:val="00A4356F"/>
    <w:rsid w:val="00A43974"/>
    <w:rsid w:val="00A45CE0"/>
    <w:rsid w:val="00A45F88"/>
    <w:rsid w:val="00A460A4"/>
    <w:rsid w:val="00A479AC"/>
    <w:rsid w:val="00A47B9F"/>
    <w:rsid w:val="00A47C04"/>
    <w:rsid w:val="00A50235"/>
    <w:rsid w:val="00A50987"/>
    <w:rsid w:val="00A53312"/>
    <w:rsid w:val="00A54CC6"/>
    <w:rsid w:val="00A54F2B"/>
    <w:rsid w:val="00A57532"/>
    <w:rsid w:val="00A57819"/>
    <w:rsid w:val="00A57D4F"/>
    <w:rsid w:val="00A57FC4"/>
    <w:rsid w:val="00A613BE"/>
    <w:rsid w:val="00A61565"/>
    <w:rsid w:val="00A624FD"/>
    <w:rsid w:val="00A62B46"/>
    <w:rsid w:val="00A63007"/>
    <w:rsid w:val="00A6331F"/>
    <w:rsid w:val="00A640CD"/>
    <w:rsid w:val="00A64F13"/>
    <w:rsid w:val="00A65A0A"/>
    <w:rsid w:val="00A65BC2"/>
    <w:rsid w:val="00A667BA"/>
    <w:rsid w:val="00A66960"/>
    <w:rsid w:val="00A66D7B"/>
    <w:rsid w:val="00A67B30"/>
    <w:rsid w:val="00A67FFA"/>
    <w:rsid w:val="00A71235"/>
    <w:rsid w:val="00A7182E"/>
    <w:rsid w:val="00A7219C"/>
    <w:rsid w:val="00A7220A"/>
    <w:rsid w:val="00A7395D"/>
    <w:rsid w:val="00A740F7"/>
    <w:rsid w:val="00A74233"/>
    <w:rsid w:val="00A7471A"/>
    <w:rsid w:val="00A74B87"/>
    <w:rsid w:val="00A74C55"/>
    <w:rsid w:val="00A74F18"/>
    <w:rsid w:val="00A769D4"/>
    <w:rsid w:val="00A777E4"/>
    <w:rsid w:val="00A77C73"/>
    <w:rsid w:val="00A819A7"/>
    <w:rsid w:val="00A8273D"/>
    <w:rsid w:val="00A82A58"/>
    <w:rsid w:val="00A833AE"/>
    <w:rsid w:val="00A855C4"/>
    <w:rsid w:val="00A870C5"/>
    <w:rsid w:val="00A87640"/>
    <w:rsid w:val="00A87AC9"/>
    <w:rsid w:val="00A90126"/>
    <w:rsid w:val="00A90A62"/>
    <w:rsid w:val="00A91601"/>
    <w:rsid w:val="00A929EB"/>
    <w:rsid w:val="00A93C12"/>
    <w:rsid w:val="00A93D2E"/>
    <w:rsid w:val="00A947EE"/>
    <w:rsid w:val="00A948D5"/>
    <w:rsid w:val="00A96493"/>
    <w:rsid w:val="00A97EE9"/>
    <w:rsid w:val="00A97F22"/>
    <w:rsid w:val="00AA0753"/>
    <w:rsid w:val="00AA2B66"/>
    <w:rsid w:val="00AA34A8"/>
    <w:rsid w:val="00AA4D93"/>
    <w:rsid w:val="00AA5095"/>
    <w:rsid w:val="00AA5A29"/>
    <w:rsid w:val="00AA60A3"/>
    <w:rsid w:val="00AA6534"/>
    <w:rsid w:val="00AB1014"/>
    <w:rsid w:val="00AB2BAC"/>
    <w:rsid w:val="00AC03E0"/>
    <w:rsid w:val="00AC06B4"/>
    <w:rsid w:val="00AC2DAE"/>
    <w:rsid w:val="00AC35B6"/>
    <w:rsid w:val="00AC3FF0"/>
    <w:rsid w:val="00AC64FE"/>
    <w:rsid w:val="00AC69F4"/>
    <w:rsid w:val="00AC7B20"/>
    <w:rsid w:val="00AC7C1D"/>
    <w:rsid w:val="00AD0448"/>
    <w:rsid w:val="00AD095A"/>
    <w:rsid w:val="00AD3E82"/>
    <w:rsid w:val="00AD4ABF"/>
    <w:rsid w:val="00AD4AFD"/>
    <w:rsid w:val="00AD6159"/>
    <w:rsid w:val="00AD65B2"/>
    <w:rsid w:val="00AD679A"/>
    <w:rsid w:val="00AE147D"/>
    <w:rsid w:val="00AE206F"/>
    <w:rsid w:val="00AE2718"/>
    <w:rsid w:val="00AE4343"/>
    <w:rsid w:val="00AE592C"/>
    <w:rsid w:val="00AE6209"/>
    <w:rsid w:val="00AE6417"/>
    <w:rsid w:val="00AE7F6D"/>
    <w:rsid w:val="00AF081A"/>
    <w:rsid w:val="00AF22D8"/>
    <w:rsid w:val="00AF60BA"/>
    <w:rsid w:val="00B00DEF"/>
    <w:rsid w:val="00B01B6C"/>
    <w:rsid w:val="00B02ADD"/>
    <w:rsid w:val="00B031C7"/>
    <w:rsid w:val="00B039C7"/>
    <w:rsid w:val="00B05199"/>
    <w:rsid w:val="00B0595E"/>
    <w:rsid w:val="00B06B79"/>
    <w:rsid w:val="00B075AA"/>
    <w:rsid w:val="00B149D9"/>
    <w:rsid w:val="00B15AA4"/>
    <w:rsid w:val="00B169A8"/>
    <w:rsid w:val="00B17383"/>
    <w:rsid w:val="00B2032C"/>
    <w:rsid w:val="00B2426E"/>
    <w:rsid w:val="00B24B9D"/>
    <w:rsid w:val="00B24DC0"/>
    <w:rsid w:val="00B24F0F"/>
    <w:rsid w:val="00B26DE5"/>
    <w:rsid w:val="00B277E4"/>
    <w:rsid w:val="00B27F5E"/>
    <w:rsid w:val="00B305F3"/>
    <w:rsid w:val="00B34C7F"/>
    <w:rsid w:val="00B3547A"/>
    <w:rsid w:val="00B3708A"/>
    <w:rsid w:val="00B377AF"/>
    <w:rsid w:val="00B40E6D"/>
    <w:rsid w:val="00B43F28"/>
    <w:rsid w:val="00B43F56"/>
    <w:rsid w:val="00B46CD3"/>
    <w:rsid w:val="00B47591"/>
    <w:rsid w:val="00B476C7"/>
    <w:rsid w:val="00B5056C"/>
    <w:rsid w:val="00B507B4"/>
    <w:rsid w:val="00B50829"/>
    <w:rsid w:val="00B508AF"/>
    <w:rsid w:val="00B5118E"/>
    <w:rsid w:val="00B53D41"/>
    <w:rsid w:val="00B542BA"/>
    <w:rsid w:val="00B54BAF"/>
    <w:rsid w:val="00B5601A"/>
    <w:rsid w:val="00B56E0A"/>
    <w:rsid w:val="00B57B21"/>
    <w:rsid w:val="00B57D17"/>
    <w:rsid w:val="00B602C4"/>
    <w:rsid w:val="00B61760"/>
    <w:rsid w:val="00B6295F"/>
    <w:rsid w:val="00B62E1D"/>
    <w:rsid w:val="00B62F35"/>
    <w:rsid w:val="00B6354A"/>
    <w:rsid w:val="00B64AAA"/>
    <w:rsid w:val="00B650DB"/>
    <w:rsid w:val="00B65829"/>
    <w:rsid w:val="00B65F22"/>
    <w:rsid w:val="00B65FC3"/>
    <w:rsid w:val="00B664C0"/>
    <w:rsid w:val="00B665D2"/>
    <w:rsid w:val="00B71D51"/>
    <w:rsid w:val="00B72B8B"/>
    <w:rsid w:val="00B736DD"/>
    <w:rsid w:val="00B73F7F"/>
    <w:rsid w:val="00B73FC9"/>
    <w:rsid w:val="00B74033"/>
    <w:rsid w:val="00B74338"/>
    <w:rsid w:val="00B7491A"/>
    <w:rsid w:val="00B7635B"/>
    <w:rsid w:val="00B767A7"/>
    <w:rsid w:val="00B775D5"/>
    <w:rsid w:val="00B811FB"/>
    <w:rsid w:val="00B831C0"/>
    <w:rsid w:val="00B847A8"/>
    <w:rsid w:val="00B84CD0"/>
    <w:rsid w:val="00B858A7"/>
    <w:rsid w:val="00B85EDE"/>
    <w:rsid w:val="00B8681D"/>
    <w:rsid w:val="00B86C21"/>
    <w:rsid w:val="00B8717E"/>
    <w:rsid w:val="00B87360"/>
    <w:rsid w:val="00B9043F"/>
    <w:rsid w:val="00B9277B"/>
    <w:rsid w:val="00B9576D"/>
    <w:rsid w:val="00B9619E"/>
    <w:rsid w:val="00BA0569"/>
    <w:rsid w:val="00BA0849"/>
    <w:rsid w:val="00BA2630"/>
    <w:rsid w:val="00BA32C7"/>
    <w:rsid w:val="00BA3D33"/>
    <w:rsid w:val="00BA43DD"/>
    <w:rsid w:val="00BA5799"/>
    <w:rsid w:val="00BA6361"/>
    <w:rsid w:val="00BA7114"/>
    <w:rsid w:val="00BA72EA"/>
    <w:rsid w:val="00BA7B1E"/>
    <w:rsid w:val="00BB0EE3"/>
    <w:rsid w:val="00BB1CB9"/>
    <w:rsid w:val="00BB53EE"/>
    <w:rsid w:val="00BB6814"/>
    <w:rsid w:val="00BB682B"/>
    <w:rsid w:val="00BB6E63"/>
    <w:rsid w:val="00BB71F8"/>
    <w:rsid w:val="00BB7362"/>
    <w:rsid w:val="00BB75E2"/>
    <w:rsid w:val="00BB7A93"/>
    <w:rsid w:val="00BB7BDA"/>
    <w:rsid w:val="00BC0ED8"/>
    <w:rsid w:val="00BC2356"/>
    <w:rsid w:val="00BC259B"/>
    <w:rsid w:val="00BC338F"/>
    <w:rsid w:val="00BC44ED"/>
    <w:rsid w:val="00BC5329"/>
    <w:rsid w:val="00BC5CC6"/>
    <w:rsid w:val="00BC6CC5"/>
    <w:rsid w:val="00BC6F92"/>
    <w:rsid w:val="00BC7943"/>
    <w:rsid w:val="00BC7AD0"/>
    <w:rsid w:val="00BD003F"/>
    <w:rsid w:val="00BD107F"/>
    <w:rsid w:val="00BD1141"/>
    <w:rsid w:val="00BD1504"/>
    <w:rsid w:val="00BD6D6E"/>
    <w:rsid w:val="00BD7574"/>
    <w:rsid w:val="00BE0DE5"/>
    <w:rsid w:val="00BE1B1A"/>
    <w:rsid w:val="00BE3181"/>
    <w:rsid w:val="00BE39BF"/>
    <w:rsid w:val="00BE4749"/>
    <w:rsid w:val="00BE7842"/>
    <w:rsid w:val="00BE7E95"/>
    <w:rsid w:val="00BF0B41"/>
    <w:rsid w:val="00BF1086"/>
    <w:rsid w:val="00BF18EE"/>
    <w:rsid w:val="00BF2AF5"/>
    <w:rsid w:val="00BF3DDC"/>
    <w:rsid w:val="00BF4B57"/>
    <w:rsid w:val="00BF7164"/>
    <w:rsid w:val="00C00B92"/>
    <w:rsid w:val="00C022EB"/>
    <w:rsid w:val="00C024F9"/>
    <w:rsid w:val="00C03104"/>
    <w:rsid w:val="00C0365E"/>
    <w:rsid w:val="00C03F12"/>
    <w:rsid w:val="00C0420A"/>
    <w:rsid w:val="00C04766"/>
    <w:rsid w:val="00C05816"/>
    <w:rsid w:val="00C05BB0"/>
    <w:rsid w:val="00C05C6E"/>
    <w:rsid w:val="00C06057"/>
    <w:rsid w:val="00C0607A"/>
    <w:rsid w:val="00C07454"/>
    <w:rsid w:val="00C0760A"/>
    <w:rsid w:val="00C1114C"/>
    <w:rsid w:val="00C116DD"/>
    <w:rsid w:val="00C11948"/>
    <w:rsid w:val="00C1198B"/>
    <w:rsid w:val="00C1205C"/>
    <w:rsid w:val="00C12B7F"/>
    <w:rsid w:val="00C14AAD"/>
    <w:rsid w:val="00C150C6"/>
    <w:rsid w:val="00C1529C"/>
    <w:rsid w:val="00C15E22"/>
    <w:rsid w:val="00C15EED"/>
    <w:rsid w:val="00C16703"/>
    <w:rsid w:val="00C1673F"/>
    <w:rsid w:val="00C17D0F"/>
    <w:rsid w:val="00C20C4F"/>
    <w:rsid w:val="00C20E80"/>
    <w:rsid w:val="00C24499"/>
    <w:rsid w:val="00C244F6"/>
    <w:rsid w:val="00C25751"/>
    <w:rsid w:val="00C25DB2"/>
    <w:rsid w:val="00C26084"/>
    <w:rsid w:val="00C2697F"/>
    <w:rsid w:val="00C27911"/>
    <w:rsid w:val="00C27C9A"/>
    <w:rsid w:val="00C27D6C"/>
    <w:rsid w:val="00C316A2"/>
    <w:rsid w:val="00C31D33"/>
    <w:rsid w:val="00C321B9"/>
    <w:rsid w:val="00C331B7"/>
    <w:rsid w:val="00C3339E"/>
    <w:rsid w:val="00C34DF6"/>
    <w:rsid w:val="00C34EC1"/>
    <w:rsid w:val="00C366C8"/>
    <w:rsid w:val="00C36E3A"/>
    <w:rsid w:val="00C37589"/>
    <w:rsid w:val="00C37ADB"/>
    <w:rsid w:val="00C42889"/>
    <w:rsid w:val="00C43811"/>
    <w:rsid w:val="00C43CCC"/>
    <w:rsid w:val="00C44785"/>
    <w:rsid w:val="00C45496"/>
    <w:rsid w:val="00C47693"/>
    <w:rsid w:val="00C47EBC"/>
    <w:rsid w:val="00C50EC9"/>
    <w:rsid w:val="00C51C7F"/>
    <w:rsid w:val="00C53277"/>
    <w:rsid w:val="00C552CE"/>
    <w:rsid w:val="00C5611B"/>
    <w:rsid w:val="00C563A0"/>
    <w:rsid w:val="00C56A08"/>
    <w:rsid w:val="00C57840"/>
    <w:rsid w:val="00C579BB"/>
    <w:rsid w:val="00C6272C"/>
    <w:rsid w:val="00C63048"/>
    <w:rsid w:val="00C6320C"/>
    <w:rsid w:val="00C65574"/>
    <w:rsid w:val="00C75BE0"/>
    <w:rsid w:val="00C77166"/>
    <w:rsid w:val="00C772D5"/>
    <w:rsid w:val="00C80A22"/>
    <w:rsid w:val="00C84950"/>
    <w:rsid w:val="00C84E66"/>
    <w:rsid w:val="00C85644"/>
    <w:rsid w:val="00C86904"/>
    <w:rsid w:val="00C86946"/>
    <w:rsid w:val="00C87AEC"/>
    <w:rsid w:val="00C87E60"/>
    <w:rsid w:val="00C900E7"/>
    <w:rsid w:val="00C902AF"/>
    <w:rsid w:val="00C939E9"/>
    <w:rsid w:val="00C958B1"/>
    <w:rsid w:val="00C96D04"/>
    <w:rsid w:val="00C96F28"/>
    <w:rsid w:val="00C97A59"/>
    <w:rsid w:val="00CA08B7"/>
    <w:rsid w:val="00CA0DDE"/>
    <w:rsid w:val="00CA2420"/>
    <w:rsid w:val="00CA33DD"/>
    <w:rsid w:val="00CA5A2F"/>
    <w:rsid w:val="00CA5DE2"/>
    <w:rsid w:val="00CB0BB1"/>
    <w:rsid w:val="00CB121D"/>
    <w:rsid w:val="00CB1349"/>
    <w:rsid w:val="00CB1AB5"/>
    <w:rsid w:val="00CB3E7A"/>
    <w:rsid w:val="00CB4FC3"/>
    <w:rsid w:val="00CB57DE"/>
    <w:rsid w:val="00CB5B15"/>
    <w:rsid w:val="00CB6487"/>
    <w:rsid w:val="00CB6848"/>
    <w:rsid w:val="00CB6A87"/>
    <w:rsid w:val="00CB72A8"/>
    <w:rsid w:val="00CC0244"/>
    <w:rsid w:val="00CC0EE6"/>
    <w:rsid w:val="00CC14C2"/>
    <w:rsid w:val="00CC157E"/>
    <w:rsid w:val="00CC2036"/>
    <w:rsid w:val="00CC2697"/>
    <w:rsid w:val="00CC2A33"/>
    <w:rsid w:val="00CC32E3"/>
    <w:rsid w:val="00CC5C9E"/>
    <w:rsid w:val="00CC6C8F"/>
    <w:rsid w:val="00CC73FC"/>
    <w:rsid w:val="00CC796B"/>
    <w:rsid w:val="00CD0291"/>
    <w:rsid w:val="00CD5A43"/>
    <w:rsid w:val="00CD5C33"/>
    <w:rsid w:val="00CD79F5"/>
    <w:rsid w:val="00CE0307"/>
    <w:rsid w:val="00CE1704"/>
    <w:rsid w:val="00CE3547"/>
    <w:rsid w:val="00CE39C0"/>
    <w:rsid w:val="00CE3A43"/>
    <w:rsid w:val="00CE414A"/>
    <w:rsid w:val="00CE62F6"/>
    <w:rsid w:val="00CE66DB"/>
    <w:rsid w:val="00CE6A83"/>
    <w:rsid w:val="00CE6E09"/>
    <w:rsid w:val="00CE739D"/>
    <w:rsid w:val="00CF142D"/>
    <w:rsid w:val="00CF3024"/>
    <w:rsid w:val="00CF332A"/>
    <w:rsid w:val="00CF39CA"/>
    <w:rsid w:val="00CF4394"/>
    <w:rsid w:val="00CF5C70"/>
    <w:rsid w:val="00CF68D9"/>
    <w:rsid w:val="00D034AE"/>
    <w:rsid w:val="00D05235"/>
    <w:rsid w:val="00D05287"/>
    <w:rsid w:val="00D05E61"/>
    <w:rsid w:val="00D10226"/>
    <w:rsid w:val="00D10946"/>
    <w:rsid w:val="00D10A62"/>
    <w:rsid w:val="00D11E88"/>
    <w:rsid w:val="00D1258A"/>
    <w:rsid w:val="00D127E8"/>
    <w:rsid w:val="00D12DCB"/>
    <w:rsid w:val="00D14388"/>
    <w:rsid w:val="00D14836"/>
    <w:rsid w:val="00D14D0E"/>
    <w:rsid w:val="00D16605"/>
    <w:rsid w:val="00D22C77"/>
    <w:rsid w:val="00D22CC5"/>
    <w:rsid w:val="00D2479F"/>
    <w:rsid w:val="00D26F16"/>
    <w:rsid w:val="00D27B4E"/>
    <w:rsid w:val="00D27CAB"/>
    <w:rsid w:val="00D31120"/>
    <w:rsid w:val="00D312B6"/>
    <w:rsid w:val="00D32836"/>
    <w:rsid w:val="00D33EE3"/>
    <w:rsid w:val="00D34540"/>
    <w:rsid w:val="00D35C91"/>
    <w:rsid w:val="00D35E07"/>
    <w:rsid w:val="00D37CB2"/>
    <w:rsid w:val="00D40A69"/>
    <w:rsid w:val="00D40F6B"/>
    <w:rsid w:val="00D41AE8"/>
    <w:rsid w:val="00D42376"/>
    <w:rsid w:val="00D42901"/>
    <w:rsid w:val="00D42E2D"/>
    <w:rsid w:val="00D46F29"/>
    <w:rsid w:val="00D47ACE"/>
    <w:rsid w:val="00D51846"/>
    <w:rsid w:val="00D51D29"/>
    <w:rsid w:val="00D52030"/>
    <w:rsid w:val="00D526FA"/>
    <w:rsid w:val="00D527E5"/>
    <w:rsid w:val="00D53AAA"/>
    <w:rsid w:val="00D53B00"/>
    <w:rsid w:val="00D55ED6"/>
    <w:rsid w:val="00D56625"/>
    <w:rsid w:val="00D60C21"/>
    <w:rsid w:val="00D621F9"/>
    <w:rsid w:val="00D62DBB"/>
    <w:rsid w:val="00D63782"/>
    <w:rsid w:val="00D64171"/>
    <w:rsid w:val="00D64637"/>
    <w:rsid w:val="00D650C4"/>
    <w:rsid w:val="00D65769"/>
    <w:rsid w:val="00D65A7D"/>
    <w:rsid w:val="00D66F7D"/>
    <w:rsid w:val="00D6754B"/>
    <w:rsid w:val="00D67D00"/>
    <w:rsid w:val="00D67D5B"/>
    <w:rsid w:val="00D7089D"/>
    <w:rsid w:val="00D70D81"/>
    <w:rsid w:val="00D7362D"/>
    <w:rsid w:val="00D74895"/>
    <w:rsid w:val="00D76480"/>
    <w:rsid w:val="00D77000"/>
    <w:rsid w:val="00D814FA"/>
    <w:rsid w:val="00D82355"/>
    <w:rsid w:val="00D82A18"/>
    <w:rsid w:val="00D83F67"/>
    <w:rsid w:val="00D845D3"/>
    <w:rsid w:val="00D84DA3"/>
    <w:rsid w:val="00D8717A"/>
    <w:rsid w:val="00D87270"/>
    <w:rsid w:val="00D8741C"/>
    <w:rsid w:val="00D876CC"/>
    <w:rsid w:val="00D87EAC"/>
    <w:rsid w:val="00D94209"/>
    <w:rsid w:val="00D94505"/>
    <w:rsid w:val="00D9498D"/>
    <w:rsid w:val="00D94BC3"/>
    <w:rsid w:val="00D94D9D"/>
    <w:rsid w:val="00D973C4"/>
    <w:rsid w:val="00D97D3A"/>
    <w:rsid w:val="00DA08F0"/>
    <w:rsid w:val="00DA23FA"/>
    <w:rsid w:val="00DA2B6E"/>
    <w:rsid w:val="00DA326E"/>
    <w:rsid w:val="00DA573B"/>
    <w:rsid w:val="00DA59A7"/>
    <w:rsid w:val="00DA59D7"/>
    <w:rsid w:val="00DA7E19"/>
    <w:rsid w:val="00DB0028"/>
    <w:rsid w:val="00DB0814"/>
    <w:rsid w:val="00DB17B7"/>
    <w:rsid w:val="00DB1FDB"/>
    <w:rsid w:val="00DB2291"/>
    <w:rsid w:val="00DB237B"/>
    <w:rsid w:val="00DB3083"/>
    <w:rsid w:val="00DB3580"/>
    <w:rsid w:val="00DB3FA7"/>
    <w:rsid w:val="00DB444B"/>
    <w:rsid w:val="00DC0967"/>
    <w:rsid w:val="00DC0C3F"/>
    <w:rsid w:val="00DC1D28"/>
    <w:rsid w:val="00DC4431"/>
    <w:rsid w:val="00DC5BB1"/>
    <w:rsid w:val="00DC5E9C"/>
    <w:rsid w:val="00DC605C"/>
    <w:rsid w:val="00DC683F"/>
    <w:rsid w:val="00DD10CB"/>
    <w:rsid w:val="00DD1BDA"/>
    <w:rsid w:val="00DD1C37"/>
    <w:rsid w:val="00DD2B09"/>
    <w:rsid w:val="00DD38E2"/>
    <w:rsid w:val="00DD5169"/>
    <w:rsid w:val="00DD66EC"/>
    <w:rsid w:val="00DD696F"/>
    <w:rsid w:val="00DD7AA7"/>
    <w:rsid w:val="00DE042F"/>
    <w:rsid w:val="00DE06C5"/>
    <w:rsid w:val="00DE2B90"/>
    <w:rsid w:val="00DE2CA7"/>
    <w:rsid w:val="00DE41FF"/>
    <w:rsid w:val="00DE45CE"/>
    <w:rsid w:val="00DE5A42"/>
    <w:rsid w:val="00DF0F94"/>
    <w:rsid w:val="00DF111F"/>
    <w:rsid w:val="00DF1439"/>
    <w:rsid w:val="00DF57AF"/>
    <w:rsid w:val="00DF59D8"/>
    <w:rsid w:val="00DF5BA4"/>
    <w:rsid w:val="00DF6832"/>
    <w:rsid w:val="00E01859"/>
    <w:rsid w:val="00E01961"/>
    <w:rsid w:val="00E01D23"/>
    <w:rsid w:val="00E03A8F"/>
    <w:rsid w:val="00E049B5"/>
    <w:rsid w:val="00E051CF"/>
    <w:rsid w:val="00E05D91"/>
    <w:rsid w:val="00E05DD3"/>
    <w:rsid w:val="00E06D6B"/>
    <w:rsid w:val="00E10288"/>
    <w:rsid w:val="00E1071D"/>
    <w:rsid w:val="00E10875"/>
    <w:rsid w:val="00E10956"/>
    <w:rsid w:val="00E13621"/>
    <w:rsid w:val="00E13DD1"/>
    <w:rsid w:val="00E13F5F"/>
    <w:rsid w:val="00E14226"/>
    <w:rsid w:val="00E1498C"/>
    <w:rsid w:val="00E155BE"/>
    <w:rsid w:val="00E162E4"/>
    <w:rsid w:val="00E164A5"/>
    <w:rsid w:val="00E167E1"/>
    <w:rsid w:val="00E17416"/>
    <w:rsid w:val="00E215D9"/>
    <w:rsid w:val="00E219EC"/>
    <w:rsid w:val="00E22766"/>
    <w:rsid w:val="00E22E09"/>
    <w:rsid w:val="00E265AB"/>
    <w:rsid w:val="00E30256"/>
    <w:rsid w:val="00E30824"/>
    <w:rsid w:val="00E34026"/>
    <w:rsid w:val="00E345E4"/>
    <w:rsid w:val="00E36346"/>
    <w:rsid w:val="00E36F6A"/>
    <w:rsid w:val="00E375A2"/>
    <w:rsid w:val="00E37A18"/>
    <w:rsid w:val="00E37DFC"/>
    <w:rsid w:val="00E4168D"/>
    <w:rsid w:val="00E422F3"/>
    <w:rsid w:val="00E42311"/>
    <w:rsid w:val="00E43D03"/>
    <w:rsid w:val="00E4526C"/>
    <w:rsid w:val="00E477AB"/>
    <w:rsid w:val="00E47842"/>
    <w:rsid w:val="00E47A36"/>
    <w:rsid w:val="00E47BBF"/>
    <w:rsid w:val="00E505D4"/>
    <w:rsid w:val="00E53168"/>
    <w:rsid w:val="00E5358A"/>
    <w:rsid w:val="00E54C37"/>
    <w:rsid w:val="00E54E59"/>
    <w:rsid w:val="00E55676"/>
    <w:rsid w:val="00E55A06"/>
    <w:rsid w:val="00E561C9"/>
    <w:rsid w:val="00E562A4"/>
    <w:rsid w:val="00E57CE9"/>
    <w:rsid w:val="00E57D66"/>
    <w:rsid w:val="00E62538"/>
    <w:rsid w:val="00E62637"/>
    <w:rsid w:val="00E6272C"/>
    <w:rsid w:val="00E62EC1"/>
    <w:rsid w:val="00E663EE"/>
    <w:rsid w:val="00E669B8"/>
    <w:rsid w:val="00E67B8C"/>
    <w:rsid w:val="00E715A6"/>
    <w:rsid w:val="00E73840"/>
    <w:rsid w:val="00E7430C"/>
    <w:rsid w:val="00E74402"/>
    <w:rsid w:val="00E74FA1"/>
    <w:rsid w:val="00E76002"/>
    <w:rsid w:val="00E77F86"/>
    <w:rsid w:val="00E817AE"/>
    <w:rsid w:val="00E81EF6"/>
    <w:rsid w:val="00E821C2"/>
    <w:rsid w:val="00E84CE4"/>
    <w:rsid w:val="00E85229"/>
    <w:rsid w:val="00E8674A"/>
    <w:rsid w:val="00E8711A"/>
    <w:rsid w:val="00E8774E"/>
    <w:rsid w:val="00E90B34"/>
    <w:rsid w:val="00E9145D"/>
    <w:rsid w:val="00E91E75"/>
    <w:rsid w:val="00E92971"/>
    <w:rsid w:val="00E94CDD"/>
    <w:rsid w:val="00E95633"/>
    <w:rsid w:val="00E96579"/>
    <w:rsid w:val="00E96D59"/>
    <w:rsid w:val="00E970A2"/>
    <w:rsid w:val="00E973A1"/>
    <w:rsid w:val="00EA09E3"/>
    <w:rsid w:val="00EA1B23"/>
    <w:rsid w:val="00EA5471"/>
    <w:rsid w:val="00EA558F"/>
    <w:rsid w:val="00EA5F66"/>
    <w:rsid w:val="00EA6822"/>
    <w:rsid w:val="00EA6A3E"/>
    <w:rsid w:val="00EA6CBD"/>
    <w:rsid w:val="00EB10FB"/>
    <w:rsid w:val="00EB67E6"/>
    <w:rsid w:val="00EC1071"/>
    <w:rsid w:val="00EC13DE"/>
    <w:rsid w:val="00EC159A"/>
    <w:rsid w:val="00EC35A9"/>
    <w:rsid w:val="00EC3D5D"/>
    <w:rsid w:val="00EC3FFB"/>
    <w:rsid w:val="00EC4B66"/>
    <w:rsid w:val="00EC5499"/>
    <w:rsid w:val="00EC6649"/>
    <w:rsid w:val="00EC7775"/>
    <w:rsid w:val="00EC7B7B"/>
    <w:rsid w:val="00ED0671"/>
    <w:rsid w:val="00ED08C5"/>
    <w:rsid w:val="00ED0CC2"/>
    <w:rsid w:val="00ED25D2"/>
    <w:rsid w:val="00ED410C"/>
    <w:rsid w:val="00ED5783"/>
    <w:rsid w:val="00ED5BA2"/>
    <w:rsid w:val="00EE162F"/>
    <w:rsid w:val="00EE34ED"/>
    <w:rsid w:val="00EE4F79"/>
    <w:rsid w:val="00EE5AEC"/>
    <w:rsid w:val="00EE5F38"/>
    <w:rsid w:val="00EE6527"/>
    <w:rsid w:val="00EE7435"/>
    <w:rsid w:val="00EE758A"/>
    <w:rsid w:val="00EF0C44"/>
    <w:rsid w:val="00EF1914"/>
    <w:rsid w:val="00EF3016"/>
    <w:rsid w:val="00EF3AE7"/>
    <w:rsid w:val="00EF5E02"/>
    <w:rsid w:val="00EF5FDF"/>
    <w:rsid w:val="00F002C0"/>
    <w:rsid w:val="00F01A57"/>
    <w:rsid w:val="00F02A03"/>
    <w:rsid w:val="00F0384B"/>
    <w:rsid w:val="00F0593F"/>
    <w:rsid w:val="00F06226"/>
    <w:rsid w:val="00F06C4F"/>
    <w:rsid w:val="00F07C33"/>
    <w:rsid w:val="00F108D7"/>
    <w:rsid w:val="00F128A8"/>
    <w:rsid w:val="00F12C38"/>
    <w:rsid w:val="00F13F48"/>
    <w:rsid w:val="00F15931"/>
    <w:rsid w:val="00F16471"/>
    <w:rsid w:val="00F2121A"/>
    <w:rsid w:val="00F218F0"/>
    <w:rsid w:val="00F21CB2"/>
    <w:rsid w:val="00F22C43"/>
    <w:rsid w:val="00F22D78"/>
    <w:rsid w:val="00F22EEF"/>
    <w:rsid w:val="00F2393F"/>
    <w:rsid w:val="00F246BE"/>
    <w:rsid w:val="00F254D9"/>
    <w:rsid w:val="00F25924"/>
    <w:rsid w:val="00F27D83"/>
    <w:rsid w:val="00F31357"/>
    <w:rsid w:val="00F320E6"/>
    <w:rsid w:val="00F32CF5"/>
    <w:rsid w:val="00F3318E"/>
    <w:rsid w:val="00F34202"/>
    <w:rsid w:val="00F347D6"/>
    <w:rsid w:val="00F35074"/>
    <w:rsid w:val="00F35121"/>
    <w:rsid w:val="00F358FC"/>
    <w:rsid w:val="00F362C4"/>
    <w:rsid w:val="00F36C79"/>
    <w:rsid w:val="00F37220"/>
    <w:rsid w:val="00F37DD8"/>
    <w:rsid w:val="00F4013A"/>
    <w:rsid w:val="00F4053E"/>
    <w:rsid w:val="00F40CE5"/>
    <w:rsid w:val="00F41170"/>
    <w:rsid w:val="00F4155E"/>
    <w:rsid w:val="00F430D4"/>
    <w:rsid w:val="00F4310A"/>
    <w:rsid w:val="00F4450E"/>
    <w:rsid w:val="00F47459"/>
    <w:rsid w:val="00F475AD"/>
    <w:rsid w:val="00F50405"/>
    <w:rsid w:val="00F5051E"/>
    <w:rsid w:val="00F51B92"/>
    <w:rsid w:val="00F51FEB"/>
    <w:rsid w:val="00F53808"/>
    <w:rsid w:val="00F5523A"/>
    <w:rsid w:val="00F555BC"/>
    <w:rsid w:val="00F562B2"/>
    <w:rsid w:val="00F56F3A"/>
    <w:rsid w:val="00F570F0"/>
    <w:rsid w:val="00F60419"/>
    <w:rsid w:val="00F6146A"/>
    <w:rsid w:val="00F61FBB"/>
    <w:rsid w:val="00F630D9"/>
    <w:rsid w:val="00F64208"/>
    <w:rsid w:val="00F656C5"/>
    <w:rsid w:val="00F6724E"/>
    <w:rsid w:val="00F67279"/>
    <w:rsid w:val="00F71476"/>
    <w:rsid w:val="00F72896"/>
    <w:rsid w:val="00F73717"/>
    <w:rsid w:val="00F7423E"/>
    <w:rsid w:val="00F74382"/>
    <w:rsid w:val="00F75D16"/>
    <w:rsid w:val="00F77863"/>
    <w:rsid w:val="00F807C0"/>
    <w:rsid w:val="00F81DDC"/>
    <w:rsid w:val="00F82929"/>
    <w:rsid w:val="00F82BEB"/>
    <w:rsid w:val="00F837A9"/>
    <w:rsid w:val="00F849F8"/>
    <w:rsid w:val="00F85B36"/>
    <w:rsid w:val="00F86E40"/>
    <w:rsid w:val="00F87159"/>
    <w:rsid w:val="00F90397"/>
    <w:rsid w:val="00F90C6B"/>
    <w:rsid w:val="00F90D3C"/>
    <w:rsid w:val="00F91CF2"/>
    <w:rsid w:val="00F91E80"/>
    <w:rsid w:val="00F93991"/>
    <w:rsid w:val="00FA0565"/>
    <w:rsid w:val="00FA417C"/>
    <w:rsid w:val="00FA42D3"/>
    <w:rsid w:val="00FA516B"/>
    <w:rsid w:val="00FA565B"/>
    <w:rsid w:val="00FA58B5"/>
    <w:rsid w:val="00FA744C"/>
    <w:rsid w:val="00FB3A1A"/>
    <w:rsid w:val="00FB412B"/>
    <w:rsid w:val="00FB4B81"/>
    <w:rsid w:val="00FB4F6E"/>
    <w:rsid w:val="00FB60E5"/>
    <w:rsid w:val="00FB61D0"/>
    <w:rsid w:val="00FB67FE"/>
    <w:rsid w:val="00FB7CB2"/>
    <w:rsid w:val="00FB7DFE"/>
    <w:rsid w:val="00FC01FC"/>
    <w:rsid w:val="00FC036A"/>
    <w:rsid w:val="00FC1625"/>
    <w:rsid w:val="00FC2907"/>
    <w:rsid w:val="00FC3FFA"/>
    <w:rsid w:val="00FC4813"/>
    <w:rsid w:val="00FC5C80"/>
    <w:rsid w:val="00FC6860"/>
    <w:rsid w:val="00FC7A65"/>
    <w:rsid w:val="00FD0698"/>
    <w:rsid w:val="00FD2039"/>
    <w:rsid w:val="00FD2115"/>
    <w:rsid w:val="00FD26EF"/>
    <w:rsid w:val="00FD33DD"/>
    <w:rsid w:val="00FD347F"/>
    <w:rsid w:val="00FD5649"/>
    <w:rsid w:val="00FE1957"/>
    <w:rsid w:val="00FE373C"/>
    <w:rsid w:val="00FE3A6E"/>
    <w:rsid w:val="00FE3C5C"/>
    <w:rsid w:val="00FE43AC"/>
    <w:rsid w:val="00FE6278"/>
    <w:rsid w:val="00FE716B"/>
    <w:rsid w:val="00FE781D"/>
    <w:rsid w:val="00FE782E"/>
    <w:rsid w:val="00FF0212"/>
    <w:rsid w:val="00FF076E"/>
    <w:rsid w:val="00FF43C3"/>
    <w:rsid w:val="00FF4634"/>
    <w:rsid w:val="00FF6279"/>
    <w:rsid w:val="01714809"/>
    <w:rsid w:val="01B34E22"/>
    <w:rsid w:val="01CD1825"/>
    <w:rsid w:val="01E461EC"/>
    <w:rsid w:val="01E74ACC"/>
    <w:rsid w:val="01F176F8"/>
    <w:rsid w:val="02085A2F"/>
    <w:rsid w:val="02A52C3A"/>
    <w:rsid w:val="02C37C16"/>
    <w:rsid w:val="04477A12"/>
    <w:rsid w:val="04731B5B"/>
    <w:rsid w:val="048135F1"/>
    <w:rsid w:val="048900BC"/>
    <w:rsid w:val="04D0496F"/>
    <w:rsid w:val="04D63DFE"/>
    <w:rsid w:val="059D5867"/>
    <w:rsid w:val="05D168F6"/>
    <w:rsid w:val="062724A6"/>
    <w:rsid w:val="063365AC"/>
    <w:rsid w:val="064C13E1"/>
    <w:rsid w:val="07571860"/>
    <w:rsid w:val="07832762"/>
    <w:rsid w:val="079D43F6"/>
    <w:rsid w:val="082E74B1"/>
    <w:rsid w:val="088E3F19"/>
    <w:rsid w:val="09675E55"/>
    <w:rsid w:val="09A9751C"/>
    <w:rsid w:val="0A411361"/>
    <w:rsid w:val="0A954B61"/>
    <w:rsid w:val="0B04020E"/>
    <w:rsid w:val="0D341471"/>
    <w:rsid w:val="0D422A7D"/>
    <w:rsid w:val="0DB65634"/>
    <w:rsid w:val="0EC15643"/>
    <w:rsid w:val="0EEF229D"/>
    <w:rsid w:val="0F5B6686"/>
    <w:rsid w:val="0F8A4296"/>
    <w:rsid w:val="0FDD1292"/>
    <w:rsid w:val="0FF96E56"/>
    <w:rsid w:val="102F69A3"/>
    <w:rsid w:val="10595C32"/>
    <w:rsid w:val="10AA5342"/>
    <w:rsid w:val="10C33B0F"/>
    <w:rsid w:val="10F03177"/>
    <w:rsid w:val="10FB257E"/>
    <w:rsid w:val="11310FBB"/>
    <w:rsid w:val="118E0AC0"/>
    <w:rsid w:val="11AE585A"/>
    <w:rsid w:val="11C36205"/>
    <w:rsid w:val="11F84C47"/>
    <w:rsid w:val="12320CAD"/>
    <w:rsid w:val="12437AFC"/>
    <w:rsid w:val="12523281"/>
    <w:rsid w:val="130C5054"/>
    <w:rsid w:val="14011A1D"/>
    <w:rsid w:val="140E5DE0"/>
    <w:rsid w:val="141F6347"/>
    <w:rsid w:val="147045F0"/>
    <w:rsid w:val="14A53D07"/>
    <w:rsid w:val="14B60DBE"/>
    <w:rsid w:val="150A6991"/>
    <w:rsid w:val="150C4D2B"/>
    <w:rsid w:val="153E3968"/>
    <w:rsid w:val="16F61981"/>
    <w:rsid w:val="17BA4E9E"/>
    <w:rsid w:val="17FA7E65"/>
    <w:rsid w:val="18427458"/>
    <w:rsid w:val="184E2D57"/>
    <w:rsid w:val="197F1B0E"/>
    <w:rsid w:val="198D5B01"/>
    <w:rsid w:val="19983291"/>
    <w:rsid w:val="19A63761"/>
    <w:rsid w:val="19A91329"/>
    <w:rsid w:val="19C9339C"/>
    <w:rsid w:val="19C95A5B"/>
    <w:rsid w:val="1A2B77F4"/>
    <w:rsid w:val="1A350E98"/>
    <w:rsid w:val="1A4C6DBB"/>
    <w:rsid w:val="1A5C0DCD"/>
    <w:rsid w:val="1A5D706A"/>
    <w:rsid w:val="1AAD10BF"/>
    <w:rsid w:val="1AAE3D5A"/>
    <w:rsid w:val="1B1464DA"/>
    <w:rsid w:val="1B9F38C9"/>
    <w:rsid w:val="1BCC1F28"/>
    <w:rsid w:val="1BE5091B"/>
    <w:rsid w:val="1C864BDA"/>
    <w:rsid w:val="1C941E1E"/>
    <w:rsid w:val="1C9B4951"/>
    <w:rsid w:val="1CF55E97"/>
    <w:rsid w:val="1D4756AB"/>
    <w:rsid w:val="1D4D020A"/>
    <w:rsid w:val="1DEA6A1F"/>
    <w:rsid w:val="1E933BB9"/>
    <w:rsid w:val="1EAC654C"/>
    <w:rsid w:val="1ED733DA"/>
    <w:rsid w:val="1EE16DEA"/>
    <w:rsid w:val="1F3D01E5"/>
    <w:rsid w:val="1F6116EF"/>
    <w:rsid w:val="1F873E14"/>
    <w:rsid w:val="1F983263"/>
    <w:rsid w:val="1F9D5C31"/>
    <w:rsid w:val="1FAB1A41"/>
    <w:rsid w:val="1FFB03D5"/>
    <w:rsid w:val="202A2EDB"/>
    <w:rsid w:val="203F2777"/>
    <w:rsid w:val="20421655"/>
    <w:rsid w:val="20633C30"/>
    <w:rsid w:val="21535467"/>
    <w:rsid w:val="2193733E"/>
    <w:rsid w:val="21BB1DAB"/>
    <w:rsid w:val="21F37F51"/>
    <w:rsid w:val="2227090F"/>
    <w:rsid w:val="22B5691D"/>
    <w:rsid w:val="22DA750F"/>
    <w:rsid w:val="22DB5B2F"/>
    <w:rsid w:val="2311076F"/>
    <w:rsid w:val="23CE130B"/>
    <w:rsid w:val="243E1982"/>
    <w:rsid w:val="25A77F4A"/>
    <w:rsid w:val="25C603D0"/>
    <w:rsid w:val="25E77FB2"/>
    <w:rsid w:val="26082272"/>
    <w:rsid w:val="26771534"/>
    <w:rsid w:val="26AA5F44"/>
    <w:rsid w:val="26AF0AB7"/>
    <w:rsid w:val="26F04483"/>
    <w:rsid w:val="2870455C"/>
    <w:rsid w:val="28706AC5"/>
    <w:rsid w:val="28B0474F"/>
    <w:rsid w:val="28C06F89"/>
    <w:rsid w:val="28FD0FCB"/>
    <w:rsid w:val="291678C1"/>
    <w:rsid w:val="293F7E11"/>
    <w:rsid w:val="29A0656A"/>
    <w:rsid w:val="2A0F0C91"/>
    <w:rsid w:val="2AEC7FE2"/>
    <w:rsid w:val="2AFE4323"/>
    <w:rsid w:val="2B05199B"/>
    <w:rsid w:val="2BAA7930"/>
    <w:rsid w:val="2C940BB2"/>
    <w:rsid w:val="2CDD5986"/>
    <w:rsid w:val="2D1D5A88"/>
    <w:rsid w:val="2D316120"/>
    <w:rsid w:val="2D8E6BA2"/>
    <w:rsid w:val="2E3C43E6"/>
    <w:rsid w:val="2E70277E"/>
    <w:rsid w:val="2E705A47"/>
    <w:rsid w:val="2F663821"/>
    <w:rsid w:val="2FEE0701"/>
    <w:rsid w:val="3014442E"/>
    <w:rsid w:val="3062519A"/>
    <w:rsid w:val="306F7D8F"/>
    <w:rsid w:val="30977539"/>
    <w:rsid w:val="310B4584"/>
    <w:rsid w:val="31693F42"/>
    <w:rsid w:val="31796C3F"/>
    <w:rsid w:val="319770C5"/>
    <w:rsid w:val="31A124F9"/>
    <w:rsid w:val="31CA58BC"/>
    <w:rsid w:val="31D077C5"/>
    <w:rsid w:val="31D37AED"/>
    <w:rsid w:val="31FC55F3"/>
    <w:rsid w:val="32BA5880"/>
    <w:rsid w:val="32D45CEA"/>
    <w:rsid w:val="33591224"/>
    <w:rsid w:val="3448001A"/>
    <w:rsid w:val="346936A8"/>
    <w:rsid w:val="34C639DE"/>
    <w:rsid w:val="34C75A4A"/>
    <w:rsid w:val="34E10969"/>
    <w:rsid w:val="34EC3BCC"/>
    <w:rsid w:val="35697251"/>
    <w:rsid w:val="35923A74"/>
    <w:rsid w:val="36490DA2"/>
    <w:rsid w:val="365E5683"/>
    <w:rsid w:val="368F4C53"/>
    <w:rsid w:val="36A37DB9"/>
    <w:rsid w:val="37710351"/>
    <w:rsid w:val="38031C25"/>
    <w:rsid w:val="38320438"/>
    <w:rsid w:val="38D330D8"/>
    <w:rsid w:val="39141265"/>
    <w:rsid w:val="39157E9B"/>
    <w:rsid w:val="39271051"/>
    <w:rsid w:val="397523E2"/>
    <w:rsid w:val="39CF6FE3"/>
    <w:rsid w:val="3A12314E"/>
    <w:rsid w:val="3A410243"/>
    <w:rsid w:val="3A7F4945"/>
    <w:rsid w:val="3AA73640"/>
    <w:rsid w:val="3B54011B"/>
    <w:rsid w:val="3BCC45B7"/>
    <w:rsid w:val="3BFBAF62"/>
    <w:rsid w:val="3C956847"/>
    <w:rsid w:val="3CF25BD7"/>
    <w:rsid w:val="3D2516CA"/>
    <w:rsid w:val="3D723258"/>
    <w:rsid w:val="3DC5127A"/>
    <w:rsid w:val="3E180CC1"/>
    <w:rsid w:val="3EE020AB"/>
    <w:rsid w:val="3F1B3DD8"/>
    <w:rsid w:val="3F4555EE"/>
    <w:rsid w:val="3F59624C"/>
    <w:rsid w:val="3FBFAB37"/>
    <w:rsid w:val="3FEA37B6"/>
    <w:rsid w:val="3FED4E3E"/>
    <w:rsid w:val="400E0FA4"/>
    <w:rsid w:val="409277B7"/>
    <w:rsid w:val="409379D0"/>
    <w:rsid w:val="40F869A3"/>
    <w:rsid w:val="416403A8"/>
    <w:rsid w:val="41A23A7A"/>
    <w:rsid w:val="424029A2"/>
    <w:rsid w:val="42592B22"/>
    <w:rsid w:val="42791B7A"/>
    <w:rsid w:val="42B04BFC"/>
    <w:rsid w:val="43182221"/>
    <w:rsid w:val="43635059"/>
    <w:rsid w:val="436F76A4"/>
    <w:rsid w:val="438B475E"/>
    <w:rsid w:val="43B17DC4"/>
    <w:rsid w:val="44143AA3"/>
    <w:rsid w:val="449C3A47"/>
    <w:rsid w:val="44B76C5C"/>
    <w:rsid w:val="44BE3F5B"/>
    <w:rsid w:val="44D51CBF"/>
    <w:rsid w:val="44F3200D"/>
    <w:rsid w:val="455D3889"/>
    <w:rsid w:val="459F41C9"/>
    <w:rsid w:val="46217C1A"/>
    <w:rsid w:val="46300235"/>
    <w:rsid w:val="465E7A7F"/>
    <w:rsid w:val="46F6477A"/>
    <w:rsid w:val="472D60AA"/>
    <w:rsid w:val="478A6475"/>
    <w:rsid w:val="48103286"/>
    <w:rsid w:val="481903DC"/>
    <w:rsid w:val="483E3549"/>
    <w:rsid w:val="489010DC"/>
    <w:rsid w:val="4898656F"/>
    <w:rsid w:val="48EC70FB"/>
    <w:rsid w:val="4910358D"/>
    <w:rsid w:val="492C219C"/>
    <w:rsid w:val="49D44AE5"/>
    <w:rsid w:val="49DE41BE"/>
    <w:rsid w:val="4A1A0DA4"/>
    <w:rsid w:val="4A1B1C83"/>
    <w:rsid w:val="4A1D4FBC"/>
    <w:rsid w:val="4A3E110C"/>
    <w:rsid w:val="4AFD3FE5"/>
    <w:rsid w:val="4B075C92"/>
    <w:rsid w:val="4BC1751C"/>
    <w:rsid w:val="4BE43E1D"/>
    <w:rsid w:val="4CC308E1"/>
    <w:rsid w:val="4CEDB904"/>
    <w:rsid w:val="4CFD3CE8"/>
    <w:rsid w:val="4DE12CEB"/>
    <w:rsid w:val="4DEF444E"/>
    <w:rsid w:val="4E3D697F"/>
    <w:rsid w:val="4EFA3BA1"/>
    <w:rsid w:val="4F77C749"/>
    <w:rsid w:val="4FEBAA6A"/>
    <w:rsid w:val="4FFD30BF"/>
    <w:rsid w:val="50285660"/>
    <w:rsid w:val="50406436"/>
    <w:rsid w:val="504F169B"/>
    <w:rsid w:val="507022B3"/>
    <w:rsid w:val="509D2355"/>
    <w:rsid w:val="50BE26EA"/>
    <w:rsid w:val="51415D3D"/>
    <w:rsid w:val="526D30E5"/>
    <w:rsid w:val="52DC0984"/>
    <w:rsid w:val="5306650F"/>
    <w:rsid w:val="53514ABF"/>
    <w:rsid w:val="53690FF8"/>
    <w:rsid w:val="53932FAA"/>
    <w:rsid w:val="53BC416F"/>
    <w:rsid w:val="53C14D36"/>
    <w:rsid w:val="53E915AA"/>
    <w:rsid w:val="541054C6"/>
    <w:rsid w:val="541F7680"/>
    <w:rsid w:val="545D78A2"/>
    <w:rsid w:val="546B37FC"/>
    <w:rsid w:val="5477043D"/>
    <w:rsid w:val="54C607BF"/>
    <w:rsid w:val="54F1676A"/>
    <w:rsid w:val="555C551E"/>
    <w:rsid w:val="55B318A1"/>
    <w:rsid w:val="567809C3"/>
    <w:rsid w:val="56CF0F2B"/>
    <w:rsid w:val="56E70802"/>
    <w:rsid w:val="574C257C"/>
    <w:rsid w:val="57CC546B"/>
    <w:rsid w:val="57DE0CFA"/>
    <w:rsid w:val="57FE7E40"/>
    <w:rsid w:val="586E0DCE"/>
    <w:rsid w:val="5879605B"/>
    <w:rsid w:val="58E47B6E"/>
    <w:rsid w:val="590B76B5"/>
    <w:rsid w:val="592B0841"/>
    <w:rsid w:val="595B6AA6"/>
    <w:rsid w:val="59CE2DE5"/>
    <w:rsid w:val="5A5468C1"/>
    <w:rsid w:val="5A964CE8"/>
    <w:rsid w:val="5AB9477F"/>
    <w:rsid w:val="5ABB837D"/>
    <w:rsid w:val="5B300DD1"/>
    <w:rsid w:val="5B5B70B7"/>
    <w:rsid w:val="5B7612E6"/>
    <w:rsid w:val="5B7D38BC"/>
    <w:rsid w:val="5BFB2DB5"/>
    <w:rsid w:val="5D382BEB"/>
    <w:rsid w:val="5D3C274B"/>
    <w:rsid w:val="5D3E5728"/>
    <w:rsid w:val="5D71002C"/>
    <w:rsid w:val="5D752101"/>
    <w:rsid w:val="5D9EB92A"/>
    <w:rsid w:val="5DDA6229"/>
    <w:rsid w:val="5DF4376F"/>
    <w:rsid w:val="5E5C65A1"/>
    <w:rsid w:val="5E7FCD87"/>
    <w:rsid w:val="5EA84E60"/>
    <w:rsid w:val="5ED66A25"/>
    <w:rsid w:val="5F4D0329"/>
    <w:rsid w:val="5F583CD7"/>
    <w:rsid w:val="5F595EB3"/>
    <w:rsid w:val="5F6176ED"/>
    <w:rsid w:val="5F9FFE7C"/>
    <w:rsid w:val="5FB273FD"/>
    <w:rsid w:val="60325507"/>
    <w:rsid w:val="6050574A"/>
    <w:rsid w:val="607D515C"/>
    <w:rsid w:val="607E67DA"/>
    <w:rsid w:val="614B38A4"/>
    <w:rsid w:val="614C3178"/>
    <w:rsid w:val="621511D8"/>
    <w:rsid w:val="621653BA"/>
    <w:rsid w:val="624F75D6"/>
    <w:rsid w:val="62F5139A"/>
    <w:rsid w:val="63BF1C96"/>
    <w:rsid w:val="6416752C"/>
    <w:rsid w:val="64387269"/>
    <w:rsid w:val="654D7EE0"/>
    <w:rsid w:val="658156F8"/>
    <w:rsid w:val="6586009D"/>
    <w:rsid w:val="67054DA9"/>
    <w:rsid w:val="671D4CBB"/>
    <w:rsid w:val="68F75C8D"/>
    <w:rsid w:val="691F3187"/>
    <w:rsid w:val="6A487CC5"/>
    <w:rsid w:val="6AA11FFE"/>
    <w:rsid w:val="6AA7500C"/>
    <w:rsid w:val="6BC00783"/>
    <w:rsid w:val="6BC51D04"/>
    <w:rsid w:val="6C573C4E"/>
    <w:rsid w:val="6D04082D"/>
    <w:rsid w:val="6D267BD4"/>
    <w:rsid w:val="6D4938B6"/>
    <w:rsid w:val="6DBDCB2F"/>
    <w:rsid w:val="6E054C0E"/>
    <w:rsid w:val="6E391AF1"/>
    <w:rsid w:val="6E3A2388"/>
    <w:rsid w:val="6EDD5168"/>
    <w:rsid w:val="6F260569"/>
    <w:rsid w:val="6F3A193D"/>
    <w:rsid w:val="6F6F1C7D"/>
    <w:rsid w:val="70075990"/>
    <w:rsid w:val="701C35F1"/>
    <w:rsid w:val="705E24F7"/>
    <w:rsid w:val="70666977"/>
    <w:rsid w:val="70CF44A8"/>
    <w:rsid w:val="70DD6002"/>
    <w:rsid w:val="70E84159"/>
    <w:rsid w:val="70EE366D"/>
    <w:rsid w:val="71081C54"/>
    <w:rsid w:val="714317DD"/>
    <w:rsid w:val="71530A68"/>
    <w:rsid w:val="71A212BE"/>
    <w:rsid w:val="71A24435"/>
    <w:rsid w:val="71FFA6B8"/>
    <w:rsid w:val="72AE2191"/>
    <w:rsid w:val="73910128"/>
    <w:rsid w:val="744503BC"/>
    <w:rsid w:val="749434A7"/>
    <w:rsid w:val="74C000F3"/>
    <w:rsid w:val="74D6127F"/>
    <w:rsid w:val="755F161D"/>
    <w:rsid w:val="75966E65"/>
    <w:rsid w:val="75982A7C"/>
    <w:rsid w:val="75BE4EBA"/>
    <w:rsid w:val="7690441B"/>
    <w:rsid w:val="7750136A"/>
    <w:rsid w:val="777619C6"/>
    <w:rsid w:val="77962542"/>
    <w:rsid w:val="779F8920"/>
    <w:rsid w:val="77D4E76A"/>
    <w:rsid w:val="77E71047"/>
    <w:rsid w:val="77FF1912"/>
    <w:rsid w:val="7800416F"/>
    <w:rsid w:val="78557619"/>
    <w:rsid w:val="787466AD"/>
    <w:rsid w:val="78925C5D"/>
    <w:rsid w:val="792A555B"/>
    <w:rsid w:val="79532E9E"/>
    <w:rsid w:val="797B578E"/>
    <w:rsid w:val="797F70C9"/>
    <w:rsid w:val="79B9F960"/>
    <w:rsid w:val="79E1494E"/>
    <w:rsid w:val="7A1C30AA"/>
    <w:rsid w:val="7A7250B6"/>
    <w:rsid w:val="7A835A05"/>
    <w:rsid w:val="7ADF7AAB"/>
    <w:rsid w:val="7AF20505"/>
    <w:rsid w:val="7AF83E4D"/>
    <w:rsid w:val="7AFD02D5"/>
    <w:rsid w:val="7CE36209"/>
    <w:rsid w:val="7D1FE967"/>
    <w:rsid w:val="7D502CDB"/>
    <w:rsid w:val="7D8FC697"/>
    <w:rsid w:val="7DD60D82"/>
    <w:rsid w:val="7DDD18C6"/>
    <w:rsid w:val="7DFD9EA4"/>
    <w:rsid w:val="7E014DE9"/>
    <w:rsid w:val="7E196995"/>
    <w:rsid w:val="7E230E82"/>
    <w:rsid w:val="7EB786B8"/>
    <w:rsid w:val="7ECEA2EE"/>
    <w:rsid w:val="7EDF09E9"/>
    <w:rsid w:val="7EFD4A3E"/>
    <w:rsid w:val="7F0E20EC"/>
    <w:rsid w:val="7F3D8682"/>
    <w:rsid w:val="7F51026F"/>
    <w:rsid w:val="7F5654C8"/>
    <w:rsid w:val="7FB3E544"/>
    <w:rsid w:val="7FBE727C"/>
    <w:rsid w:val="7FCF6813"/>
    <w:rsid w:val="7FFE5E09"/>
    <w:rsid w:val="7FFF8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E13B2"/>
  <w15:docId w15:val="{ECFE64BC-092D-4BA4-8CA5-63A6002D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仿宋_GB2312" w:hAnsiTheme="minorHAnsi" w:cstheme="minorBidi"/>
      <w:kern w:val="2"/>
      <w:sz w:val="24"/>
      <w:szCs w:val="22"/>
    </w:rPr>
  </w:style>
  <w:style w:type="paragraph" w:styleId="1">
    <w:name w:val="heading 1"/>
    <w:basedOn w:val="a"/>
    <w:next w:val="a"/>
    <w:link w:val="10"/>
    <w:qFormat/>
    <w:pPr>
      <w:keepNext/>
      <w:keepLines/>
      <w:numPr>
        <w:numId w:val="1"/>
      </w:numPr>
      <w:spacing w:line="360" w:lineRule="auto"/>
      <w:jc w:val="center"/>
      <w:outlineLvl w:val="0"/>
    </w:pPr>
    <w:rPr>
      <w:rFonts w:eastAsia="黑体"/>
      <w:kern w:val="44"/>
      <w:sz w:val="28"/>
    </w:rPr>
  </w:style>
  <w:style w:type="paragraph" w:styleId="2">
    <w:name w:val="heading 2"/>
    <w:basedOn w:val="a"/>
    <w:next w:val="a"/>
    <w:link w:val="20"/>
    <w:unhideWhenUsed/>
    <w:qFormat/>
    <w:pPr>
      <w:keepNext/>
      <w:keepLines/>
      <w:numPr>
        <w:ilvl w:val="1"/>
        <w:numId w:val="1"/>
      </w:numPr>
      <w:tabs>
        <w:tab w:val="clear" w:pos="3261"/>
        <w:tab w:val="left" w:pos="1134"/>
      </w:tabs>
      <w:spacing w:line="360" w:lineRule="auto"/>
      <w:ind w:left="0" w:firstLineChars="200" w:firstLine="720"/>
      <w:jc w:val="left"/>
      <w:outlineLvl w:val="1"/>
    </w:pPr>
    <w:rPr>
      <w:rFonts w:ascii="Arial" w:hAnsi="Arial"/>
      <w:b/>
    </w:rPr>
  </w:style>
  <w:style w:type="paragraph" w:styleId="3">
    <w:name w:val="heading 3"/>
    <w:basedOn w:val="a"/>
    <w:next w:val="a"/>
    <w:link w:val="30"/>
    <w:semiHidden/>
    <w:unhideWhenUsed/>
    <w:qFormat/>
    <w:pPr>
      <w:keepNext/>
      <w:keepLines/>
      <w:numPr>
        <w:ilvl w:val="2"/>
        <w:numId w:val="1"/>
      </w:numPr>
      <w:spacing w:before="260" w:after="260" w:line="413" w:lineRule="auto"/>
      <w:outlineLvl w:val="2"/>
    </w:pPr>
    <w:rPr>
      <w:b/>
      <w:sz w:val="32"/>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rPr>
  </w:style>
  <w:style w:type="paragraph" w:styleId="7">
    <w:name w:val="heading 7"/>
    <w:basedOn w:val="a"/>
    <w:next w:val="a"/>
    <w:semiHidden/>
    <w:unhideWhenUsed/>
    <w:qFormat/>
    <w:pPr>
      <w:keepNext/>
      <w:keepLines/>
      <w:numPr>
        <w:ilvl w:val="6"/>
        <w:numId w:val="1"/>
      </w:numPr>
      <w:spacing w:before="240" w:after="64" w:line="317" w:lineRule="auto"/>
      <w:outlineLvl w:val="6"/>
    </w:pPr>
    <w:rPr>
      <w:b/>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Calibri" w:eastAsia="宋体" w:hAnsi="Calibri" w:cs="Times New Roman"/>
    </w:rPr>
  </w:style>
  <w:style w:type="paragraph" w:styleId="a5">
    <w:name w:val="Balloon Text"/>
    <w:basedOn w:val="a"/>
    <w:link w:val="a6"/>
    <w:semiHidden/>
    <w:unhideWhenUsed/>
    <w:qFormat/>
    <w:rPr>
      <w:sz w:val="18"/>
      <w:szCs w:val="18"/>
    </w:rPr>
  </w:style>
  <w:style w:type="paragraph" w:styleId="a7">
    <w:name w:val="footer"/>
    <w:basedOn w:val="a"/>
    <w:qFormat/>
    <w:pPr>
      <w:tabs>
        <w:tab w:val="center" w:pos="4153"/>
        <w:tab w:val="right" w:pos="8306"/>
      </w:tabs>
      <w:snapToGrid w:val="0"/>
      <w:jc w:val="left"/>
    </w:pPr>
    <w:rPr>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semiHidden/>
    <w:unhideWhenUsed/>
    <w:qFormat/>
    <w:rPr>
      <w:rFonts w:asciiTheme="minorHAnsi" w:eastAsiaTheme="minorEastAsia" w:hAnsiTheme="minorHAnsi" w:cstheme="minorBidi"/>
      <w:b/>
      <w:bCs/>
    </w:rPr>
  </w:style>
  <w:style w:type="table" w:styleId="ac">
    <w:name w:val="Table Grid"/>
    <w:basedOn w:val="a1"/>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Pr>
      <w:color w:val="0000FF"/>
      <w:u w:val="single"/>
    </w:rPr>
  </w:style>
  <w:style w:type="character" w:styleId="ae">
    <w:name w:val="annotation reference"/>
    <w:basedOn w:val="a0"/>
    <w:qFormat/>
    <w:rPr>
      <w:sz w:val="21"/>
      <w:szCs w:val="21"/>
    </w:rPr>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semiHidden/>
    <w:qFormat/>
    <w:rPr>
      <w:kern w:val="2"/>
      <w:sz w:val="18"/>
      <w:szCs w:val="18"/>
    </w:rPr>
  </w:style>
  <w:style w:type="paragraph" w:styleId="af">
    <w:name w:val="List Paragraph"/>
    <w:basedOn w:val="a"/>
    <w:uiPriority w:val="99"/>
    <w:unhideWhenUsed/>
    <w:qFormat/>
    <w:pPr>
      <w:ind w:firstLineChars="200" w:firstLine="420"/>
    </w:pPr>
  </w:style>
  <w:style w:type="character" w:customStyle="1" w:styleId="a4">
    <w:name w:val="批注文字 字符"/>
    <w:basedOn w:val="a0"/>
    <w:link w:val="a3"/>
    <w:uiPriority w:val="99"/>
    <w:qFormat/>
    <w:rPr>
      <w:rFonts w:ascii="Calibri" w:eastAsia="宋体" w:hAnsi="Calibri" w:cs="Times New Roman"/>
      <w:kern w:val="2"/>
      <w:sz w:val="21"/>
      <w:szCs w:val="22"/>
    </w:rPr>
  </w:style>
  <w:style w:type="character" w:customStyle="1" w:styleId="fontstyle01">
    <w:name w:val="fontstyle01"/>
    <w:basedOn w:val="a0"/>
    <w:qFormat/>
    <w:rPr>
      <w:rFonts w:ascii="黑体" w:eastAsia="黑体" w:hAnsi="黑体" w:hint="eastAsia"/>
      <w:color w:val="000000"/>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b">
    <w:name w:val="批注主题 字符"/>
    <w:basedOn w:val="a4"/>
    <w:link w:val="aa"/>
    <w:semiHidden/>
    <w:qFormat/>
    <w:rPr>
      <w:rFonts w:asciiTheme="minorHAnsi" w:eastAsiaTheme="minorEastAsia" w:hAnsiTheme="minorHAnsi" w:cstheme="minorBidi"/>
      <w:b/>
      <w:bCs/>
      <w:kern w:val="2"/>
      <w:sz w:val="21"/>
      <w:szCs w:val="22"/>
    </w:rPr>
  </w:style>
  <w:style w:type="character" w:customStyle="1" w:styleId="20">
    <w:name w:val="标题 2 字符"/>
    <w:link w:val="2"/>
    <w:qFormat/>
    <w:rPr>
      <w:rFonts w:ascii="Arial" w:eastAsia="仿宋_GB2312" w:hAnsi="Arial"/>
      <w:b/>
    </w:rPr>
  </w:style>
  <w:style w:type="character" w:customStyle="1" w:styleId="10">
    <w:name w:val="标题 1 字符"/>
    <w:link w:val="1"/>
    <w:qFormat/>
    <w:rPr>
      <w:rFonts w:asciiTheme="minorHAnsi" w:eastAsia="黑体" w:hAnsiTheme="minorHAnsi"/>
      <w:kern w:val="44"/>
      <w:sz w:val="28"/>
    </w:rPr>
  </w:style>
  <w:style w:type="character" w:customStyle="1" w:styleId="30">
    <w:name w:val="标题 3 字符"/>
    <w:link w:val="3"/>
    <w:qFormat/>
    <w:rPr>
      <w:b/>
      <w:sz w:val="3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1">
    <w:name w:val="修订2"/>
    <w:hidden/>
    <w:uiPriority w:val="99"/>
    <w:semiHidden/>
    <w:qFormat/>
    <w:rPr>
      <w:rFonts w:asciiTheme="minorHAnsi" w:eastAsia="仿宋_GB2312" w:hAnsiTheme="minorHAnsi" w:cstheme="minorBidi"/>
      <w:kern w:val="2"/>
      <w:sz w:val="24"/>
      <w:szCs w:val="22"/>
    </w:rPr>
  </w:style>
  <w:style w:type="paragraph" w:customStyle="1" w:styleId="p">
    <w:name w:val="p"/>
    <w:basedOn w:val="a"/>
    <w:qFormat/>
    <w:pPr>
      <w:spacing w:line="390" w:lineRule="atLeast"/>
      <w:ind w:firstLine="420"/>
    </w:pPr>
  </w:style>
  <w:style w:type="paragraph" w:customStyle="1" w:styleId="31">
    <w:name w:val="修订3"/>
    <w:hidden/>
    <w:uiPriority w:val="99"/>
    <w:unhideWhenUsed/>
    <w:qFormat/>
    <w:rPr>
      <w:rFonts w:asciiTheme="minorHAnsi" w:eastAsia="仿宋_GB2312"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4178</Words>
  <Characters>23817</Characters>
  <Application>Microsoft Office Word</Application>
  <DocSecurity>0</DocSecurity>
  <Lines>198</Lines>
  <Paragraphs>55</Paragraphs>
  <ScaleCrop>false</ScaleCrop>
  <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czbank</dc:creator>
  <cp:lastModifiedBy>浙商银行</cp:lastModifiedBy>
  <cp:revision>12</cp:revision>
  <cp:lastPrinted>2024-09-11T15:45:00Z</cp:lastPrinted>
  <dcterms:created xsi:type="dcterms:W3CDTF">2025-07-23T15:13:00Z</dcterms:created>
  <dcterms:modified xsi:type="dcterms:W3CDTF">2025-10-11T06:28:00Z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5CEC917D24AB46D6AA2F2F833A5D2EBE</vt:lpwstr>
  </property>
  <property fmtid="{D5CDD505-2E9C-101B-9397-08002B2CF9AE}" pid="4" name="KSOTemplateDocerSaveRecord">
    <vt:lpwstr>eyJoZGlkIjoiYWNhOTE4NDNjODhjYzgxMjRkZjJkNjAwYTFhNjQxOWQiLCJ1c2VySWQiOiIzNDYyMDcwMDIifQ==</vt:lpwstr>
  </property>
</Properties>
</file>