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方正小标宋简体" w:eastAsia="方正小标宋简体"/>
          <w:sz w:val="36"/>
          <w:szCs w:val="36"/>
        </w:rPr>
      </w:pPr>
      <w:r>
        <w:rPr>
          <w:rFonts w:hint="eastAsia" w:ascii="方正小标宋简体" w:eastAsia="方正小标宋简体"/>
          <w:sz w:val="36"/>
          <w:szCs w:val="36"/>
        </w:rPr>
        <w:t>浙</w:t>
      </w:r>
      <w:r>
        <w:rPr>
          <w:rFonts w:ascii="方正小标宋简体" w:eastAsia="方正小标宋简体"/>
          <w:sz w:val="36"/>
          <w:szCs w:val="36"/>
        </w:rPr>
        <w:t>银理财理财产品</w:t>
      </w:r>
    </w:p>
    <w:p>
      <w:pPr>
        <w:spacing w:before="156" w:beforeLines="50"/>
        <w:jc w:val="center"/>
        <w:rPr>
          <w:rFonts w:ascii="方正小标宋简体" w:eastAsia="方正小标宋简体"/>
          <w:sz w:val="36"/>
          <w:szCs w:val="36"/>
        </w:rPr>
      </w:pPr>
      <w:r>
        <w:rPr>
          <w:rFonts w:ascii="方正小标宋简体" w:eastAsia="方正小标宋简体"/>
          <w:sz w:val="36"/>
          <w:szCs w:val="36"/>
        </w:rPr>
        <w:t>投资协议书</w:t>
      </w:r>
    </w:p>
    <w:p>
      <w:pPr>
        <w:jc w:val="center"/>
        <w:rPr>
          <w:rFonts w:ascii="方正小标宋简体" w:eastAsia="方正小标宋简体" w:hAnsiTheme="minorEastAsia"/>
          <w:sz w:val="28"/>
          <w:szCs w:val="30"/>
        </w:rPr>
      </w:pPr>
      <w:r>
        <w:rPr>
          <w:rFonts w:hint="eastAsia" w:ascii="方正小标宋简体" w:eastAsia="方正小标宋简体" w:hAnsiTheme="minorEastAsia"/>
          <w:sz w:val="28"/>
          <w:szCs w:val="30"/>
        </w:rPr>
        <w:t>（2025</w:t>
      </w:r>
      <w:r>
        <w:rPr>
          <w:rFonts w:ascii="方正小标宋简体" w:eastAsia="方正小标宋简体" w:hAnsiTheme="minorEastAsia"/>
          <w:sz w:val="28"/>
          <w:szCs w:val="30"/>
        </w:rPr>
        <w:t>05</w:t>
      </w:r>
      <w:r>
        <w:rPr>
          <w:rFonts w:hint="eastAsia" w:ascii="方正小标宋简体" w:eastAsia="方正小标宋简体" w:hAnsiTheme="minorEastAsia"/>
          <w:sz w:val="28"/>
          <w:szCs w:val="30"/>
        </w:rPr>
        <w:t>版）</w:t>
      </w:r>
    </w:p>
    <w:p>
      <w:pPr>
        <w:spacing w:after="156" w:afterLines="50"/>
        <w:jc w:val="center"/>
        <w:rPr>
          <w:rFonts w:ascii="方正小标宋简体" w:eastAsia="方正小标宋简体" w:hAnsiTheme="minorEastAsia"/>
          <w:sz w:val="40"/>
          <w:szCs w:val="44"/>
        </w:rPr>
      </w:pPr>
      <w:r>
        <w:rPr>
          <w:rFonts w:hint="eastAsia" w:ascii="方正小标宋简体" w:eastAsia="方正小标宋简体" w:hAnsiTheme="minorEastAsia"/>
          <w:sz w:val="28"/>
          <w:szCs w:val="30"/>
        </w:rPr>
        <w:t>理财非存款、产品有风险、投资须谨慎</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投资者（以下</w:t>
      </w:r>
      <w:r>
        <w:rPr>
          <w:rFonts w:ascii="仿宋" w:hAnsi="仿宋" w:eastAsia="仿宋"/>
          <w:sz w:val="24"/>
          <w:szCs w:val="24"/>
        </w:rPr>
        <w:t>简称“</w:t>
      </w:r>
      <w:r>
        <w:rPr>
          <w:rFonts w:hint="eastAsia" w:ascii="仿宋" w:hAnsi="仿宋" w:eastAsia="仿宋"/>
          <w:sz w:val="24"/>
          <w:szCs w:val="24"/>
        </w:rPr>
        <w:t>甲方</w:t>
      </w:r>
      <w:r>
        <w:rPr>
          <w:rFonts w:ascii="仿宋" w:hAnsi="仿宋" w:eastAsia="仿宋"/>
          <w:sz w:val="24"/>
          <w:szCs w:val="24"/>
        </w:rPr>
        <w:t>”</w:t>
      </w:r>
      <w:r>
        <w:rPr>
          <w:rFonts w:hint="eastAsia" w:ascii="仿宋" w:hAnsi="仿宋" w:eastAsia="仿宋"/>
          <w:sz w:val="24"/>
          <w:szCs w:val="24"/>
        </w:rPr>
        <w:t>），与浙银理财有限责任公司（以下</w:t>
      </w:r>
      <w:r>
        <w:rPr>
          <w:rFonts w:ascii="仿宋" w:hAnsi="仿宋" w:eastAsia="仿宋"/>
          <w:sz w:val="24"/>
          <w:szCs w:val="24"/>
        </w:rPr>
        <w:t>简称“</w:t>
      </w:r>
      <w:r>
        <w:rPr>
          <w:rFonts w:hint="eastAsia" w:ascii="仿宋" w:hAnsi="仿宋" w:eastAsia="仿宋"/>
          <w:sz w:val="24"/>
          <w:szCs w:val="24"/>
        </w:rPr>
        <w:t>乙方</w:t>
      </w:r>
      <w:r>
        <w:rPr>
          <w:rFonts w:ascii="仿宋" w:hAnsi="仿宋" w:eastAsia="仿宋"/>
          <w:sz w:val="24"/>
          <w:szCs w:val="24"/>
        </w:rPr>
        <w:t>”</w:t>
      </w:r>
      <w:r>
        <w:rPr>
          <w:rFonts w:hint="eastAsia" w:ascii="仿宋" w:hAnsi="仿宋" w:eastAsia="仿宋"/>
          <w:sz w:val="24"/>
          <w:szCs w:val="24"/>
        </w:rPr>
        <w:t>）两方经协商一致，本着</w:t>
      </w:r>
      <w:r>
        <w:rPr>
          <w:rFonts w:ascii="仿宋" w:hAnsi="仿宋" w:eastAsia="仿宋"/>
          <w:sz w:val="24"/>
          <w:szCs w:val="24"/>
        </w:rPr>
        <w:t>平等自愿、诚实信用的原则，就甲方投资乙方发行与管理的理财产品，</w:t>
      </w:r>
      <w:r>
        <w:rPr>
          <w:rFonts w:hint="eastAsia" w:ascii="仿宋" w:hAnsi="仿宋" w:eastAsia="仿宋"/>
          <w:sz w:val="24"/>
          <w:szCs w:val="24"/>
        </w:rPr>
        <w:t>达成如下协议：</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一、重要提示</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1.本协议与本理财</w:t>
      </w:r>
      <w:r>
        <w:rPr>
          <w:rFonts w:ascii="仿宋" w:hAnsi="仿宋" w:eastAsia="仿宋"/>
          <w:sz w:val="24"/>
          <w:szCs w:val="24"/>
        </w:rPr>
        <w:t>产品</w:t>
      </w:r>
      <w:r>
        <w:rPr>
          <w:rFonts w:hint="eastAsia" w:ascii="仿宋" w:hAnsi="仿宋" w:eastAsia="仿宋"/>
          <w:sz w:val="24"/>
          <w:szCs w:val="24"/>
        </w:rPr>
        <w:t>对应</w:t>
      </w:r>
      <w:r>
        <w:rPr>
          <w:rFonts w:ascii="仿宋" w:hAnsi="仿宋" w:eastAsia="仿宋"/>
          <w:sz w:val="24"/>
          <w:szCs w:val="24"/>
        </w:rPr>
        <w:t>的</w:t>
      </w:r>
      <w:r>
        <w:rPr>
          <w:rFonts w:hint="eastAsia" w:ascii="仿宋" w:hAnsi="仿宋" w:eastAsia="仿宋"/>
          <w:sz w:val="24"/>
          <w:szCs w:val="24"/>
        </w:rPr>
        <w:t>《风险揭示书》、《产品说明书》、《投资者权益须知》、《（代理）销售协议书》构成完整和不可分割的理财产品销售文件，具有同等法律效力。</w:t>
      </w:r>
      <w:r>
        <w:rPr>
          <w:rFonts w:hint="eastAsia" w:ascii="仿宋" w:hAnsi="仿宋" w:eastAsia="仿宋"/>
          <w:b/>
          <w:bCs/>
          <w:sz w:val="24"/>
          <w:szCs w:val="24"/>
        </w:rPr>
        <w:t>为了维护投资者的合法权益，请在投资前仔细阅读本协议及其他销售文件（尤其是黑体加粗的条款），了解理财产品具体情况。如果投资者不同意本协议的任何内容，或者无法准确理解相关条款的解释，请不要进行后续操作。</w:t>
      </w:r>
    </w:p>
    <w:p>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.甲方签署本协议（含电子渠道确认）则被视为已详细阅读过本协议及完整理财产品销售文件，并充分理解文件条款和潜在风险，自愿购买本理财产品，并同意遵守理财产品销售文件的各项约定。</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在购买理财产品前，甲方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甲方风险承受能力的因素发生变化，请及时重新完成风险承受能力评估。</w:t>
      </w:r>
    </w:p>
    <w:p>
      <w:pPr>
        <w:spacing w:line="360" w:lineRule="auto"/>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.本理财产品不保证本金和收益，甲方应知晓并理解，</w:t>
      </w:r>
      <w:r>
        <w:rPr>
          <w:rFonts w:hint="eastAsia" w:ascii="仿宋" w:hAnsi="仿宋" w:eastAsia="仿宋"/>
          <w:b/>
          <w:bCs/>
          <w:sz w:val="24"/>
          <w:szCs w:val="24"/>
        </w:rPr>
        <w:t>理财非存款、产品有风险、投资须谨慎。</w:t>
      </w:r>
      <w:r>
        <w:rPr>
          <w:rFonts w:hint="eastAsia" w:ascii="仿宋" w:hAnsi="仿宋" w:eastAsia="仿宋"/>
          <w:sz w:val="24"/>
          <w:szCs w:val="24"/>
        </w:rPr>
        <w:t>本理财产品可能面临信用风险、市场风险、流动性风险等各类风险因素，具体由乙方在《风险揭示书》中揭示。甲方应仔细阅读并充分理解《风险揭示书》的详细条款及理财</w:t>
      </w:r>
      <w:r>
        <w:rPr>
          <w:rFonts w:ascii="仿宋" w:hAnsi="仿宋" w:eastAsia="仿宋"/>
          <w:sz w:val="24"/>
          <w:szCs w:val="24"/>
        </w:rPr>
        <w:t>产品</w:t>
      </w:r>
      <w:r>
        <w:rPr>
          <w:rFonts w:hint="eastAsia" w:ascii="仿宋" w:hAnsi="仿宋" w:eastAsia="仿宋"/>
          <w:sz w:val="24"/>
          <w:szCs w:val="24"/>
        </w:rPr>
        <w:t>可能发生的风险。</w:t>
      </w:r>
    </w:p>
    <w:p>
      <w:pPr>
        <w:spacing w:line="360" w:lineRule="auto"/>
        <w:ind w:firstLine="480" w:firstLineChars="200"/>
        <w:rPr>
          <w:rFonts w:ascii="仿宋" w:hAnsi="仿宋" w:eastAsia="仿宋"/>
          <w:b/>
          <w:sz w:val="24"/>
          <w:szCs w:val="24"/>
        </w:rPr>
      </w:pPr>
      <w:r>
        <w:rPr>
          <w:rFonts w:ascii="仿宋" w:hAnsi="仿宋" w:eastAsia="仿宋"/>
          <w:b/>
          <w:sz w:val="24"/>
          <w:szCs w:val="24"/>
        </w:rPr>
        <w:t>5.在任何情况下乙方</w:t>
      </w:r>
      <w:r>
        <w:rPr>
          <w:rFonts w:hint="eastAsia" w:ascii="仿宋" w:hAnsi="仿宋" w:eastAsia="仿宋"/>
          <w:b/>
          <w:sz w:val="24"/>
          <w:szCs w:val="24"/>
        </w:rPr>
        <w:t>发布的理财产品业绩比较基准仅供甲方参考，不代表甲方能获得的实际投资收益，不代表理财产品的未来表现，亦不构成乙方保证甲方获得业绩比较基准反映的收益率的承诺。</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二、双方权利义务</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（一）甲方的权利义务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1.甲方声明：</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方自愿以本协议所约定的理财本金金额购买本理财产品，保证理财本金是其自有或其有权处分的合法资金，不得使用贷款、发行债券等筹集的非自有资金投资，同时将该资金用作理财产品销售文件下交易以及订立和履行本协议并不违反任何法律、法规，且不违反任何约束或影响甲方或其资产的合同、协议或承诺。</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方签署本协议符合对甲方具有约束力的法律法规等相关规定，不存在法律法规、有权机关或主管机关禁止或限制购买理财产品的各种情形，其购买理财产品的行为亦未违反任何限制性规定。甲方具有完全适当的资格与能力订立、接收及履行本协议以及以其为一方当事人的任何有关文件。甲方签署和履行本协议系其真实意思表示。甲方已经取得签订和履行本协议所需的一切有关批准、许可、备案或者登记。若甲方为个人投资者的，甲方确认其为具有完全民事行为能力的个人；若甲方为机构投资者的，甲方确认已经按照其章程或者其它内部管理文件的要求取得合法、有效的授权。</w:t>
      </w:r>
      <w:r>
        <w:rPr>
          <w:rFonts w:hint="eastAsia" w:ascii="仿宋" w:hAnsi="仿宋" w:eastAsia="仿宋"/>
          <w:b/>
          <w:bCs/>
          <w:sz w:val="24"/>
          <w:szCs w:val="24"/>
        </w:rPr>
        <w:t>否则，由此导致的后果应由甲方自行承担，并赔偿因此给产品管理人带来的损失。</w:t>
      </w:r>
    </w:p>
    <w:p>
      <w:pPr>
        <w:spacing w:line="360" w:lineRule="auto"/>
        <w:ind w:firstLine="480" w:firstLineChars="200"/>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甲方接受并签署理财</w:t>
      </w:r>
      <w:r>
        <w:rPr>
          <w:rFonts w:ascii="仿宋" w:hAnsi="仿宋" w:eastAsia="仿宋"/>
          <w:b/>
          <w:bCs/>
          <w:sz w:val="24"/>
          <w:szCs w:val="24"/>
        </w:rPr>
        <w:t>产品</w:t>
      </w:r>
      <w:r>
        <w:rPr>
          <w:rFonts w:hint="eastAsia" w:ascii="仿宋" w:hAnsi="仿宋" w:eastAsia="仿宋"/>
          <w:b/>
          <w:bCs/>
          <w:sz w:val="24"/>
          <w:szCs w:val="24"/>
        </w:rPr>
        <w:t>销售文件，对有关条款不存在任何疑问或异议；甲方已清楚知悉并同意理财产品销售文件下理财产品的投资管理等行为由乙方负责实施，完全知晓产品可能出现的各种风险，在慎重考虑后作出交易决定，愿意并能够承担风险。乙方向甲方提供的市场分析和预测仅供参考，甲方据此做出的任何决策均出于甲方自身的判断，乙方不承担任何责任。</w:t>
      </w:r>
    </w:p>
    <w:p>
      <w:pPr>
        <w:spacing w:line="360" w:lineRule="auto"/>
        <w:ind w:firstLine="480" w:firstLineChars="200"/>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.因甲方理财指定账户资金余额不足或处于非正常状态（包括但不限于冻结、销户等状态）导致银行无法按时办理扣款或到期理财资金及收益无法入账，或者引起其他风险与损失的，均由甲方承担。</w:t>
      </w:r>
    </w:p>
    <w:p>
      <w:pPr>
        <w:spacing w:line="360" w:lineRule="auto"/>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.甲方同意乙方在本协议及其他理财产品销售文件约定的事项内，依据自身的投资决策流程和风险管理机制做出和实施相关投资管理决定。</w:t>
      </w:r>
    </w:p>
    <w:p>
      <w:pPr>
        <w:spacing w:line="360" w:lineRule="auto"/>
        <w:ind w:firstLine="480" w:firstLineChars="200"/>
        <w:rPr>
          <w:rFonts w:ascii="仿宋" w:hAnsi="仿宋" w:eastAsia="仿宋"/>
          <w:b/>
          <w:sz w:val="24"/>
          <w:szCs w:val="24"/>
        </w:rPr>
      </w:pPr>
      <w:r>
        <w:rPr>
          <w:rFonts w:ascii="仿宋" w:hAnsi="仿宋" w:eastAsia="仿宋"/>
          <w:b/>
          <w:sz w:val="24"/>
          <w:szCs w:val="24"/>
        </w:rPr>
        <w:t>5.</w:t>
      </w:r>
      <w:r>
        <w:rPr>
          <w:rFonts w:hint="eastAsia" w:ascii="仿宋" w:hAnsi="仿宋" w:eastAsia="仿宋"/>
          <w:b/>
          <w:sz w:val="24"/>
          <w:szCs w:val="24"/>
        </w:rPr>
        <w:t>甲方特别在此声明：同意乙方于本理财产品理财起始日当日将甲方理财指定账户内相应理财资金划转至乙方理财账户，划款前乙方不另行给予通知</w:t>
      </w:r>
      <w:r>
        <w:rPr>
          <w:rFonts w:ascii="仿宋" w:hAnsi="仿宋" w:eastAsia="仿宋"/>
          <w:b/>
          <w:sz w:val="24"/>
          <w:szCs w:val="24"/>
        </w:rPr>
        <w:t>,</w:t>
      </w:r>
      <w:r>
        <w:rPr>
          <w:rFonts w:hint="eastAsia" w:ascii="仿宋" w:hAnsi="仿宋" w:eastAsia="仿宋"/>
          <w:b/>
          <w:sz w:val="24"/>
          <w:szCs w:val="24"/>
        </w:rPr>
        <w:t>划款时也不以电话等方式与甲方进行最后确认，对于风险较高或甲方单笔购买金额较大的理财产品，同样适用上述划款规则。</w:t>
      </w:r>
    </w:p>
    <w:p>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b/>
          <w:bCs/>
          <w:sz w:val="24"/>
          <w:szCs w:val="24"/>
        </w:rPr>
        <w:t>甲方自签署私募类理财产品销售文件之时起，有权享有</w:t>
      </w:r>
      <w:r>
        <w:rPr>
          <w:rFonts w:ascii="仿宋" w:hAnsi="仿宋" w:eastAsia="仿宋"/>
          <w:b/>
          <w:bCs/>
          <w:sz w:val="24"/>
          <w:szCs w:val="24"/>
        </w:rPr>
        <w:t>24</w:t>
      </w:r>
      <w:r>
        <w:rPr>
          <w:rFonts w:hint="eastAsia" w:ascii="仿宋" w:hAnsi="仿宋" w:eastAsia="仿宋"/>
          <w:b/>
          <w:bCs/>
          <w:sz w:val="24"/>
          <w:szCs w:val="24"/>
        </w:rPr>
        <w:t>小时的投资冷静期。</w:t>
      </w:r>
      <w:r>
        <w:rPr>
          <w:rFonts w:hint="eastAsia" w:ascii="仿宋" w:hAnsi="仿宋" w:eastAsia="仿宋"/>
          <w:sz w:val="24"/>
          <w:szCs w:val="24"/>
        </w:rPr>
        <w:t>在冷静期内，如甲方改变投资决定，乙方有义务解除已签订的产品文件，并及时退还全部投资款项。</w:t>
      </w:r>
    </w:p>
    <w:p>
      <w:pPr>
        <w:spacing w:line="360" w:lineRule="auto"/>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甲方保证遵守国家反洗钱</w:t>
      </w:r>
      <w:r>
        <w:rPr>
          <w:rFonts w:hint="eastAsia" w:ascii="仿宋" w:hAnsi="仿宋" w:eastAsia="仿宋"/>
          <w:sz w:val="24"/>
          <w:szCs w:val="24"/>
        </w:rPr>
        <w:t>和反恐怖融资</w:t>
      </w:r>
      <w:r>
        <w:rPr>
          <w:rFonts w:ascii="仿宋" w:hAnsi="仿宋" w:eastAsia="仿宋"/>
          <w:sz w:val="24"/>
          <w:szCs w:val="24"/>
        </w:rPr>
        <w:t>法律、法规及相关政策要求，不从事涉及洗钱、恐怖融资、逃税、逃废债务、套取现金等违法违规活动</w:t>
      </w:r>
      <w:r>
        <w:rPr>
          <w:rFonts w:hint="eastAsia" w:ascii="仿宋" w:hAnsi="仿宋" w:eastAsia="仿宋"/>
          <w:sz w:val="24"/>
          <w:szCs w:val="24"/>
        </w:rPr>
        <w:t>；不属于联合国、我国有权部门发布的反洗钱和反恐怖融资监控名单人员或组织，</w:t>
      </w:r>
      <w:r>
        <w:rPr>
          <w:rFonts w:ascii="仿宋" w:hAnsi="仿宋" w:eastAsia="仿宋"/>
          <w:sz w:val="24"/>
          <w:szCs w:val="24"/>
        </w:rPr>
        <w:t>积极配合乙方和</w:t>
      </w:r>
      <w:r>
        <w:rPr>
          <w:rFonts w:hint="eastAsia" w:ascii="仿宋" w:hAnsi="仿宋" w:eastAsia="仿宋"/>
          <w:sz w:val="24"/>
          <w:szCs w:val="24"/>
        </w:rPr>
        <w:t>销售机构</w:t>
      </w:r>
      <w:r>
        <w:rPr>
          <w:rFonts w:ascii="仿宋" w:hAnsi="仿宋" w:eastAsia="仿宋"/>
          <w:sz w:val="24"/>
          <w:szCs w:val="24"/>
        </w:rPr>
        <w:t>开展包括但不限于投资者</w:t>
      </w:r>
      <w:r>
        <w:rPr>
          <w:rFonts w:hint="eastAsia" w:ascii="仿宋" w:hAnsi="仿宋" w:eastAsia="仿宋"/>
          <w:sz w:val="24"/>
          <w:szCs w:val="24"/>
        </w:rPr>
        <w:t>客户尽职调查</w:t>
      </w:r>
      <w:r>
        <w:rPr>
          <w:rFonts w:ascii="仿宋" w:hAnsi="仿宋" w:eastAsia="仿宋"/>
          <w:sz w:val="24"/>
          <w:szCs w:val="24"/>
        </w:rPr>
        <w:t>、</w:t>
      </w:r>
      <w:r>
        <w:rPr>
          <w:rFonts w:hint="eastAsia" w:ascii="仿宋" w:hAnsi="仿宋" w:eastAsia="仿宋"/>
          <w:sz w:val="24"/>
          <w:szCs w:val="24"/>
        </w:rPr>
        <w:t>客户身份资料及</w:t>
      </w:r>
      <w:r>
        <w:rPr>
          <w:rFonts w:ascii="仿宋" w:hAnsi="仿宋" w:eastAsia="仿宋"/>
          <w:sz w:val="24"/>
          <w:szCs w:val="24"/>
        </w:rPr>
        <w:t>交易记录保存、大额和可疑交易报告</w:t>
      </w:r>
      <w:r>
        <w:rPr>
          <w:rFonts w:hint="eastAsia" w:ascii="仿宋" w:hAnsi="仿宋" w:eastAsia="仿宋"/>
          <w:sz w:val="24"/>
          <w:szCs w:val="24"/>
        </w:rPr>
        <w:t>、反洗钱特别预防措施</w:t>
      </w:r>
      <w:r>
        <w:rPr>
          <w:rFonts w:ascii="仿宋" w:hAnsi="仿宋" w:eastAsia="仿宋"/>
          <w:sz w:val="24"/>
          <w:szCs w:val="24"/>
        </w:rPr>
        <w:t>等各项反洗钱、反恐怖融资及非居民金融账户涉税信息有关的工作，并按乙方或</w:t>
      </w:r>
      <w:r>
        <w:rPr>
          <w:rFonts w:hint="eastAsia" w:ascii="仿宋" w:hAnsi="仿宋" w:eastAsia="仿宋"/>
          <w:sz w:val="24"/>
          <w:szCs w:val="24"/>
        </w:rPr>
        <w:t>销售机构</w:t>
      </w:r>
      <w:r>
        <w:rPr>
          <w:rFonts w:ascii="仿宋" w:hAnsi="仿宋" w:eastAsia="仿宋"/>
          <w:sz w:val="24"/>
          <w:szCs w:val="24"/>
        </w:rPr>
        <w:t>要求及时、真实、准确</w:t>
      </w:r>
      <w:r>
        <w:rPr>
          <w:rFonts w:hint="eastAsia" w:ascii="仿宋" w:hAnsi="仿宋" w:eastAsia="仿宋"/>
          <w:sz w:val="24"/>
          <w:szCs w:val="24"/>
        </w:rPr>
        <w:t>、完整</w:t>
      </w:r>
      <w:r>
        <w:rPr>
          <w:rFonts w:ascii="仿宋" w:hAnsi="仿宋" w:eastAsia="仿宋"/>
          <w:sz w:val="24"/>
          <w:szCs w:val="24"/>
        </w:rPr>
        <w:t>地提供相关证明材料。</w:t>
      </w:r>
    </w:p>
    <w:p>
      <w:pPr>
        <w:spacing w:line="360" w:lineRule="auto"/>
        <w:ind w:firstLine="480" w:firstLineChars="200"/>
        <w:rPr>
          <w:rFonts w:ascii="仿宋" w:hAnsi="仿宋" w:eastAsia="仿宋"/>
          <w:b/>
          <w:sz w:val="24"/>
          <w:szCs w:val="24"/>
        </w:rPr>
      </w:pPr>
      <w:r>
        <w:rPr>
          <w:rFonts w:ascii="仿宋" w:hAnsi="仿宋" w:eastAsia="仿宋"/>
          <w:b/>
          <w:sz w:val="24"/>
          <w:szCs w:val="24"/>
        </w:rPr>
        <w:t>8.</w:t>
      </w:r>
      <w:r>
        <w:rPr>
          <w:rFonts w:hint="eastAsia"/>
          <w:b/>
        </w:rPr>
        <w:t xml:space="preserve"> </w:t>
      </w:r>
      <w:r>
        <w:rPr>
          <w:rFonts w:hint="eastAsia" w:ascii="仿宋" w:hAnsi="仿宋" w:eastAsia="仿宋"/>
          <w:b/>
          <w:sz w:val="24"/>
          <w:szCs w:val="24"/>
        </w:rPr>
        <w:t>甲方授权乙方在遵循合法、正当、必要、授权原则，符合国家法律法规和监管部门规定的前提下，根据理财业务办理需要处理（包括收集、存储、使用、加工、传输、提供、公开等）甲方的以下必要投资者信息。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乙方出于理财产品投资信息管理目的，可收集甲方的个人信息，包括姓名、性别、出生年月、证件</w:t>
      </w:r>
      <w:r>
        <w:rPr>
          <w:rFonts w:ascii="仿宋" w:hAnsi="仿宋" w:eastAsia="仿宋"/>
          <w:sz w:val="24"/>
          <w:szCs w:val="24"/>
        </w:rPr>
        <w:t>类型</w:t>
      </w:r>
      <w:r>
        <w:rPr>
          <w:rFonts w:hint="eastAsia" w:ascii="仿宋" w:hAnsi="仿宋" w:eastAsia="仿宋"/>
          <w:sz w:val="24"/>
          <w:szCs w:val="24"/>
        </w:rPr>
        <w:t>及号码、国籍、通讯地址（居住地址、工作单位地址、邮编）、手机号码、固定电话、电子邮箱，并在乙方业务系统内进行登记、保存，用于理财客户信息管理、客户理财份额登记。</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乙方出于理财业务必要的联系与通知目的，可使用甲方的手机号码、固定电话、电子邮箱等联系方式进行理财产品日常管理、到期提醒、变更通知、信息披露、投诉处理等非接触性联系。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出于确保理财产品风险等级与客户风险承受能力匹配目的，可收集、保存甲方个人身份信息、家庭财产信息、投资偏好信息等，并根据乙方提供的前述信息对其进行风险承受能力评定，向甲方推介符合其风险承受能力的理财产品。</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出于合格投资者认定等客户分类管理目的，可收集、保存甲方个人财产信息，包括但不限于存款、基金、保险、贵金属、资管产品、收入证明、纳税证明及其他甲方自愿提供的可证明其金融资产情况的信息，作为评定客户合格投资者身份的佐证材料。</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出于履行反洗钱和反恐怖融资义务的目的，可收集、保存个人投资者的身份基本信息，包括：姓名、性别、国籍、职业、住所地或工作单位地址、联系方式、身份证件种类、身份证件号码、身份证件有效期限等；机构投资者的基本信息，包括：名称、住所、经营范围，依法设立或者可依法开展经营、社会活动的证明文件名称、号码、有效期限，控股股东或者实际控制人、法定代表人、负责人和授权办理业务人员的姓名、身份证件种类、号码、有效期限，受益所有人的姓名、地址、身份证件种类、号码、有效期限等，并根据《中华人民共和国反洗钱法》《中华人民共和国反恐怖主义法》《金融机构反洗钱规定》等反洗钱和反恐怖融资法律、法规或监管规定，要求甲方提供乙方履行反洗钱、反恐怖融资义务所需的其他信息或证明材料。</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根据监管要求，乙方出于理财业务投资人信息报送目的，须将甲方姓名、证件类型及号码、通讯地址、手机号码、银行账户、交易金额、持仓份额、交易渠道等理财投资交易信息（具体以全国银行业理财信息登记系统数据元规范为准）通过全国银行业理财投资者信息登记系统向全国银行业理财登记托管中心报送。</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乙方依照法律、法规及监管要求报送授权人在乙方形成的个人身份信息和理财交易信息；应有权机关外部检查要求提供个人理财的相关信息和材料（具体以外部检查要求为准）。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可通过甲方办理个人理财业务填写的纸质或电子资料信息、已在乙方留存的个人信息和金融交易行为数据、甲方主动告知等途径收集个人金融信息。乙方可通过保管纸质材料、纸质材料转化为电子影像、直接转化电子信息的方式存储甲方个人金融信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甲方已知悉，处理前述金融信息为申请及办理本授权所涉及的个人理财业务所必需，如乙方没有获得授权或未获取到前述必要个人金融信息，乙方将无法为授权人提供相应金融服务。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应按照国家档案管理和电子数据管理等规定，采取技术措施和其他必要措施妥善保管甲方个人金融信息，并有权存储相关信息自本次申请的业务结清后不少于20年。但极端情况下有可能发生信息毁损、遗失、泄露等情况，乙方将根据消费者个人信息保护应急预案等制度规范尽最大可能保护甲方合法权益。相关法律法规、行政规章及规范性文件另有规定的，从其规定。</w:t>
      </w:r>
    </w:p>
    <w:p>
      <w:pPr>
        <w:spacing w:line="360" w:lineRule="auto"/>
        <w:ind w:firstLine="480" w:firstLineChars="200"/>
        <w:rPr>
          <w:rFonts w:ascii="仿宋" w:hAnsi="仿宋" w:eastAsia="仿宋"/>
          <w:sz w:val="24"/>
          <w:szCs w:val="24"/>
        </w:rPr>
      </w:pPr>
      <w:r>
        <w:rPr>
          <w:rFonts w:hint="eastAsia" w:ascii="仿宋" w:hAnsi="仿宋" w:eastAsia="仿宋"/>
          <w:b/>
          <w:bCs/>
          <w:sz w:val="24"/>
          <w:szCs w:val="24"/>
        </w:rPr>
        <w:t>甲方确认已仔细阅读上述条款，对所有条款的含义及相应的法律后果已全部知晓并充分理解，自愿作出上述授权。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乙方保障甲方依据《个人信息保护法》等相关法律法规、监管规定所享有的权利，如需撤销授权，可联系销售机构或乙方，销售机构或乙方将根据法律法规、监管规定要求与本公司业务规则为甲方处理。</w:t>
      </w:r>
    </w:p>
    <w:p>
      <w:pPr>
        <w:spacing w:line="360" w:lineRule="auto"/>
        <w:ind w:firstLine="480" w:firstLineChars="200"/>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hint="eastAsia" w:ascii="仿宋" w:hAnsi="仿宋" w:eastAsia="仿宋"/>
          <w:b/>
          <w:bCs/>
          <w:sz w:val="24"/>
          <w:szCs w:val="24"/>
        </w:rPr>
        <w:t>甲方保证所提供的所有资料</w:t>
      </w:r>
      <w:r>
        <w:rPr>
          <w:rFonts w:hint="eastAsia" w:ascii="仿宋" w:hAnsi="仿宋" w:eastAsia="仿宋"/>
          <w:b/>
          <w:sz w:val="24"/>
          <w:szCs w:val="24"/>
        </w:rPr>
        <w:t>真实、完整、合法、有效</w:t>
      </w:r>
      <w:r>
        <w:rPr>
          <w:rFonts w:hint="eastAsia" w:ascii="仿宋" w:hAnsi="仿宋" w:eastAsia="仿宋"/>
          <w:sz w:val="24"/>
          <w:szCs w:val="24"/>
        </w:rPr>
        <w:t>，</w:t>
      </w:r>
      <w:r>
        <w:rPr>
          <w:rFonts w:hint="eastAsia" w:ascii="仿宋" w:hAnsi="仿宋" w:eastAsia="仿宋"/>
          <w:b/>
          <w:bCs/>
          <w:sz w:val="24"/>
          <w:szCs w:val="24"/>
        </w:rPr>
        <w:t>如有变更，</w:t>
      </w:r>
      <w:r>
        <w:rPr>
          <w:rFonts w:ascii="仿宋" w:hAnsi="仿宋" w:eastAsia="仿宋"/>
          <w:b/>
          <w:bCs/>
          <w:sz w:val="24"/>
          <w:szCs w:val="24"/>
        </w:rPr>
        <w:t>甲方</w:t>
      </w:r>
      <w:r>
        <w:rPr>
          <w:rFonts w:hint="eastAsia" w:ascii="仿宋" w:hAnsi="仿宋" w:eastAsia="仿宋"/>
          <w:b/>
          <w:bCs/>
          <w:sz w:val="24"/>
          <w:szCs w:val="24"/>
        </w:rPr>
        <w:t>应及时办理变更手续。</w:t>
      </w:r>
      <w:r>
        <w:rPr>
          <w:rFonts w:hint="eastAsia" w:ascii="仿宋" w:hAnsi="仿宋" w:eastAsia="仿宋"/>
          <w:b/>
          <w:sz w:val="24"/>
          <w:szCs w:val="24"/>
        </w:rPr>
        <w:t>若甲方未及时办理相关变更手续，由此导致的一切后果由甲方自行承担。</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（二）乙方的权利义务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1.乙方按照法律法规、本协议及其他理财产品销售文件的约定，诚实守信、勤勉尽责地履行受人之托、代人理财职责，依法维护理财产品全体投资者的利益。</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2.乙方不对任何理财产品的收益情况做出承诺或保证，亦不会承诺或保证最低收益或本金安全。对理财产品本金及收益的约定以理财产品的《产品说明书》为准。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乙方依照产品说明书载明的投资范围、投资资产种类、投资比例进行投资，在投资管理过程中,遇市场变化导致产品投资比例暂时超出产品说明书约定的浮动区间且乙方认为可能对投资者收益产生重大影响时，乙方将及时调整至产品说明书约定的比例范围。</w:t>
      </w:r>
    </w:p>
    <w:p>
      <w:pPr>
        <w:spacing w:line="360" w:lineRule="auto"/>
        <w:ind w:firstLine="480" w:firstLineChars="200"/>
        <w:rPr>
          <w:rFonts w:ascii="仿宋" w:hAnsi="仿宋" w:eastAsia="仿宋"/>
          <w:sz w:val="24"/>
          <w:szCs w:val="24"/>
        </w:rPr>
      </w:pPr>
      <w:r>
        <w:rPr>
          <w:rFonts w:ascii="仿宋" w:hAnsi="仿宋" w:eastAsia="仿宋"/>
          <w:sz w:val="24"/>
          <w:szCs w:val="24"/>
        </w:rPr>
        <w:t>4.甲方通过代销机构购买乙方理财产品时，</w:t>
      </w:r>
      <w:r>
        <w:rPr>
          <w:rFonts w:hint="eastAsia" w:ascii="仿宋" w:hAnsi="仿宋" w:eastAsia="仿宋"/>
          <w:sz w:val="24"/>
          <w:szCs w:val="24"/>
        </w:rPr>
        <w:t>乙方仍应承担设计发行及理财产品管理人的相关义务和责任。代销机构面向甲方实施销售行为过程引发的相关投诉与纠纷，或因代销机构及其人员过错造成的投资人损失，甲方有权直接向代销机构投诉、索赔。</w:t>
      </w:r>
    </w:p>
    <w:p>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.为实现理财产品的投资目标及/或维护理财产品全体投资者的利益，乙方有权行使与投资相关的权利、履行相关义务，有权决定理财产品所投基础资产投资的管理、合同/文件条款变更、赎回、处置与披露等事宜。</w:t>
      </w:r>
    </w:p>
    <w:p>
      <w:pPr>
        <w:spacing w:line="36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b/>
          <w:bCs/>
          <w:sz w:val="24"/>
          <w:szCs w:val="24"/>
        </w:rPr>
        <w:t>乙方有权代表甲方参加理财产品所投资产的相关会议，对相关事项进行表决；乙方有权代表甲方利益，按照法律法规和监管部门相关规定对理财产品投资产生的风险资产进行多种方式的处置，包括但不限于转让、重组、债转股、资产证券化、委外催收、抵债资产收取与处置、破产重整等。当理财产品的资产安全受到侵害时，乙方有权以自身名义代表理财产品全体投资者采取诉讼或其他权利救济措施，所产生的费用和法律后果由理财产品全体投资者承担，乙方有权从追索回来的款项中优先扣除。</w:t>
      </w:r>
    </w:p>
    <w:p>
      <w:pPr>
        <w:spacing w:line="360" w:lineRule="auto"/>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出现法律法规变化、金融政策调整、紧急措施出台、市场情况变化、异常风险事件等情形之一时，乙方可根据需要做出调整《产品说明书》中约定投资计划的决定，包括但不限于投资范围、投资品种、投资比例、投资方式等内容，并通过约定信息披露途径及时通知投资者。超出理财产品销售文件约定比例的，除高风险类型的理财产品超出比例范围投资较低风险资产外，应当先取得投资者书面同意。</w:t>
      </w:r>
    </w:p>
    <w:p>
      <w:pPr>
        <w:spacing w:line="360" w:lineRule="auto"/>
        <w:ind w:firstLine="480" w:firstLineChars="200"/>
        <w:rPr>
          <w:rFonts w:ascii="仿宋" w:hAnsi="仿宋" w:eastAsia="仿宋"/>
          <w:sz w:val="24"/>
          <w:szCs w:val="24"/>
        </w:rPr>
      </w:pPr>
      <w:r>
        <w:rPr>
          <w:rFonts w:ascii="仿宋" w:hAnsi="仿宋" w:eastAsia="仿宋"/>
          <w:sz w:val="24"/>
          <w:szCs w:val="24"/>
        </w:rPr>
        <w:t>8.</w:t>
      </w:r>
      <w:r>
        <w:rPr>
          <w:rFonts w:hint="eastAsia" w:ascii="仿宋" w:hAnsi="仿宋" w:eastAsia="仿宋"/>
          <w:b/>
          <w:sz w:val="24"/>
          <w:szCs w:val="24"/>
        </w:rPr>
        <w:t>乙方有权向甲方收取理财产品的相关费用，具体收费项目、条件、标准和方式等，以《产品说明书》及对应理财产品相关公告中载明为准。</w:t>
      </w:r>
      <w:r>
        <w:rPr>
          <w:rFonts w:hint="eastAsia" w:ascii="仿宋" w:hAnsi="仿宋" w:eastAsia="仿宋"/>
          <w:b/>
          <w:bCs/>
          <w:sz w:val="24"/>
          <w:szCs w:val="24"/>
        </w:rPr>
        <w:t>乙方亦有权依照法律或国家政策规定对已约定的收费项目、条件、标准和方式进行调整，在调整前将通过《产品说明书》约定的信息披露渠道进行信息披露，相关信息披露内容与理财产品销售文件具有同等法律效力。甲方有权不接受调整，并按照乙方信息披露内容中约定的方式提前赎回理财产品。甲方应在充分知晓、理解有关信息披露内容和渠道后签署本协议，并在签署本协议后通过约定的信息披露渠道持续关注理财产品信息披露内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hint="eastAsia"/>
        </w:rPr>
        <w:t xml:space="preserve"> </w:t>
      </w:r>
      <w:r>
        <w:rPr>
          <w:rFonts w:hint="eastAsia" w:ascii="仿宋" w:hAnsi="仿宋" w:eastAsia="仿宋"/>
          <w:sz w:val="24"/>
          <w:szCs w:val="24"/>
        </w:rPr>
        <w:t>鉴于理财产品投资可能涉及复杂的金融交易，乙方在遵循相关法律法规、监管规定并尽可能维护甲方利益的前提下，有权对该类交易中涉及的、双方未能在理财产品文件中约定的事宜按照相关交易惯例处理。</w:t>
      </w:r>
    </w:p>
    <w:p>
      <w:pPr>
        <w:spacing w:line="360" w:lineRule="auto"/>
        <w:ind w:firstLine="480" w:firstLineChars="200"/>
        <w:rPr>
          <w:rFonts w:ascii="仿宋" w:hAnsi="仿宋" w:eastAsia="仿宋"/>
          <w:b/>
          <w:sz w:val="24"/>
          <w:szCs w:val="24"/>
        </w:rPr>
      </w:pPr>
      <w:r>
        <w:rPr>
          <w:rFonts w:hint="eastAsia" w:ascii="仿宋" w:hAnsi="仿宋" w:eastAsia="仿宋"/>
          <w:sz w:val="24"/>
          <w:szCs w:val="24"/>
        </w:rPr>
        <w:t>10</w:t>
      </w:r>
      <w:r>
        <w:rPr>
          <w:rFonts w:ascii="仿宋" w:hAnsi="仿宋" w:eastAsia="仿宋"/>
          <w:sz w:val="24"/>
          <w:szCs w:val="24"/>
        </w:rPr>
        <w:t>.</w:t>
      </w:r>
      <w:r>
        <w:rPr>
          <w:rFonts w:hint="eastAsia"/>
        </w:rPr>
        <w:t xml:space="preserve"> </w:t>
      </w:r>
      <w:r>
        <w:rPr>
          <w:rFonts w:hint="eastAsia" w:ascii="仿宋" w:hAnsi="仿宋" w:eastAsia="仿宋"/>
          <w:b/>
          <w:sz w:val="24"/>
          <w:szCs w:val="24"/>
        </w:rPr>
        <w:t>乙方在理财产品实际到期日或开放时间内赎回日起的N个工作日内（具体详见每期产品说明书约定）将理财收益和本金通过销售</w:t>
      </w:r>
      <w:r>
        <w:rPr>
          <w:rFonts w:ascii="仿宋" w:hAnsi="仿宋" w:eastAsia="仿宋"/>
          <w:b/>
          <w:sz w:val="24"/>
          <w:szCs w:val="24"/>
        </w:rPr>
        <w:t>机构</w:t>
      </w:r>
      <w:r>
        <w:rPr>
          <w:rFonts w:hint="eastAsia" w:ascii="仿宋" w:hAnsi="仿宋" w:eastAsia="仿宋"/>
          <w:b/>
          <w:sz w:val="24"/>
          <w:szCs w:val="24"/>
        </w:rPr>
        <w:t>划入甲方理财指定账户，到期日或开放时间内赎回日至资金到账日期间，甲方资金不计利息。乙方向甲方支付的投资理财收益为未扣税收益，相关税款由甲方自行缴纳，乙方不承担代扣代缴相关税款的责任，法律、法规或规章规定必须由乙方代扣代缴的除外。</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三、免责条款</w:t>
      </w:r>
    </w:p>
    <w:p>
      <w:pPr>
        <w:spacing w:line="360" w:lineRule="auto"/>
        <w:ind w:firstLine="480"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因法律法规及监管政策变化、自然灾害、战争等不能预见、不能避免、不能克服的不可抗力事件或系统故障、通讯故障、投资市场停止交易等意外事件，导致乙方无法或延后履行本协议的有关义务，</w:t>
      </w:r>
      <w:r>
        <w:rPr>
          <w:rFonts w:ascii="仿宋" w:hAnsi="仿宋" w:eastAsia="仿宋"/>
          <w:b/>
          <w:sz w:val="24"/>
          <w:szCs w:val="24"/>
        </w:rPr>
        <w:t>或造成理财产品损失</w:t>
      </w:r>
      <w:r>
        <w:rPr>
          <w:rFonts w:hint="eastAsia" w:ascii="仿宋" w:hAnsi="仿宋" w:eastAsia="仿宋"/>
          <w:b/>
          <w:sz w:val="24"/>
          <w:szCs w:val="24"/>
        </w:rPr>
        <w:t>，乙方不承担责任，但应以适当的方式通知甲方，并采取一切必要的补救措施以减少有关损失。</w:t>
      </w:r>
    </w:p>
    <w:p>
      <w:pPr>
        <w:spacing w:line="360" w:lineRule="auto"/>
        <w:ind w:firstLine="480" w:firstLineChars="200"/>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由于国家有关法律、法规、政策的改变、紧急措施的出台而导致甲方承担的风险，乙方不承担责任，但应在条件允许的情况下通知甲方（包括但不限于网站公告、网上银行、手机银行等），并采取一切必要的补救措施以减少以上原因造成的损失。</w:t>
      </w:r>
    </w:p>
    <w:p>
      <w:pPr>
        <w:spacing w:line="360" w:lineRule="auto"/>
        <w:ind w:firstLine="480" w:firstLineChars="200"/>
        <w:rPr>
          <w:rFonts w:ascii="仿宋" w:hAnsi="仿宋" w:eastAsia="仿宋"/>
          <w:b/>
          <w:bCs/>
          <w:sz w:val="24"/>
          <w:szCs w:val="24"/>
        </w:rPr>
      </w:pPr>
      <w:r>
        <w:rPr>
          <w:rFonts w:ascii="仿宋" w:hAnsi="仿宋" w:eastAsia="仿宋"/>
          <w:b/>
          <w:bCs/>
          <w:sz w:val="24"/>
          <w:szCs w:val="24"/>
        </w:rPr>
        <w:t>3.在本理财</w:t>
      </w:r>
      <w:r>
        <w:rPr>
          <w:rFonts w:hint="eastAsia" w:ascii="仿宋" w:hAnsi="仿宋" w:eastAsia="仿宋"/>
          <w:b/>
          <w:bCs/>
          <w:sz w:val="24"/>
          <w:szCs w:val="24"/>
        </w:rPr>
        <w:t>产品</w:t>
      </w:r>
      <w:r>
        <w:rPr>
          <w:rFonts w:ascii="仿宋" w:hAnsi="仿宋" w:eastAsia="仿宋"/>
          <w:b/>
          <w:bCs/>
          <w:sz w:val="24"/>
          <w:szCs w:val="24"/>
        </w:rPr>
        <w:t>存续期内，如有权机关要求</w:t>
      </w:r>
      <w:r>
        <w:rPr>
          <w:rFonts w:hint="eastAsia" w:ascii="仿宋" w:hAnsi="仿宋" w:eastAsia="仿宋"/>
          <w:b/>
          <w:bCs/>
          <w:sz w:val="24"/>
          <w:szCs w:val="24"/>
        </w:rPr>
        <w:t>乙方</w:t>
      </w:r>
      <w:r>
        <w:rPr>
          <w:rFonts w:ascii="仿宋" w:hAnsi="仿宋" w:eastAsia="仿宋"/>
          <w:b/>
          <w:bCs/>
          <w:sz w:val="24"/>
          <w:szCs w:val="24"/>
        </w:rPr>
        <w:t>配合对</w:t>
      </w:r>
      <w:r>
        <w:rPr>
          <w:rFonts w:hint="eastAsia" w:ascii="仿宋" w:hAnsi="仿宋" w:eastAsia="仿宋"/>
          <w:b/>
          <w:bCs/>
          <w:sz w:val="24"/>
          <w:szCs w:val="24"/>
        </w:rPr>
        <w:t>甲方</w:t>
      </w:r>
      <w:r>
        <w:rPr>
          <w:rFonts w:ascii="仿宋" w:hAnsi="仿宋" w:eastAsia="仿宋"/>
          <w:b/>
          <w:bCs/>
          <w:sz w:val="24"/>
          <w:szCs w:val="24"/>
        </w:rPr>
        <w:t>理财份额、理财账户、授权指定账户进行查封、冻结或扣划的，</w:t>
      </w:r>
      <w:r>
        <w:rPr>
          <w:rFonts w:hint="eastAsia" w:ascii="仿宋" w:hAnsi="仿宋" w:eastAsia="仿宋"/>
          <w:b/>
          <w:bCs/>
          <w:sz w:val="24"/>
          <w:szCs w:val="24"/>
        </w:rPr>
        <w:t>乙方</w:t>
      </w:r>
      <w:r>
        <w:rPr>
          <w:rFonts w:ascii="仿宋" w:hAnsi="仿宋" w:eastAsia="仿宋"/>
          <w:b/>
          <w:bCs/>
          <w:sz w:val="24"/>
          <w:szCs w:val="24"/>
        </w:rPr>
        <w:t>有权根据实际情况采取包括但不限于全额或部分终止理财交易、停止向</w:t>
      </w:r>
      <w:r>
        <w:rPr>
          <w:rFonts w:hint="eastAsia" w:ascii="仿宋" w:hAnsi="仿宋" w:eastAsia="仿宋"/>
          <w:b/>
          <w:bCs/>
          <w:sz w:val="24"/>
          <w:szCs w:val="24"/>
        </w:rPr>
        <w:t>甲方</w:t>
      </w:r>
      <w:r>
        <w:rPr>
          <w:rFonts w:ascii="仿宋" w:hAnsi="仿宋" w:eastAsia="仿宋"/>
          <w:b/>
          <w:bCs/>
          <w:sz w:val="24"/>
          <w:szCs w:val="24"/>
        </w:rPr>
        <w:t>支付投资本金及投资收益</w:t>
      </w:r>
      <w:r>
        <w:rPr>
          <w:rFonts w:hint="eastAsia" w:ascii="仿宋" w:hAnsi="仿宋" w:eastAsia="仿宋"/>
          <w:b/>
          <w:bCs/>
          <w:sz w:val="24"/>
          <w:szCs w:val="24"/>
        </w:rPr>
        <w:t>等措施</w:t>
      </w:r>
      <w:r>
        <w:rPr>
          <w:rFonts w:ascii="仿宋" w:hAnsi="仿宋" w:eastAsia="仿宋"/>
          <w:b/>
          <w:bCs/>
          <w:sz w:val="24"/>
          <w:szCs w:val="24"/>
        </w:rPr>
        <w:t>。由于提前终止交易而产生的一切损失及费用将由</w:t>
      </w:r>
      <w:r>
        <w:rPr>
          <w:rFonts w:hint="eastAsia" w:ascii="仿宋" w:hAnsi="仿宋" w:eastAsia="仿宋"/>
          <w:b/>
          <w:bCs/>
          <w:sz w:val="24"/>
          <w:szCs w:val="24"/>
        </w:rPr>
        <w:t>甲方</w:t>
      </w:r>
      <w:r>
        <w:rPr>
          <w:rFonts w:ascii="仿宋" w:hAnsi="仿宋" w:eastAsia="仿宋"/>
          <w:b/>
          <w:bCs/>
          <w:sz w:val="24"/>
          <w:szCs w:val="24"/>
        </w:rPr>
        <w:t>承担，</w:t>
      </w:r>
      <w:r>
        <w:rPr>
          <w:rFonts w:hint="eastAsia" w:ascii="仿宋" w:hAnsi="仿宋" w:eastAsia="仿宋"/>
          <w:b/>
          <w:bCs/>
          <w:sz w:val="24"/>
          <w:szCs w:val="24"/>
        </w:rPr>
        <w:t>乙方</w:t>
      </w:r>
      <w:r>
        <w:rPr>
          <w:rFonts w:ascii="仿宋" w:hAnsi="仿宋" w:eastAsia="仿宋"/>
          <w:b/>
          <w:bCs/>
          <w:sz w:val="24"/>
          <w:szCs w:val="24"/>
        </w:rPr>
        <w:t>有权将此损失及费用从</w:t>
      </w:r>
      <w:r>
        <w:rPr>
          <w:rFonts w:hint="eastAsia" w:ascii="仿宋" w:hAnsi="仿宋" w:eastAsia="仿宋"/>
          <w:b/>
          <w:bCs/>
          <w:sz w:val="24"/>
          <w:szCs w:val="24"/>
        </w:rPr>
        <w:t>甲方</w:t>
      </w:r>
      <w:r>
        <w:rPr>
          <w:rFonts w:ascii="仿宋" w:hAnsi="仿宋" w:eastAsia="仿宋"/>
          <w:b/>
          <w:bCs/>
          <w:sz w:val="24"/>
          <w:szCs w:val="24"/>
        </w:rPr>
        <w:t>的授权指定账户、理财本金及收益中扣除。</w:t>
      </w:r>
      <w:r>
        <w:rPr>
          <w:rFonts w:hint="eastAsia" w:ascii="仿宋" w:hAnsi="仿宋" w:eastAsia="仿宋"/>
          <w:b/>
          <w:bCs/>
          <w:sz w:val="24"/>
          <w:szCs w:val="24"/>
        </w:rPr>
        <w:t>乙方</w:t>
      </w:r>
      <w:r>
        <w:rPr>
          <w:rFonts w:ascii="仿宋" w:hAnsi="仿宋" w:eastAsia="仿宋"/>
          <w:b/>
          <w:bCs/>
          <w:sz w:val="24"/>
          <w:szCs w:val="24"/>
        </w:rPr>
        <w:t>对上述后果不承担任何责任。</w:t>
      </w:r>
    </w:p>
    <w:p>
      <w:pPr>
        <w:spacing w:line="360" w:lineRule="auto"/>
        <w:ind w:firstLine="480" w:firstLineChars="200"/>
        <w:rPr>
          <w:rFonts w:ascii="仿宋" w:hAnsi="仿宋" w:eastAsia="仿宋"/>
          <w:b/>
          <w:sz w:val="24"/>
          <w:szCs w:val="24"/>
        </w:rPr>
      </w:pPr>
      <w:r>
        <w:rPr>
          <w:rFonts w:hint="eastAsia" w:ascii="仿宋" w:hAnsi="仿宋" w:eastAsia="仿宋"/>
          <w:b/>
          <w:bCs/>
          <w:sz w:val="24"/>
          <w:szCs w:val="24"/>
        </w:rPr>
        <w:t>4.因甲方指定账户冻结、挂失、换卡、销户、长期不动户等原因造成账户变更或异常，甲方应及时到销售机构办理变更手续，并经乙方和销售机构确认。</w:t>
      </w:r>
      <w:r>
        <w:rPr>
          <w:rFonts w:hint="eastAsia" w:ascii="仿宋" w:hAnsi="仿宋" w:eastAsia="仿宋"/>
          <w:b/>
          <w:sz w:val="24"/>
          <w:szCs w:val="24"/>
        </w:rPr>
        <w:t>如因甲方未及时办理变更手续而造成乙方及/或销售机构无法向甲方进行正常收益分配和资金清算分配，由此导致甲方损失的由甲方自行承担，乙方不承担责任。</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5.乙方或其销售机构发现或有合理理由怀疑甲方存在高风险情形、甲方或其资金、交易行为与洗钱、恐怖融资、逃税等犯罪活动相关的，乙方有权采取拒绝或暂停接受申请、限制交易、冻结份额以及提前终止业务等一项或多项限制措施，造成甲方损失的，乙方不承担责任。</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四、协议的生效与失效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甲乙双方认可本协议可以纸质或电子数据等形式提交、订立或确认。</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线下签约方式。本协议自甲方在协议上签字或盖章（甲方为自然人的，应签字；甲方为机构的，应由法定代表人或授权代理人签字并加盖公章）且乙方确认甲方成功认（申）购并收到甲方缴付的全部投资本金之日起生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电子渠道签约方式。通过电子渠道进行理财交易的，本协议经甲方通过点击确认或完成电子签署（含USBKey、人脸识别、银联要素验证等）且乙方确认甲方成功认（申）购并收到甲方缴付的全部投资本金之日起生效。</w:t>
      </w:r>
      <w:r>
        <w:rPr>
          <w:rFonts w:hint="eastAsia" w:ascii="仿宋" w:hAnsi="仿宋" w:eastAsia="仿宋"/>
          <w:b/>
          <w:bCs/>
          <w:sz w:val="24"/>
          <w:szCs w:val="24"/>
        </w:rPr>
        <w:t>甲方签署本协议表示甲方同意接受本协议，以及对应《产品说明书》、《风险揭示书》、《（代理）销售协议书》、《投资者权益须知》等相关销售文件的全部约定内容，并认可其法律约束力。</w:t>
      </w:r>
    </w:p>
    <w:p>
      <w:pPr>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甲方购买多个乙方发行</w:t>
      </w:r>
      <w:r>
        <w:rPr>
          <w:rFonts w:ascii="仿宋" w:hAnsi="仿宋" w:eastAsia="仿宋"/>
          <w:sz w:val="24"/>
          <w:szCs w:val="24"/>
        </w:rPr>
        <w:t>的</w:t>
      </w:r>
      <w:r>
        <w:rPr>
          <w:rFonts w:hint="eastAsia" w:ascii="仿宋" w:hAnsi="仿宋" w:eastAsia="仿宋"/>
          <w:sz w:val="24"/>
          <w:szCs w:val="24"/>
        </w:rPr>
        <w:t>理财产品时，该份理财产品销售文件的效力和履行情况均独立于其他理财产品销售文件。</w:t>
      </w:r>
    </w:p>
    <w:p>
      <w:pPr>
        <w:spacing w:line="360" w:lineRule="auto"/>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.发生理财产品到期、提前终止、提前赎回等情形并结清后，本协议自动终止（本协议个人金融信息授权相关条款除外）。</w:t>
      </w:r>
    </w:p>
    <w:p>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hint="eastAsia"/>
        </w:rPr>
        <w:t xml:space="preserve"> </w:t>
      </w:r>
      <w:r>
        <w:rPr>
          <w:rFonts w:hint="eastAsia" w:ascii="仿宋" w:hAnsi="仿宋" w:eastAsia="仿宋"/>
          <w:sz w:val="24"/>
          <w:szCs w:val="24"/>
        </w:rPr>
        <w:t>如甲方购买理财产品后，又变更该笔理财产品销售文件的具体内容（包括但不限于交易变更、金额变更、资金账户变更、投资者信息变更等），则以双方最近一次交易达成的交易内容为准。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五、本协议适用中华人民共和国法律，为本协议之目的，不包括香港特别行政区、澳门特别行政区和台湾地区的法律；法律、法规或规章无明文规定的，可适用通行的金融惯例。如本协议履行过程中部分条款与法律、法规或规章的规定相抵触时，有关的权利和义务应按相关法律、法规或规章的规定履行。</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六</w:t>
      </w:r>
      <w:r>
        <w:rPr>
          <w:rFonts w:ascii="仿宋" w:hAnsi="仿宋" w:eastAsia="仿宋"/>
          <w:b/>
          <w:sz w:val="24"/>
          <w:szCs w:val="24"/>
        </w:rPr>
        <w:t>、</w:t>
      </w:r>
      <w:r>
        <w:rPr>
          <w:rFonts w:hint="eastAsia" w:ascii="仿宋" w:hAnsi="仿宋" w:eastAsia="仿宋"/>
          <w:b/>
          <w:sz w:val="24"/>
          <w:szCs w:val="24"/>
        </w:rPr>
        <w:t>争议的解决</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甲乙双方因履行本协议或与本协议有关的活动而产生的一切争议，应首先本着诚实信用原则通过友好协商解决；不能协商解决的，任何一方应向乙方住所地有管辖权的人民法院提起诉讼。在争议解决期间，若该争议不影响本协议及理财产品销售文件其他条款的履行，则该其他条款应继续履行。因处理争议产生的费用（包括但不限于律师费等），除法院判决/裁定另有规定，由败诉方承担。</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七、本协议一式二份，投资者和浙银理财分别保留一份，每份具有同等的法律效力。</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八</w:t>
      </w:r>
      <w:r>
        <w:rPr>
          <w:rFonts w:ascii="仿宋" w:hAnsi="仿宋" w:eastAsia="仿宋"/>
          <w:b/>
          <w:sz w:val="24"/>
          <w:szCs w:val="24"/>
        </w:rPr>
        <w:t>、</w:t>
      </w:r>
      <w:r>
        <w:rPr>
          <w:rFonts w:hint="eastAsia" w:ascii="仿宋" w:hAnsi="仿宋" w:eastAsia="仿宋"/>
          <w:b/>
          <w:sz w:val="24"/>
          <w:szCs w:val="24"/>
        </w:rPr>
        <w:t>本协议未尽事宜，以理财产品《产品说明书》、《风险揭示书》、《</w:t>
      </w:r>
      <w:r>
        <w:rPr>
          <w:rFonts w:hint="eastAsia" w:ascii="仿宋" w:hAnsi="仿宋" w:eastAsia="仿宋"/>
          <w:b/>
          <w:bCs/>
          <w:sz w:val="24"/>
          <w:szCs w:val="24"/>
        </w:rPr>
        <w:t>（代理）销售协议书</w:t>
      </w:r>
      <w:r>
        <w:rPr>
          <w:rFonts w:hint="eastAsia" w:ascii="仿宋" w:hAnsi="仿宋" w:eastAsia="仿宋"/>
          <w:b/>
          <w:sz w:val="24"/>
          <w:szCs w:val="24"/>
        </w:rPr>
        <w:t>》及《投资者权益须知》的内容为准。</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九、业务咨询及投诉</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1.甲方对本产品有任何意见或异议，或其它疑义事项，可向销售机构或产品管理人进行反馈。</w:t>
      </w:r>
      <w:r>
        <w:rPr>
          <w:rFonts w:hint="eastAsia" w:ascii="仿宋" w:hAnsi="仿宋" w:eastAsia="仿宋"/>
          <w:bCs/>
          <w:sz w:val="24"/>
          <w:szCs w:val="24"/>
        </w:rPr>
        <w:t>销售机构或产品管理人将由专人接听，记录您的意见建议，并由双方协商共同解决。</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2.联络方式：</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销售机构：</w:t>
      </w:r>
      <w:r>
        <w:rPr>
          <w:rFonts w:hint="eastAsia" w:ascii="仿宋_GB2312" w:hAnsi="Times New Roman" w:eastAsia="仿宋_GB2312"/>
          <w:kern w:val="0"/>
          <w:sz w:val="24"/>
        </w:rPr>
        <w:t>通过浙江萧山农村商业银行股份有限公司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，浙江萧山农村商业银行股份有限公司，客户服务热线96596，官方网站：www.zjxsbank.com；通过浙江德清农村商业银行股份有限公司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，浙江德清农村商业银行股份有限公司，客户服务热线96596，官方网站：www.</w:t>
      </w:r>
      <w:r>
        <w:rPr>
          <w:rFonts w:ascii="仿宋_GB2312" w:hAnsi="Times New Roman" w:eastAsia="仿宋_GB2312"/>
          <w:kern w:val="0"/>
          <w:sz w:val="24"/>
        </w:rPr>
        <w:t>deqing</w:t>
      </w:r>
      <w:r>
        <w:rPr>
          <w:rFonts w:hint="eastAsia" w:ascii="仿宋_GB2312" w:hAnsi="Times New Roman" w:eastAsia="仿宋_GB2312"/>
          <w:kern w:val="0"/>
          <w:sz w:val="24"/>
        </w:rPr>
        <w:t>bank.com。通过浙江</w:t>
      </w:r>
      <w:r>
        <w:rPr>
          <w:rFonts w:hint="eastAsia" w:ascii="仿宋_GB2312" w:hAnsi="Times New Roman" w:eastAsia="仿宋_GB2312"/>
          <w:kern w:val="0"/>
          <w:sz w:val="24"/>
          <w:lang w:eastAsia="zh-CN"/>
        </w:rPr>
        <w:t>禾城</w:t>
      </w:r>
      <w:r>
        <w:rPr>
          <w:rFonts w:hint="eastAsia" w:ascii="仿宋_GB2312" w:hAnsi="Times New Roman" w:eastAsia="仿宋_GB2312"/>
          <w:kern w:val="0"/>
          <w:sz w:val="24"/>
        </w:rPr>
        <w:t>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w:t>
      </w:r>
      <w:r>
        <w:rPr>
          <w:rFonts w:hint="eastAsia" w:ascii="仿宋_GB2312" w:hAnsi="Times New Roman" w:eastAsia="仿宋_GB2312"/>
          <w:kern w:val="0"/>
          <w:sz w:val="24"/>
          <w:lang w:eastAsia="zh-CN"/>
        </w:rPr>
        <w:t>禾城</w:t>
      </w:r>
      <w:r>
        <w:rPr>
          <w:rFonts w:hint="eastAsia" w:ascii="仿宋_GB2312" w:hAnsi="Times New Roman" w:eastAsia="仿宋_GB2312"/>
          <w:kern w:val="0"/>
          <w:sz w:val="24"/>
        </w:rPr>
        <w:t>农村商业银行股份有限公司，客户服务热线96596，官方网站：www.zjhcbank.com 。通过浙江</w:t>
      </w:r>
      <w:r>
        <w:rPr>
          <w:rFonts w:hint="eastAsia" w:ascii="仿宋_GB2312" w:hAnsi="Times New Roman" w:eastAsia="仿宋_GB2312"/>
          <w:kern w:val="0"/>
          <w:sz w:val="24"/>
          <w:lang w:eastAsia="zh-CN"/>
        </w:rPr>
        <w:t>海宁</w:t>
      </w:r>
      <w:r>
        <w:rPr>
          <w:rFonts w:hint="eastAsia" w:ascii="仿宋_GB2312" w:hAnsi="Times New Roman" w:eastAsia="仿宋_GB2312"/>
          <w:kern w:val="0"/>
          <w:sz w:val="24"/>
        </w:rPr>
        <w:t>农村商业银行股份有限公司</w:t>
      </w:r>
      <w:r>
        <w:rPr>
          <w:rFonts w:ascii="仿宋_GB2312" w:hAnsi="Times New Roman" w:eastAsia="仿宋_GB2312"/>
          <w:kern w:val="0"/>
          <w:sz w:val="24"/>
        </w:rPr>
        <w:t>（作为销售机构）购买本理财</w:t>
      </w:r>
      <w:r>
        <w:rPr>
          <w:rFonts w:hint="eastAsia" w:ascii="仿宋_GB2312" w:hAnsi="Times New Roman" w:eastAsia="仿宋_GB2312"/>
          <w:kern w:val="0"/>
          <w:sz w:val="24"/>
        </w:rPr>
        <w:t>产品</w:t>
      </w:r>
      <w:r>
        <w:rPr>
          <w:rFonts w:ascii="仿宋_GB2312" w:hAnsi="Times New Roman" w:eastAsia="仿宋_GB2312"/>
          <w:kern w:val="0"/>
          <w:sz w:val="24"/>
        </w:rPr>
        <w:t>的</w:t>
      </w:r>
      <w:r>
        <w:rPr>
          <w:rFonts w:hint="eastAsia" w:ascii="仿宋_GB2312" w:hAnsi="Times New Roman" w:eastAsia="仿宋_GB2312"/>
          <w:kern w:val="0"/>
          <w:sz w:val="24"/>
        </w:rPr>
        <w:t>，浙江</w:t>
      </w:r>
      <w:r>
        <w:rPr>
          <w:rFonts w:hint="eastAsia" w:ascii="仿宋_GB2312" w:hAnsi="Times New Roman" w:eastAsia="仿宋_GB2312"/>
          <w:kern w:val="0"/>
          <w:sz w:val="24"/>
          <w:lang w:eastAsia="zh-CN"/>
        </w:rPr>
        <w:t>海宁</w:t>
      </w:r>
      <w:r>
        <w:rPr>
          <w:rFonts w:hint="eastAsia" w:ascii="仿宋_GB2312" w:hAnsi="Times New Roman" w:eastAsia="仿宋_GB2312"/>
          <w:kern w:val="0"/>
          <w:sz w:val="24"/>
        </w:rPr>
        <w:t>农村商业银行股份有限公司，客户服务热线96596，官方网站：www.zjhnrb.com</w:t>
      </w:r>
      <w:bookmarkStart w:id="0" w:name="_GoBack"/>
      <w:bookmarkEnd w:id="0"/>
      <w:r>
        <w:rPr>
          <w:rFonts w:hint="eastAsia" w:ascii="仿宋_GB2312" w:hAnsi="Times New Roman" w:eastAsia="仿宋_GB2312"/>
          <w:kern w:val="0"/>
          <w:sz w:val="24"/>
        </w:rPr>
        <w:t>。</w:t>
      </w:r>
      <w:r>
        <w:rPr>
          <w:rFonts w:ascii="仿宋_GB2312" w:hAnsi="Times New Roman" w:eastAsia="仿宋_GB2312"/>
          <w:kern w:val="0"/>
          <w:sz w:val="24"/>
        </w:rPr>
        <w:t>在其他销售机构购买理财</w:t>
      </w:r>
      <w:r>
        <w:rPr>
          <w:rFonts w:hint="eastAsia" w:ascii="仿宋_GB2312" w:hAnsi="Times New Roman" w:eastAsia="仿宋_GB2312"/>
          <w:kern w:val="0"/>
          <w:sz w:val="24"/>
        </w:rPr>
        <w:t>产品</w:t>
      </w:r>
      <w:r>
        <w:rPr>
          <w:rFonts w:ascii="仿宋_GB2312" w:hAnsi="Times New Roman" w:eastAsia="仿宋_GB2312"/>
          <w:kern w:val="0"/>
          <w:sz w:val="24"/>
        </w:rPr>
        <w:t>的，请联系其他销售机构，</w:t>
      </w:r>
      <w:r>
        <w:rPr>
          <w:rFonts w:hint="eastAsia" w:ascii="仿宋_GB2312" w:hAnsi="Times New Roman" w:eastAsia="仿宋_GB2312"/>
          <w:kern w:val="0"/>
          <w:sz w:val="24"/>
        </w:rPr>
        <w:t>具体以《（代理）销售协议书》、《投资者权益须知》等销售文件的披露为准</w:t>
      </w:r>
      <w:r>
        <w:rPr>
          <w:rFonts w:ascii="仿宋_GB2312" w:hAnsi="Times New Roman" w:eastAsia="仿宋_GB2312"/>
          <w:kern w:val="0"/>
          <w:sz w:val="24"/>
        </w:rPr>
        <w:t>。</w:t>
      </w:r>
    </w:p>
    <w:p>
      <w:pPr>
        <w:spacing w:line="360" w:lineRule="auto"/>
        <w:ind w:firstLine="480" w:firstLineChars="200"/>
        <w:rPr>
          <w:rFonts w:ascii="仿宋" w:hAnsi="仿宋" w:eastAsia="仿宋"/>
          <w:b/>
          <w:sz w:val="24"/>
          <w:szCs w:val="24"/>
        </w:rPr>
      </w:pPr>
      <w:r>
        <w:rPr>
          <w:rFonts w:hint="eastAsia" w:ascii="仿宋" w:hAnsi="仿宋" w:eastAsia="仿宋"/>
          <w:b/>
          <w:sz w:val="24"/>
          <w:szCs w:val="24"/>
        </w:rPr>
        <w:t>产品管理人：浙银理财客户服务热线：0571-57192881；浙银理财官方网站：</w:t>
      </w:r>
      <w:r>
        <w:rPr>
          <w:rFonts w:ascii="仿宋" w:hAnsi="仿宋" w:eastAsia="仿宋"/>
          <w:b/>
          <w:sz w:val="24"/>
          <w:szCs w:val="24"/>
        </w:rPr>
        <w:t>www.czbank-wm.com</w:t>
      </w:r>
      <w:r>
        <w:rPr>
          <w:rFonts w:hint="eastAsia" w:ascii="仿宋" w:hAnsi="仿宋" w:eastAsia="仿宋"/>
          <w:b/>
          <w:sz w:val="24"/>
          <w:szCs w:val="24"/>
        </w:rPr>
        <w:t>。</w:t>
      </w:r>
    </w:p>
    <w:p>
      <w:pPr>
        <w:rPr>
          <w:rFonts w:hint="eastAsia"/>
          <w:sz w:val="24"/>
          <w:szCs w:val="24"/>
        </w:rPr>
      </w:pPr>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b/>
        <w:sz w:val="24"/>
      </w:rPr>
    </w:pPr>
    <w:r>
      <w:rPr>
        <w:rFonts w:hint="eastAsia"/>
        <w:b/>
        <w:sz w:val="24"/>
      </w:rPr>
      <w:t>理财非存款</w:t>
    </w:r>
    <w:r>
      <w:rPr>
        <w:b/>
        <w:sz w:val="24"/>
      </w:rPr>
      <w:t xml:space="preserve"> </w:t>
    </w:r>
    <w:r>
      <w:rPr>
        <w:rFonts w:hint="eastAsia"/>
        <w:b/>
        <w:sz w:val="24"/>
      </w:rPr>
      <w:t>产品有风险</w:t>
    </w:r>
    <w:r>
      <w:rPr>
        <w:b/>
        <w:sz w:val="24"/>
      </w:rPr>
      <w:t xml:space="preserve"> </w:t>
    </w:r>
    <w:r>
      <w:rPr>
        <w:rFonts w:hint="eastAsia"/>
        <w:b/>
        <w:sz w:val="24"/>
      </w:rPr>
      <w:t>投资须谨慎</w:t>
    </w:r>
    <w:r>
      <w:rPr>
        <w:b/>
        <w:sz w:val="24"/>
      </w:rPr>
      <w:t xml:space="preserve">  </w:t>
    </w:r>
    <w:r>
      <w:rPr>
        <w:rFonts w:hint="eastAsia"/>
        <w:b/>
        <w:sz w:val="21"/>
      </w:rPr>
      <w:t xml:space="preserve">                    </w:t>
    </w:r>
    <w:r>
      <w:rPr>
        <w:b/>
        <w:sz w:val="21"/>
      </w:rPr>
      <w:t xml:space="preserve">         </w:t>
    </w:r>
    <w:r>
      <w:rPr>
        <w:rFonts w:hint="eastAsia"/>
        <w:b/>
        <w:sz w:val="21"/>
      </w:rPr>
      <w:t xml:space="preserve"> </w:t>
    </w:r>
    <w:r>
      <w:rPr>
        <w:b/>
        <w:sz w:val="21"/>
      </w:rPr>
      <w:t xml:space="preserve">                     </w:t>
    </w:r>
    <w:r>
      <w:rPr>
        <w:rFonts w:hint="eastAsia"/>
        <w:b/>
        <w:sz w:val="24"/>
      </w:rPr>
      <w:t>浙</w:t>
    </w:r>
    <w:r>
      <w:rPr>
        <w:b/>
        <w:sz w:val="24"/>
      </w:rPr>
      <w:t>银理财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3F"/>
    <w:rsid w:val="00001A8A"/>
    <w:rsid w:val="00002202"/>
    <w:rsid w:val="00003465"/>
    <w:rsid w:val="000034B1"/>
    <w:rsid w:val="00003627"/>
    <w:rsid w:val="000045D6"/>
    <w:rsid w:val="000051BB"/>
    <w:rsid w:val="00007FF7"/>
    <w:rsid w:val="000118E2"/>
    <w:rsid w:val="00014973"/>
    <w:rsid w:val="00016F63"/>
    <w:rsid w:val="0001700B"/>
    <w:rsid w:val="00017F8F"/>
    <w:rsid w:val="00021933"/>
    <w:rsid w:val="00021C50"/>
    <w:rsid w:val="000223C4"/>
    <w:rsid w:val="000226E6"/>
    <w:rsid w:val="000233DA"/>
    <w:rsid w:val="00023F5E"/>
    <w:rsid w:val="00027B90"/>
    <w:rsid w:val="00027C68"/>
    <w:rsid w:val="00030944"/>
    <w:rsid w:val="00030BC9"/>
    <w:rsid w:val="000319BE"/>
    <w:rsid w:val="00035C1C"/>
    <w:rsid w:val="0003736A"/>
    <w:rsid w:val="00041252"/>
    <w:rsid w:val="000415AA"/>
    <w:rsid w:val="000431E5"/>
    <w:rsid w:val="00044093"/>
    <w:rsid w:val="000446BA"/>
    <w:rsid w:val="00044804"/>
    <w:rsid w:val="000472B3"/>
    <w:rsid w:val="000475D1"/>
    <w:rsid w:val="00047AC5"/>
    <w:rsid w:val="00047E39"/>
    <w:rsid w:val="00050DF7"/>
    <w:rsid w:val="00050ED6"/>
    <w:rsid w:val="00051CBD"/>
    <w:rsid w:val="00051DBD"/>
    <w:rsid w:val="00052D3C"/>
    <w:rsid w:val="0005535C"/>
    <w:rsid w:val="00056AE1"/>
    <w:rsid w:val="000577A3"/>
    <w:rsid w:val="00063F96"/>
    <w:rsid w:val="00064B7F"/>
    <w:rsid w:val="000652DC"/>
    <w:rsid w:val="00065679"/>
    <w:rsid w:val="00065A4A"/>
    <w:rsid w:val="00067F68"/>
    <w:rsid w:val="000723FC"/>
    <w:rsid w:val="00073ED7"/>
    <w:rsid w:val="00074DFA"/>
    <w:rsid w:val="00080392"/>
    <w:rsid w:val="00083F31"/>
    <w:rsid w:val="00085066"/>
    <w:rsid w:val="00085E2A"/>
    <w:rsid w:val="000867B9"/>
    <w:rsid w:val="00086827"/>
    <w:rsid w:val="00086894"/>
    <w:rsid w:val="00086A79"/>
    <w:rsid w:val="000909B2"/>
    <w:rsid w:val="00091670"/>
    <w:rsid w:val="00092682"/>
    <w:rsid w:val="00092B17"/>
    <w:rsid w:val="00093075"/>
    <w:rsid w:val="000947EB"/>
    <w:rsid w:val="00095515"/>
    <w:rsid w:val="000961AC"/>
    <w:rsid w:val="0009621A"/>
    <w:rsid w:val="0009704C"/>
    <w:rsid w:val="00097EC1"/>
    <w:rsid w:val="000A0285"/>
    <w:rsid w:val="000A143B"/>
    <w:rsid w:val="000A4117"/>
    <w:rsid w:val="000A7976"/>
    <w:rsid w:val="000B182A"/>
    <w:rsid w:val="000B1A0B"/>
    <w:rsid w:val="000B5885"/>
    <w:rsid w:val="000B7E6D"/>
    <w:rsid w:val="000C0AE7"/>
    <w:rsid w:val="000C0BB5"/>
    <w:rsid w:val="000C0C3F"/>
    <w:rsid w:val="000C13AA"/>
    <w:rsid w:val="000C2BB8"/>
    <w:rsid w:val="000C3ADB"/>
    <w:rsid w:val="000C3D57"/>
    <w:rsid w:val="000C544D"/>
    <w:rsid w:val="000C7B8C"/>
    <w:rsid w:val="000D1700"/>
    <w:rsid w:val="000D25F1"/>
    <w:rsid w:val="000D266F"/>
    <w:rsid w:val="000D4325"/>
    <w:rsid w:val="000D459B"/>
    <w:rsid w:val="000D4A35"/>
    <w:rsid w:val="000D5CF1"/>
    <w:rsid w:val="000D6A79"/>
    <w:rsid w:val="000D7DA1"/>
    <w:rsid w:val="000E0413"/>
    <w:rsid w:val="000E0EDC"/>
    <w:rsid w:val="000E523B"/>
    <w:rsid w:val="000E5C59"/>
    <w:rsid w:val="000F0833"/>
    <w:rsid w:val="000F16CF"/>
    <w:rsid w:val="000F2F64"/>
    <w:rsid w:val="000F5A13"/>
    <w:rsid w:val="000F787D"/>
    <w:rsid w:val="00105009"/>
    <w:rsid w:val="00105425"/>
    <w:rsid w:val="00105AD4"/>
    <w:rsid w:val="001065F8"/>
    <w:rsid w:val="00106768"/>
    <w:rsid w:val="00106861"/>
    <w:rsid w:val="00106AC9"/>
    <w:rsid w:val="0011053C"/>
    <w:rsid w:val="00110B3B"/>
    <w:rsid w:val="00110BD1"/>
    <w:rsid w:val="0011228C"/>
    <w:rsid w:val="00112554"/>
    <w:rsid w:val="0011279A"/>
    <w:rsid w:val="00113B87"/>
    <w:rsid w:val="00113C86"/>
    <w:rsid w:val="00114882"/>
    <w:rsid w:val="00115EA8"/>
    <w:rsid w:val="0011646A"/>
    <w:rsid w:val="001167B8"/>
    <w:rsid w:val="00117975"/>
    <w:rsid w:val="001179A1"/>
    <w:rsid w:val="00117EE1"/>
    <w:rsid w:val="0012040A"/>
    <w:rsid w:val="001209C2"/>
    <w:rsid w:val="00125C6F"/>
    <w:rsid w:val="00126288"/>
    <w:rsid w:val="0012661B"/>
    <w:rsid w:val="00126854"/>
    <w:rsid w:val="00127AD3"/>
    <w:rsid w:val="00131B9D"/>
    <w:rsid w:val="00135510"/>
    <w:rsid w:val="00135B6B"/>
    <w:rsid w:val="001404FD"/>
    <w:rsid w:val="00140EDA"/>
    <w:rsid w:val="00144237"/>
    <w:rsid w:val="00144558"/>
    <w:rsid w:val="00145D4F"/>
    <w:rsid w:val="0014607E"/>
    <w:rsid w:val="00146776"/>
    <w:rsid w:val="00152B04"/>
    <w:rsid w:val="00152E4B"/>
    <w:rsid w:val="00152FBB"/>
    <w:rsid w:val="00152FC0"/>
    <w:rsid w:val="00153FF6"/>
    <w:rsid w:val="0015408D"/>
    <w:rsid w:val="001548EB"/>
    <w:rsid w:val="00156C01"/>
    <w:rsid w:val="00160475"/>
    <w:rsid w:val="00163B07"/>
    <w:rsid w:val="00163D84"/>
    <w:rsid w:val="0016633B"/>
    <w:rsid w:val="001678B7"/>
    <w:rsid w:val="00167FB3"/>
    <w:rsid w:val="00172077"/>
    <w:rsid w:val="00172A27"/>
    <w:rsid w:val="001733EC"/>
    <w:rsid w:val="00173856"/>
    <w:rsid w:val="00173AA0"/>
    <w:rsid w:val="00173B39"/>
    <w:rsid w:val="001769BE"/>
    <w:rsid w:val="00176C54"/>
    <w:rsid w:val="00177102"/>
    <w:rsid w:val="00177C7F"/>
    <w:rsid w:val="001802C5"/>
    <w:rsid w:val="00180BC2"/>
    <w:rsid w:val="00180C14"/>
    <w:rsid w:val="00186EC5"/>
    <w:rsid w:val="00187904"/>
    <w:rsid w:val="00190EEA"/>
    <w:rsid w:val="00191981"/>
    <w:rsid w:val="00193C79"/>
    <w:rsid w:val="0019495D"/>
    <w:rsid w:val="001955D9"/>
    <w:rsid w:val="00195BEB"/>
    <w:rsid w:val="0019607D"/>
    <w:rsid w:val="0019694F"/>
    <w:rsid w:val="00196AD3"/>
    <w:rsid w:val="001A11E7"/>
    <w:rsid w:val="001A1526"/>
    <w:rsid w:val="001A2E36"/>
    <w:rsid w:val="001A55EB"/>
    <w:rsid w:val="001A5B06"/>
    <w:rsid w:val="001A7C40"/>
    <w:rsid w:val="001B0646"/>
    <w:rsid w:val="001B102F"/>
    <w:rsid w:val="001B3142"/>
    <w:rsid w:val="001B35BB"/>
    <w:rsid w:val="001B6520"/>
    <w:rsid w:val="001B67B5"/>
    <w:rsid w:val="001B6B5B"/>
    <w:rsid w:val="001C10F3"/>
    <w:rsid w:val="001C1230"/>
    <w:rsid w:val="001C1F3F"/>
    <w:rsid w:val="001C32A4"/>
    <w:rsid w:val="001C37FC"/>
    <w:rsid w:val="001C3EB4"/>
    <w:rsid w:val="001C4EA9"/>
    <w:rsid w:val="001C4EC2"/>
    <w:rsid w:val="001C5170"/>
    <w:rsid w:val="001C66F0"/>
    <w:rsid w:val="001C6DB0"/>
    <w:rsid w:val="001C7B85"/>
    <w:rsid w:val="001D4793"/>
    <w:rsid w:val="001D5EDD"/>
    <w:rsid w:val="001D7336"/>
    <w:rsid w:val="001E0F2D"/>
    <w:rsid w:val="001E173C"/>
    <w:rsid w:val="001E783F"/>
    <w:rsid w:val="001E7C38"/>
    <w:rsid w:val="001F2E18"/>
    <w:rsid w:val="001F4416"/>
    <w:rsid w:val="001F5C58"/>
    <w:rsid w:val="001F6F68"/>
    <w:rsid w:val="00207ACA"/>
    <w:rsid w:val="00211308"/>
    <w:rsid w:val="00211FB9"/>
    <w:rsid w:val="002176CB"/>
    <w:rsid w:val="0022078A"/>
    <w:rsid w:val="00224AAA"/>
    <w:rsid w:val="00225F4A"/>
    <w:rsid w:val="00226024"/>
    <w:rsid w:val="002262BE"/>
    <w:rsid w:val="00230EBB"/>
    <w:rsid w:val="00232060"/>
    <w:rsid w:val="002324D1"/>
    <w:rsid w:val="00235ACB"/>
    <w:rsid w:val="00236D5F"/>
    <w:rsid w:val="002378B5"/>
    <w:rsid w:val="00242EE6"/>
    <w:rsid w:val="00246671"/>
    <w:rsid w:val="0024745F"/>
    <w:rsid w:val="00247D85"/>
    <w:rsid w:val="00254BEF"/>
    <w:rsid w:val="00255A6E"/>
    <w:rsid w:val="00255F94"/>
    <w:rsid w:val="00256B46"/>
    <w:rsid w:val="00260F20"/>
    <w:rsid w:val="00261A46"/>
    <w:rsid w:val="00261E14"/>
    <w:rsid w:val="00265C42"/>
    <w:rsid w:val="00266E35"/>
    <w:rsid w:val="00267F40"/>
    <w:rsid w:val="0027328C"/>
    <w:rsid w:val="00273D66"/>
    <w:rsid w:val="002742B4"/>
    <w:rsid w:val="00275DC0"/>
    <w:rsid w:val="0027712E"/>
    <w:rsid w:val="0027777F"/>
    <w:rsid w:val="00277CD1"/>
    <w:rsid w:val="0028162E"/>
    <w:rsid w:val="00281C40"/>
    <w:rsid w:val="00282700"/>
    <w:rsid w:val="00282793"/>
    <w:rsid w:val="00284651"/>
    <w:rsid w:val="002874B4"/>
    <w:rsid w:val="00287BA0"/>
    <w:rsid w:val="00287D51"/>
    <w:rsid w:val="00290258"/>
    <w:rsid w:val="002939BB"/>
    <w:rsid w:val="00296DBA"/>
    <w:rsid w:val="0029735A"/>
    <w:rsid w:val="00297954"/>
    <w:rsid w:val="002A0AD1"/>
    <w:rsid w:val="002A1101"/>
    <w:rsid w:val="002A25AA"/>
    <w:rsid w:val="002A354C"/>
    <w:rsid w:val="002A4B32"/>
    <w:rsid w:val="002A6447"/>
    <w:rsid w:val="002A74E0"/>
    <w:rsid w:val="002A7E1D"/>
    <w:rsid w:val="002B00B0"/>
    <w:rsid w:val="002B0F92"/>
    <w:rsid w:val="002B1335"/>
    <w:rsid w:val="002B3503"/>
    <w:rsid w:val="002B5D89"/>
    <w:rsid w:val="002B7AEA"/>
    <w:rsid w:val="002B7DD0"/>
    <w:rsid w:val="002C04B5"/>
    <w:rsid w:val="002C079A"/>
    <w:rsid w:val="002C0AB6"/>
    <w:rsid w:val="002C13DB"/>
    <w:rsid w:val="002C13F4"/>
    <w:rsid w:val="002C1E65"/>
    <w:rsid w:val="002C2FD0"/>
    <w:rsid w:val="002C335C"/>
    <w:rsid w:val="002C3421"/>
    <w:rsid w:val="002C3840"/>
    <w:rsid w:val="002C385A"/>
    <w:rsid w:val="002C4E4B"/>
    <w:rsid w:val="002C69BA"/>
    <w:rsid w:val="002C6D94"/>
    <w:rsid w:val="002C73A8"/>
    <w:rsid w:val="002D2062"/>
    <w:rsid w:val="002D270E"/>
    <w:rsid w:val="002D532C"/>
    <w:rsid w:val="002D5E92"/>
    <w:rsid w:val="002D5F98"/>
    <w:rsid w:val="002D673F"/>
    <w:rsid w:val="002D6CC4"/>
    <w:rsid w:val="002D6F9B"/>
    <w:rsid w:val="002D70BA"/>
    <w:rsid w:val="002D7FE1"/>
    <w:rsid w:val="002E148E"/>
    <w:rsid w:val="002E17BB"/>
    <w:rsid w:val="002E32C9"/>
    <w:rsid w:val="002E339F"/>
    <w:rsid w:val="002E3478"/>
    <w:rsid w:val="002E5508"/>
    <w:rsid w:val="002E7D4F"/>
    <w:rsid w:val="002F1699"/>
    <w:rsid w:val="002F1EFE"/>
    <w:rsid w:val="002F4B15"/>
    <w:rsid w:val="002F5009"/>
    <w:rsid w:val="002F5429"/>
    <w:rsid w:val="002F6931"/>
    <w:rsid w:val="00300304"/>
    <w:rsid w:val="00300570"/>
    <w:rsid w:val="00301DD6"/>
    <w:rsid w:val="003027F2"/>
    <w:rsid w:val="00302A5A"/>
    <w:rsid w:val="00304869"/>
    <w:rsid w:val="00304BB4"/>
    <w:rsid w:val="00305FDF"/>
    <w:rsid w:val="00307784"/>
    <w:rsid w:val="0031082D"/>
    <w:rsid w:val="00310C5A"/>
    <w:rsid w:val="00310DEF"/>
    <w:rsid w:val="00312406"/>
    <w:rsid w:val="00313AEA"/>
    <w:rsid w:val="003148C6"/>
    <w:rsid w:val="00314CE7"/>
    <w:rsid w:val="00315DCB"/>
    <w:rsid w:val="00316364"/>
    <w:rsid w:val="0031681E"/>
    <w:rsid w:val="003177BE"/>
    <w:rsid w:val="00321F58"/>
    <w:rsid w:val="003235BC"/>
    <w:rsid w:val="003254A1"/>
    <w:rsid w:val="003258AF"/>
    <w:rsid w:val="003259C2"/>
    <w:rsid w:val="00326872"/>
    <w:rsid w:val="00327D48"/>
    <w:rsid w:val="00330F34"/>
    <w:rsid w:val="00331073"/>
    <w:rsid w:val="00331843"/>
    <w:rsid w:val="003322BB"/>
    <w:rsid w:val="00332356"/>
    <w:rsid w:val="00332446"/>
    <w:rsid w:val="0033279B"/>
    <w:rsid w:val="003332F9"/>
    <w:rsid w:val="0033378B"/>
    <w:rsid w:val="00335775"/>
    <w:rsid w:val="00335BD4"/>
    <w:rsid w:val="00340534"/>
    <w:rsid w:val="003406AD"/>
    <w:rsid w:val="003429E1"/>
    <w:rsid w:val="00344DB9"/>
    <w:rsid w:val="00353511"/>
    <w:rsid w:val="003543B2"/>
    <w:rsid w:val="00354D22"/>
    <w:rsid w:val="00356E19"/>
    <w:rsid w:val="003609CF"/>
    <w:rsid w:val="003614BE"/>
    <w:rsid w:val="00361860"/>
    <w:rsid w:val="0036282C"/>
    <w:rsid w:val="003628A6"/>
    <w:rsid w:val="003630CD"/>
    <w:rsid w:val="00363EE4"/>
    <w:rsid w:val="00365B7C"/>
    <w:rsid w:val="00367309"/>
    <w:rsid w:val="003676CF"/>
    <w:rsid w:val="00373084"/>
    <w:rsid w:val="003760C1"/>
    <w:rsid w:val="00376D65"/>
    <w:rsid w:val="003775A7"/>
    <w:rsid w:val="00377CE4"/>
    <w:rsid w:val="0038002E"/>
    <w:rsid w:val="00380AA2"/>
    <w:rsid w:val="00380C66"/>
    <w:rsid w:val="00380D37"/>
    <w:rsid w:val="00380DAC"/>
    <w:rsid w:val="003814FD"/>
    <w:rsid w:val="00382958"/>
    <w:rsid w:val="00383E8C"/>
    <w:rsid w:val="00385999"/>
    <w:rsid w:val="00386AEF"/>
    <w:rsid w:val="00390125"/>
    <w:rsid w:val="00391CF3"/>
    <w:rsid w:val="003937A7"/>
    <w:rsid w:val="0039389A"/>
    <w:rsid w:val="0039417D"/>
    <w:rsid w:val="00394A9E"/>
    <w:rsid w:val="00396279"/>
    <w:rsid w:val="003970C8"/>
    <w:rsid w:val="003A0D55"/>
    <w:rsid w:val="003A2869"/>
    <w:rsid w:val="003A3F7B"/>
    <w:rsid w:val="003A4B5F"/>
    <w:rsid w:val="003A6785"/>
    <w:rsid w:val="003B1094"/>
    <w:rsid w:val="003B16C6"/>
    <w:rsid w:val="003B2941"/>
    <w:rsid w:val="003B5387"/>
    <w:rsid w:val="003C1C3C"/>
    <w:rsid w:val="003C4936"/>
    <w:rsid w:val="003C4C27"/>
    <w:rsid w:val="003C5605"/>
    <w:rsid w:val="003C7D88"/>
    <w:rsid w:val="003D0160"/>
    <w:rsid w:val="003D044A"/>
    <w:rsid w:val="003D2047"/>
    <w:rsid w:val="003D25AF"/>
    <w:rsid w:val="003D29AA"/>
    <w:rsid w:val="003D3ADD"/>
    <w:rsid w:val="003D553D"/>
    <w:rsid w:val="003D6BBB"/>
    <w:rsid w:val="003D7174"/>
    <w:rsid w:val="003E02B9"/>
    <w:rsid w:val="003E3DB6"/>
    <w:rsid w:val="003E47E9"/>
    <w:rsid w:val="003E5409"/>
    <w:rsid w:val="003E6DBA"/>
    <w:rsid w:val="003F25E5"/>
    <w:rsid w:val="003F3D8B"/>
    <w:rsid w:val="003F458B"/>
    <w:rsid w:val="003F4756"/>
    <w:rsid w:val="003F6BB6"/>
    <w:rsid w:val="00400D10"/>
    <w:rsid w:val="004013DB"/>
    <w:rsid w:val="00401E6A"/>
    <w:rsid w:val="004022A7"/>
    <w:rsid w:val="0040365B"/>
    <w:rsid w:val="00404D59"/>
    <w:rsid w:val="00410808"/>
    <w:rsid w:val="00410E79"/>
    <w:rsid w:val="0041112D"/>
    <w:rsid w:val="004113DE"/>
    <w:rsid w:val="00414597"/>
    <w:rsid w:val="00414615"/>
    <w:rsid w:val="0041510C"/>
    <w:rsid w:val="0041635B"/>
    <w:rsid w:val="0041719C"/>
    <w:rsid w:val="00420FE2"/>
    <w:rsid w:val="004213D5"/>
    <w:rsid w:val="004217A0"/>
    <w:rsid w:val="00421893"/>
    <w:rsid w:val="004222B5"/>
    <w:rsid w:val="00426039"/>
    <w:rsid w:val="00427BEE"/>
    <w:rsid w:val="00432363"/>
    <w:rsid w:val="00432B38"/>
    <w:rsid w:val="004331B5"/>
    <w:rsid w:val="00433BC9"/>
    <w:rsid w:val="00435B0E"/>
    <w:rsid w:val="00435F9E"/>
    <w:rsid w:val="0043627D"/>
    <w:rsid w:val="0043759C"/>
    <w:rsid w:val="00437ED4"/>
    <w:rsid w:val="004414F3"/>
    <w:rsid w:val="00441549"/>
    <w:rsid w:val="00441B08"/>
    <w:rsid w:val="0044399E"/>
    <w:rsid w:val="00445CC3"/>
    <w:rsid w:val="00445CF9"/>
    <w:rsid w:val="00447EF2"/>
    <w:rsid w:val="0045009E"/>
    <w:rsid w:val="00451441"/>
    <w:rsid w:val="00451D72"/>
    <w:rsid w:val="00452C24"/>
    <w:rsid w:val="00452F99"/>
    <w:rsid w:val="00455144"/>
    <w:rsid w:val="004551FA"/>
    <w:rsid w:val="0046064A"/>
    <w:rsid w:val="00464A5B"/>
    <w:rsid w:val="00465C76"/>
    <w:rsid w:val="0046608D"/>
    <w:rsid w:val="00467E0D"/>
    <w:rsid w:val="004700EF"/>
    <w:rsid w:val="00472709"/>
    <w:rsid w:val="00473B12"/>
    <w:rsid w:val="0047550A"/>
    <w:rsid w:val="00475653"/>
    <w:rsid w:val="00475CD3"/>
    <w:rsid w:val="00475FB6"/>
    <w:rsid w:val="004820E4"/>
    <w:rsid w:val="004826C9"/>
    <w:rsid w:val="00482ED2"/>
    <w:rsid w:val="00486836"/>
    <w:rsid w:val="00487146"/>
    <w:rsid w:val="0049072D"/>
    <w:rsid w:val="00491586"/>
    <w:rsid w:val="004919FF"/>
    <w:rsid w:val="00492688"/>
    <w:rsid w:val="004942C9"/>
    <w:rsid w:val="004944DF"/>
    <w:rsid w:val="004947A8"/>
    <w:rsid w:val="004949BB"/>
    <w:rsid w:val="00494C6D"/>
    <w:rsid w:val="00495C9F"/>
    <w:rsid w:val="00497186"/>
    <w:rsid w:val="004977F3"/>
    <w:rsid w:val="00497950"/>
    <w:rsid w:val="00497F07"/>
    <w:rsid w:val="004A0B03"/>
    <w:rsid w:val="004A1413"/>
    <w:rsid w:val="004A2916"/>
    <w:rsid w:val="004A2F58"/>
    <w:rsid w:val="004A50C2"/>
    <w:rsid w:val="004A78E6"/>
    <w:rsid w:val="004B1D0B"/>
    <w:rsid w:val="004B28EC"/>
    <w:rsid w:val="004B3070"/>
    <w:rsid w:val="004B39AE"/>
    <w:rsid w:val="004B3A52"/>
    <w:rsid w:val="004B6346"/>
    <w:rsid w:val="004B6D57"/>
    <w:rsid w:val="004C017F"/>
    <w:rsid w:val="004C057A"/>
    <w:rsid w:val="004C07BA"/>
    <w:rsid w:val="004C1007"/>
    <w:rsid w:val="004C18D9"/>
    <w:rsid w:val="004C1D88"/>
    <w:rsid w:val="004C1EEC"/>
    <w:rsid w:val="004C5E87"/>
    <w:rsid w:val="004C748A"/>
    <w:rsid w:val="004C7E66"/>
    <w:rsid w:val="004D0F3A"/>
    <w:rsid w:val="004D11A6"/>
    <w:rsid w:val="004D160F"/>
    <w:rsid w:val="004D168B"/>
    <w:rsid w:val="004D36DC"/>
    <w:rsid w:val="004D3813"/>
    <w:rsid w:val="004D3F28"/>
    <w:rsid w:val="004D5251"/>
    <w:rsid w:val="004D550A"/>
    <w:rsid w:val="004D5BAD"/>
    <w:rsid w:val="004D624D"/>
    <w:rsid w:val="004D6C05"/>
    <w:rsid w:val="004D6D96"/>
    <w:rsid w:val="004E0D29"/>
    <w:rsid w:val="004E15FE"/>
    <w:rsid w:val="004E1765"/>
    <w:rsid w:val="004E1E0A"/>
    <w:rsid w:val="004E2F68"/>
    <w:rsid w:val="004E2FAF"/>
    <w:rsid w:val="004E56D2"/>
    <w:rsid w:val="004E65E6"/>
    <w:rsid w:val="004F0A1D"/>
    <w:rsid w:val="004F13BB"/>
    <w:rsid w:val="004F1F49"/>
    <w:rsid w:val="004F25DC"/>
    <w:rsid w:val="004F32D0"/>
    <w:rsid w:val="004F74D0"/>
    <w:rsid w:val="0050300D"/>
    <w:rsid w:val="005040A2"/>
    <w:rsid w:val="00506466"/>
    <w:rsid w:val="005074C9"/>
    <w:rsid w:val="00510731"/>
    <w:rsid w:val="005131A7"/>
    <w:rsid w:val="00513CA2"/>
    <w:rsid w:val="00516F9B"/>
    <w:rsid w:val="00521D41"/>
    <w:rsid w:val="00522AF6"/>
    <w:rsid w:val="00523CB3"/>
    <w:rsid w:val="005268A1"/>
    <w:rsid w:val="00526923"/>
    <w:rsid w:val="00530676"/>
    <w:rsid w:val="00531899"/>
    <w:rsid w:val="00531B3C"/>
    <w:rsid w:val="00532404"/>
    <w:rsid w:val="00534B79"/>
    <w:rsid w:val="00535313"/>
    <w:rsid w:val="005357FD"/>
    <w:rsid w:val="00535893"/>
    <w:rsid w:val="005363EA"/>
    <w:rsid w:val="00536AEA"/>
    <w:rsid w:val="0054069F"/>
    <w:rsid w:val="005447A4"/>
    <w:rsid w:val="00545202"/>
    <w:rsid w:val="00545569"/>
    <w:rsid w:val="00550A39"/>
    <w:rsid w:val="005513A8"/>
    <w:rsid w:val="005516CF"/>
    <w:rsid w:val="00551F45"/>
    <w:rsid w:val="00553A11"/>
    <w:rsid w:val="005554F6"/>
    <w:rsid w:val="00555544"/>
    <w:rsid w:val="005576BE"/>
    <w:rsid w:val="00560382"/>
    <w:rsid w:val="00561732"/>
    <w:rsid w:val="0056412C"/>
    <w:rsid w:val="00564586"/>
    <w:rsid w:val="00566B0E"/>
    <w:rsid w:val="00567177"/>
    <w:rsid w:val="0057192F"/>
    <w:rsid w:val="00572F4C"/>
    <w:rsid w:val="00573830"/>
    <w:rsid w:val="0057441B"/>
    <w:rsid w:val="005746B5"/>
    <w:rsid w:val="00577C4A"/>
    <w:rsid w:val="00580024"/>
    <w:rsid w:val="005818F9"/>
    <w:rsid w:val="005832FC"/>
    <w:rsid w:val="005853C2"/>
    <w:rsid w:val="0058707A"/>
    <w:rsid w:val="0059004B"/>
    <w:rsid w:val="00590385"/>
    <w:rsid w:val="00590CFC"/>
    <w:rsid w:val="00591D34"/>
    <w:rsid w:val="00591F2E"/>
    <w:rsid w:val="00592C45"/>
    <w:rsid w:val="00593678"/>
    <w:rsid w:val="00596CAD"/>
    <w:rsid w:val="005A4D37"/>
    <w:rsid w:val="005A5B40"/>
    <w:rsid w:val="005B09DE"/>
    <w:rsid w:val="005B0E41"/>
    <w:rsid w:val="005B4BAF"/>
    <w:rsid w:val="005B52B4"/>
    <w:rsid w:val="005B62B0"/>
    <w:rsid w:val="005C0D39"/>
    <w:rsid w:val="005C1E01"/>
    <w:rsid w:val="005C36D0"/>
    <w:rsid w:val="005C4F2C"/>
    <w:rsid w:val="005C73EE"/>
    <w:rsid w:val="005C7AA0"/>
    <w:rsid w:val="005D38E8"/>
    <w:rsid w:val="005D3B4B"/>
    <w:rsid w:val="005D527E"/>
    <w:rsid w:val="005E0C53"/>
    <w:rsid w:val="005E13AE"/>
    <w:rsid w:val="005E13D0"/>
    <w:rsid w:val="005E54A2"/>
    <w:rsid w:val="005E6939"/>
    <w:rsid w:val="005E6E5A"/>
    <w:rsid w:val="005E7EEC"/>
    <w:rsid w:val="005F0F9C"/>
    <w:rsid w:val="005F1C5F"/>
    <w:rsid w:val="005F1EB4"/>
    <w:rsid w:val="005F25B8"/>
    <w:rsid w:val="005F2989"/>
    <w:rsid w:val="005F35EC"/>
    <w:rsid w:val="005F5D0D"/>
    <w:rsid w:val="005F680E"/>
    <w:rsid w:val="005F746F"/>
    <w:rsid w:val="006004A1"/>
    <w:rsid w:val="00600CCA"/>
    <w:rsid w:val="006024DB"/>
    <w:rsid w:val="00606051"/>
    <w:rsid w:val="006104EA"/>
    <w:rsid w:val="00611EDD"/>
    <w:rsid w:val="006121F9"/>
    <w:rsid w:val="00615CD4"/>
    <w:rsid w:val="00622BCB"/>
    <w:rsid w:val="0062379D"/>
    <w:rsid w:val="00623B22"/>
    <w:rsid w:val="00624EF3"/>
    <w:rsid w:val="006250E2"/>
    <w:rsid w:val="00625314"/>
    <w:rsid w:val="00626D43"/>
    <w:rsid w:val="00627585"/>
    <w:rsid w:val="0063187E"/>
    <w:rsid w:val="00632622"/>
    <w:rsid w:val="00632BAF"/>
    <w:rsid w:val="006343E2"/>
    <w:rsid w:val="006346E6"/>
    <w:rsid w:val="00634867"/>
    <w:rsid w:val="006353C8"/>
    <w:rsid w:val="00637CAB"/>
    <w:rsid w:val="00642649"/>
    <w:rsid w:val="00643BC6"/>
    <w:rsid w:val="0065016D"/>
    <w:rsid w:val="00652EDA"/>
    <w:rsid w:val="006564A9"/>
    <w:rsid w:val="00656E74"/>
    <w:rsid w:val="00664450"/>
    <w:rsid w:val="0066461D"/>
    <w:rsid w:val="00664B66"/>
    <w:rsid w:val="00665015"/>
    <w:rsid w:val="00667D18"/>
    <w:rsid w:val="00670E0A"/>
    <w:rsid w:val="00670E9E"/>
    <w:rsid w:val="00670F2E"/>
    <w:rsid w:val="00671D29"/>
    <w:rsid w:val="00673213"/>
    <w:rsid w:val="00673DC3"/>
    <w:rsid w:val="00674CE6"/>
    <w:rsid w:val="00675B9C"/>
    <w:rsid w:val="00676922"/>
    <w:rsid w:val="00680775"/>
    <w:rsid w:val="00682B91"/>
    <w:rsid w:val="00683C03"/>
    <w:rsid w:val="00683CB6"/>
    <w:rsid w:val="006845A9"/>
    <w:rsid w:val="006864EF"/>
    <w:rsid w:val="00686BAD"/>
    <w:rsid w:val="006877DF"/>
    <w:rsid w:val="00687E8B"/>
    <w:rsid w:val="00690084"/>
    <w:rsid w:val="006901A1"/>
    <w:rsid w:val="0069043B"/>
    <w:rsid w:val="006912E4"/>
    <w:rsid w:val="00692507"/>
    <w:rsid w:val="00692A6E"/>
    <w:rsid w:val="0069533C"/>
    <w:rsid w:val="00695F1B"/>
    <w:rsid w:val="00697ECF"/>
    <w:rsid w:val="006A2683"/>
    <w:rsid w:val="006A406A"/>
    <w:rsid w:val="006A685B"/>
    <w:rsid w:val="006A7E23"/>
    <w:rsid w:val="006B1607"/>
    <w:rsid w:val="006B1816"/>
    <w:rsid w:val="006B223D"/>
    <w:rsid w:val="006B2A9A"/>
    <w:rsid w:val="006B30F9"/>
    <w:rsid w:val="006B40C4"/>
    <w:rsid w:val="006B4170"/>
    <w:rsid w:val="006C23F9"/>
    <w:rsid w:val="006C2492"/>
    <w:rsid w:val="006C2B12"/>
    <w:rsid w:val="006C388F"/>
    <w:rsid w:val="006C5137"/>
    <w:rsid w:val="006C589C"/>
    <w:rsid w:val="006C6EBB"/>
    <w:rsid w:val="006D09EF"/>
    <w:rsid w:val="006D1915"/>
    <w:rsid w:val="006D36B5"/>
    <w:rsid w:val="006D4807"/>
    <w:rsid w:val="006D4986"/>
    <w:rsid w:val="006D5358"/>
    <w:rsid w:val="006D7A60"/>
    <w:rsid w:val="006D7CA5"/>
    <w:rsid w:val="006E0EDE"/>
    <w:rsid w:val="006E18DA"/>
    <w:rsid w:val="006E5B58"/>
    <w:rsid w:val="006E5F63"/>
    <w:rsid w:val="006E640A"/>
    <w:rsid w:val="006E75C2"/>
    <w:rsid w:val="006E77FD"/>
    <w:rsid w:val="006F14A7"/>
    <w:rsid w:val="006F2787"/>
    <w:rsid w:val="006F65CC"/>
    <w:rsid w:val="006F7E0C"/>
    <w:rsid w:val="00700494"/>
    <w:rsid w:val="007012B1"/>
    <w:rsid w:val="007024B6"/>
    <w:rsid w:val="00703F01"/>
    <w:rsid w:val="00704749"/>
    <w:rsid w:val="00705724"/>
    <w:rsid w:val="00706045"/>
    <w:rsid w:val="00706188"/>
    <w:rsid w:val="007062E4"/>
    <w:rsid w:val="00706428"/>
    <w:rsid w:val="007068C8"/>
    <w:rsid w:val="00710BD0"/>
    <w:rsid w:val="00712701"/>
    <w:rsid w:val="00713CE0"/>
    <w:rsid w:val="00715AC3"/>
    <w:rsid w:val="00715D36"/>
    <w:rsid w:val="00715EBC"/>
    <w:rsid w:val="007168F4"/>
    <w:rsid w:val="00716AC2"/>
    <w:rsid w:val="00716AC5"/>
    <w:rsid w:val="00722898"/>
    <w:rsid w:val="007243EE"/>
    <w:rsid w:val="007254D6"/>
    <w:rsid w:val="00727034"/>
    <w:rsid w:val="007303C1"/>
    <w:rsid w:val="00734DBC"/>
    <w:rsid w:val="007360AA"/>
    <w:rsid w:val="00736EFD"/>
    <w:rsid w:val="00737077"/>
    <w:rsid w:val="00737A50"/>
    <w:rsid w:val="00740755"/>
    <w:rsid w:val="00740C91"/>
    <w:rsid w:val="007418DD"/>
    <w:rsid w:val="00744D7D"/>
    <w:rsid w:val="007453C4"/>
    <w:rsid w:val="00745A6C"/>
    <w:rsid w:val="00745C19"/>
    <w:rsid w:val="00752A8F"/>
    <w:rsid w:val="00753E0C"/>
    <w:rsid w:val="0075552F"/>
    <w:rsid w:val="00756E7C"/>
    <w:rsid w:val="00757752"/>
    <w:rsid w:val="00767D3F"/>
    <w:rsid w:val="007705C7"/>
    <w:rsid w:val="00771BB8"/>
    <w:rsid w:val="00772B55"/>
    <w:rsid w:val="00774E6E"/>
    <w:rsid w:val="0077758F"/>
    <w:rsid w:val="0078207D"/>
    <w:rsid w:val="00786141"/>
    <w:rsid w:val="00787B4B"/>
    <w:rsid w:val="00787B81"/>
    <w:rsid w:val="0079005A"/>
    <w:rsid w:val="007916F1"/>
    <w:rsid w:val="00793A7F"/>
    <w:rsid w:val="007944AC"/>
    <w:rsid w:val="0079544C"/>
    <w:rsid w:val="00795D11"/>
    <w:rsid w:val="00796D55"/>
    <w:rsid w:val="00797BB7"/>
    <w:rsid w:val="007A1943"/>
    <w:rsid w:val="007A72E3"/>
    <w:rsid w:val="007A7B56"/>
    <w:rsid w:val="007B2CAB"/>
    <w:rsid w:val="007B32B5"/>
    <w:rsid w:val="007B4EA3"/>
    <w:rsid w:val="007B4EAC"/>
    <w:rsid w:val="007B5A3B"/>
    <w:rsid w:val="007B7AA0"/>
    <w:rsid w:val="007C03B6"/>
    <w:rsid w:val="007C0CE0"/>
    <w:rsid w:val="007C0F8F"/>
    <w:rsid w:val="007C24D8"/>
    <w:rsid w:val="007C27FB"/>
    <w:rsid w:val="007C2C1B"/>
    <w:rsid w:val="007C31CE"/>
    <w:rsid w:val="007C3A46"/>
    <w:rsid w:val="007C4218"/>
    <w:rsid w:val="007C6226"/>
    <w:rsid w:val="007C6F6A"/>
    <w:rsid w:val="007D04FE"/>
    <w:rsid w:val="007D3170"/>
    <w:rsid w:val="007D32EC"/>
    <w:rsid w:val="007D4061"/>
    <w:rsid w:val="007D4F47"/>
    <w:rsid w:val="007D632C"/>
    <w:rsid w:val="007D7A46"/>
    <w:rsid w:val="007E0436"/>
    <w:rsid w:val="007E074F"/>
    <w:rsid w:val="007E0AAD"/>
    <w:rsid w:val="007E1E00"/>
    <w:rsid w:val="007E58C1"/>
    <w:rsid w:val="007E61E7"/>
    <w:rsid w:val="007E6A77"/>
    <w:rsid w:val="007E778F"/>
    <w:rsid w:val="007F0337"/>
    <w:rsid w:val="007F2341"/>
    <w:rsid w:val="007F5024"/>
    <w:rsid w:val="007F551B"/>
    <w:rsid w:val="007F75E7"/>
    <w:rsid w:val="007F7DFB"/>
    <w:rsid w:val="00802D15"/>
    <w:rsid w:val="008051C6"/>
    <w:rsid w:val="0080552D"/>
    <w:rsid w:val="00810364"/>
    <w:rsid w:val="00810E7C"/>
    <w:rsid w:val="00811A25"/>
    <w:rsid w:val="00811FB1"/>
    <w:rsid w:val="0081204D"/>
    <w:rsid w:val="00812A08"/>
    <w:rsid w:val="00814111"/>
    <w:rsid w:val="008157D1"/>
    <w:rsid w:val="00815C84"/>
    <w:rsid w:val="00815EDF"/>
    <w:rsid w:val="0081619F"/>
    <w:rsid w:val="00820DF9"/>
    <w:rsid w:val="008210B2"/>
    <w:rsid w:val="00821AB9"/>
    <w:rsid w:val="0082325D"/>
    <w:rsid w:val="00823EA0"/>
    <w:rsid w:val="00827BF3"/>
    <w:rsid w:val="00827D4F"/>
    <w:rsid w:val="00831B3A"/>
    <w:rsid w:val="00831B84"/>
    <w:rsid w:val="00832D11"/>
    <w:rsid w:val="00834018"/>
    <w:rsid w:val="00834F72"/>
    <w:rsid w:val="00835298"/>
    <w:rsid w:val="008374C4"/>
    <w:rsid w:val="00837897"/>
    <w:rsid w:val="008379F4"/>
    <w:rsid w:val="0084006D"/>
    <w:rsid w:val="00840C37"/>
    <w:rsid w:val="00841258"/>
    <w:rsid w:val="0084293B"/>
    <w:rsid w:val="008450B1"/>
    <w:rsid w:val="008456F0"/>
    <w:rsid w:val="0084627B"/>
    <w:rsid w:val="008464B6"/>
    <w:rsid w:val="008466A3"/>
    <w:rsid w:val="00847162"/>
    <w:rsid w:val="00852F36"/>
    <w:rsid w:val="0085382E"/>
    <w:rsid w:val="00853C6D"/>
    <w:rsid w:val="00853EE2"/>
    <w:rsid w:val="00853F86"/>
    <w:rsid w:val="008559BC"/>
    <w:rsid w:val="00855CDA"/>
    <w:rsid w:val="008578C4"/>
    <w:rsid w:val="00857EE0"/>
    <w:rsid w:val="00857FD5"/>
    <w:rsid w:val="00862474"/>
    <w:rsid w:val="0086254D"/>
    <w:rsid w:val="00863012"/>
    <w:rsid w:val="00864C00"/>
    <w:rsid w:val="00870354"/>
    <w:rsid w:val="008708E5"/>
    <w:rsid w:val="00872725"/>
    <w:rsid w:val="00872A24"/>
    <w:rsid w:val="0087495B"/>
    <w:rsid w:val="00874D45"/>
    <w:rsid w:val="00875D4C"/>
    <w:rsid w:val="00875DA5"/>
    <w:rsid w:val="00880843"/>
    <w:rsid w:val="00883404"/>
    <w:rsid w:val="00883BCD"/>
    <w:rsid w:val="00886F6A"/>
    <w:rsid w:val="008901A5"/>
    <w:rsid w:val="008916F5"/>
    <w:rsid w:val="00895EE3"/>
    <w:rsid w:val="008A0DC1"/>
    <w:rsid w:val="008A1783"/>
    <w:rsid w:val="008A1FC5"/>
    <w:rsid w:val="008A2B7A"/>
    <w:rsid w:val="008A57F1"/>
    <w:rsid w:val="008A6C7A"/>
    <w:rsid w:val="008A7AF2"/>
    <w:rsid w:val="008B3D5D"/>
    <w:rsid w:val="008B4756"/>
    <w:rsid w:val="008B67FD"/>
    <w:rsid w:val="008C1A01"/>
    <w:rsid w:val="008C3417"/>
    <w:rsid w:val="008C3BA0"/>
    <w:rsid w:val="008C3F16"/>
    <w:rsid w:val="008C42FA"/>
    <w:rsid w:val="008C7AEA"/>
    <w:rsid w:val="008D1C34"/>
    <w:rsid w:val="008D1E4A"/>
    <w:rsid w:val="008D6D48"/>
    <w:rsid w:val="008E02D8"/>
    <w:rsid w:val="008E0447"/>
    <w:rsid w:val="008E0712"/>
    <w:rsid w:val="008E2A3A"/>
    <w:rsid w:val="008E2BB6"/>
    <w:rsid w:val="008E55C8"/>
    <w:rsid w:val="008E5D22"/>
    <w:rsid w:val="008E726B"/>
    <w:rsid w:val="008E774D"/>
    <w:rsid w:val="008F27D1"/>
    <w:rsid w:val="008F41FD"/>
    <w:rsid w:val="008F5475"/>
    <w:rsid w:val="008F5760"/>
    <w:rsid w:val="008F768A"/>
    <w:rsid w:val="008F7D16"/>
    <w:rsid w:val="008F7EA3"/>
    <w:rsid w:val="009013FE"/>
    <w:rsid w:val="009016B0"/>
    <w:rsid w:val="00901C90"/>
    <w:rsid w:val="00902F23"/>
    <w:rsid w:val="00902F98"/>
    <w:rsid w:val="00905705"/>
    <w:rsid w:val="009061B2"/>
    <w:rsid w:val="00906E11"/>
    <w:rsid w:val="009079CB"/>
    <w:rsid w:val="00910E59"/>
    <w:rsid w:val="00911D45"/>
    <w:rsid w:val="009123C9"/>
    <w:rsid w:val="00916000"/>
    <w:rsid w:val="0092027E"/>
    <w:rsid w:val="009208F7"/>
    <w:rsid w:val="009241A7"/>
    <w:rsid w:val="00924278"/>
    <w:rsid w:val="009242BC"/>
    <w:rsid w:val="0092464C"/>
    <w:rsid w:val="009247C6"/>
    <w:rsid w:val="00924D82"/>
    <w:rsid w:val="00926EC6"/>
    <w:rsid w:val="009310DE"/>
    <w:rsid w:val="009314BF"/>
    <w:rsid w:val="00931801"/>
    <w:rsid w:val="0093213B"/>
    <w:rsid w:val="009348CF"/>
    <w:rsid w:val="009366A0"/>
    <w:rsid w:val="0093682F"/>
    <w:rsid w:val="009370E1"/>
    <w:rsid w:val="00937622"/>
    <w:rsid w:val="00937A81"/>
    <w:rsid w:val="00937C61"/>
    <w:rsid w:val="00941AA2"/>
    <w:rsid w:val="00941B5D"/>
    <w:rsid w:val="00942A5C"/>
    <w:rsid w:val="00943302"/>
    <w:rsid w:val="009438A1"/>
    <w:rsid w:val="0094474B"/>
    <w:rsid w:val="00946A1E"/>
    <w:rsid w:val="00947B41"/>
    <w:rsid w:val="00947BCF"/>
    <w:rsid w:val="009508F6"/>
    <w:rsid w:val="00952120"/>
    <w:rsid w:val="009534FE"/>
    <w:rsid w:val="009536B9"/>
    <w:rsid w:val="00954696"/>
    <w:rsid w:val="009558D4"/>
    <w:rsid w:val="0095630C"/>
    <w:rsid w:val="009574AD"/>
    <w:rsid w:val="0096129F"/>
    <w:rsid w:val="00962A79"/>
    <w:rsid w:val="009634F8"/>
    <w:rsid w:val="00963DC8"/>
    <w:rsid w:val="0096455A"/>
    <w:rsid w:val="00967109"/>
    <w:rsid w:val="00967166"/>
    <w:rsid w:val="00967421"/>
    <w:rsid w:val="00967858"/>
    <w:rsid w:val="00967F41"/>
    <w:rsid w:val="00970B57"/>
    <w:rsid w:val="00972D28"/>
    <w:rsid w:val="00974CB9"/>
    <w:rsid w:val="00974F7D"/>
    <w:rsid w:val="0097519E"/>
    <w:rsid w:val="009753AA"/>
    <w:rsid w:val="00976875"/>
    <w:rsid w:val="00977051"/>
    <w:rsid w:val="00980323"/>
    <w:rsid w:val="0098181A"/>
    <w:rsid w:val="009820DB"/>
    <w:rsid w:val="00983256"/>
    <w:rsid w:val="00983E39"/>
    <w:rsid w:val="00986426"/>
    <w:rsid w:val="00986CA7"/>
    <w:rsid w:val="00990065"/>
    <w:rsid w:val="009917C5"/>
    <w:rsid w:val="00992D2F"/>
    <w:rsid w:val="0099497D"/>
    <w:rsid w:val="009950E8"/>
    <w:rsid w:val="0099675C"/>
    <w:rsid w:val="009977A9"/>
    <w:rsid w:val="00997A19"/>
    <w:rsid w:val="009A017C"/>
    <w:rsid w:val="009A0A65"/>
    <w:rsid w:val="009A0A82"/>
    <w:rsid w:val="009A12E9"/>
    <w:rsid w:val="009A23F5"/>
    <w:rsid w:val="009A3DA5"/>
    <w:rsid w:val="009A6849"/>
    <w:rsid w:val="009B018F"/>
    <w:rsid w:val="009B1C8E"/>
    <w:rsid w:val="009B2DA0"/>
    <w:rsid w:val="009B2F31"/>
    <w:rsid w:val="009B40A3"/>
    <w:rsid w:val="009C0CF4"/>
    <w:rsid w:val="009C4F85"/>
    <w:rsid w:val="009C64D9"/>
    <w:rsid w:val="009D09F2"/>
    <w:rsid w:val="009D3383"/>
    <w:rsid w:val="009D6870"/>
    <w:rsid w:val="009D78CF"/>
    <w:rsid w:val="009E0EA2"/>
    <w:rsid w:val="009E3F57"/>
    <w:rsid w:val="009E4470"/>
    <w:rsid w:val="009E5BB4"/>
    <w:rsid w:val="009E5F00"/>
    <w:rsid w:val="009E655B"/>
    <w:rsid w:val="009E6B69"/>
    <w:rsid w:val="009E75FF"/>
    <w:rsid w:val="009E7C0A"/>
    <w:rsid w:val="009E7C46"/>
    <w:rsid w:val="009F047F"/>
    <w:rsid w:val="009F04B1"/>
    <w:rsid w:val="009F3122"/>
    <w:rsid w:val="009F3B8D"/>
    <w:rsid w:val="009F46F0"/>
    <w:rsid w:val="009F53E2"/>
    <w:rsid w:val="009F5DC6"/>
    <w:rsid w:val="009F7A1C"/>
    <w:rsid w:val="00A04871"/>
    <w:rsid w:val="00A0594E"/>
    <w:rsid w:val="00A06620"/>
    <w:rsid w:val="00A104E6"/>
    <w:rsid w:val="00A10FFA"/>
    <w:rsid w:val="00A11103"/>
    <w:rsid w:val="00A11826"/>
    <w:rsid w:val="00A14965"/>
    <w:rsid w:val="00A14B76"/>
    <w:rsid w:val="00A211F8"/>
    <w:rsid w:val="00A21616"/>
    <w:rsid w:val="00A234A2"/>
    <w:rsid w:val="00A2502B"/>
    <w:rsid w:val="00A25D5B"/>
    <w:rsid w:val="00A263AE"/>
    <w:rsid w:val="00A267E1"/>
    <w:rsid w:val="00A30288"/>
    <w:rsid w:val="00A313A6"/>
    <w:rsid w:val="00A33183"/>
    <w:rsid w:val="00A33892"/>
    <w:rsid w:val="00A417E5"/>
    <w:rsid w:val="00A42393"/>
    <w:rsid w:val="00A42C4C"/>
    <w:rsid w:val="00A433BD"/>
    <w:rsid w:val="00A4356F"/>
    <w:rsid w:val="00A43974"/>
    <w:rsid w:val="00A45CE0"/>
    <w:rsid w:val="00A45F88"/>
    <w:rsid w:val="00A460A4"/>
    <w:rsid w:val="00A479AC"/>
    <w:rsid w:val="00A47B9F"/>
    <w:rsid w:val="00A50235"/>
    <w:rsid w:val="00A50987"/>
    <w:rsid w:val="00A53312"/>
    <w:rsid w:val="00A54CC6"/>
    <w:rsid w:val="00A54F2B"/>
    <w:rsid w:val="00A57532"/>
    <w:rsid w:val="00A57FC4"/>
    <w:rsid w:val="00A613BE"/>
    <w:rsid w:val="00A624FD"/>
    <w:rsid w:val="00A63007"/>
    <w:rsid w:val="00A6331F"/>
    <w:rsid w:val="00A64F13"/>
    <w:rsid w:val="00A65A0A"/>
    <w:rsid w:val="00A65BC2"/>
    <w:rsid w:val="00A667BA"/>
    <w:rsid w:val="00A66D7B"/>
    <w:rsid w:val="00A67350"/>
    <w:rsid w:val="00A67B30"/>
    <w:rsid w:val="00A67FFA"/>
    <w:rsid w:val="00A7182E"/>
    <w:rsid w:val="00A7219C"/>
    <w:rsid w:val="00A7220A"/>
    <w:rsid w:val="00A7395D"/>
    <w:rsid w:val="00A74233"/>
    <w:rsid w:val="00A7471A"/>
    <w:rsid w:val="00A74B87"/>
    <w:rsid w:val="00A74C55"/>
    <w:rsid w:val="00A74F18"/>
    <w:rsid w:val="00A777E4"/>
    <w:rsid w:val="00A77C73"/>
    <w:rsid w:val="00A8016A"/>
    <w:rsid w:val="00A819A7"/>
    <w:rsid w:val="00A8273D"/>
    <w:rsid w:val="00A833AE"/>
    <w:rsid w:val="00A855C4"/>
    <w:rsid w:val="00A870C5"/>
    <w:rsid w:val="00A87640"/>
    <w:rsid w:val="00A87AC9"/>
    <w:rsid w:val="00A90A62"/>
    <w:rsid w:val="00A91601"/>
    <w:rsid w:val="00A929EB"/>
    <w:rsid w:val="00A93D2E"/>
    <w:rsid w:val="00A947EE"/>
    <w:rsid w:val="00A948D5"/>
    <w:rsid w:val="00A96493"/>
    <w:rsid w:val="00A97EE9"/>
    <w:rsid w:val="00A97F22"/>
    <w:rsid w:val="00AA0753"/>
    <w:rsid w:val="00AA2B66"/>
    <w:rsid w:val="00AA34A8"/>
    <w:rsid w:val="00AA4D93"/>
    <w:rsid w:val="00AA60A3"/>
    <w:rsid w:val="00AA6534"/>
    <w:rsid w:val="00AB1014"/>
    <w:rsid w:val="00AC03E0"/>
    <w:rsid w:val="00AC3FF0"/>
    <w:rsid w:val="00AC7C1D"/>
    <w:rsid w:val="00AD0448"/>
    <w:rsid w:val="00AD095A"/>
    <w:rsid w:val="00AD3E82"/>
    <w:rsid w:val="00AD4ABF"/>
    <w:rsid w:val="00AD4AFD"/>
    <w:rsid w:val="00AD6159"/>
    <w:rsid w:val="00AD65B2"/>
    <w:rsid w:val="00AD679A"/>
    <w:rsid w:val="00AE147D"/>
    <w:rsid w:val="00AE2718"/>
    <w:rsid w:val="00AE4343"/>
    <w:rsid w:val="00AE592C"/>
    <w:rsid w:val="00AE6209"/>
    <w:rsid w:val="00AE6417"/>
    <w:rsid w:val="00AE7F6D"/>
    <w:rsid w:val="00AF22D8"/>
    <w:rsid w:val="00AF60BA"/>
    <w:rsid w:val="00B00DEF"/>
    <w:rsid w:val="00B01673"/>
    <w:rsid w:val="00B01B6C"/>
    <w:rsid w:val="00B02ADD"/>
    <w:rsid w:val="00B039C7"/>
    <w:rsid w:val="00B05199"/>
    <w:rsid w:val="00B0595E"/>
    <w:rsid w:val="00B06B79"/>
    <w:rsid w:val="00B149D9"/>
    <w:rsid w:val="00B15AA4"/>
    <w:rsid w:val="00B169A8"/>
    <w:rsid w:val="00B17383"/>
    <w:rsid w:val="00B2032C"/>
    <w:rsid w:val="00B2426E"/>
    <w:rsid w:val="00B24B9D"/>
    <w:rsid w:val="00B24F0F"/>
    <w:rsid w:val="00B26DE5"/>
    <w:rsid w:val="00B277E4"/>
    <w:rsid w:val="00B305F3"/>
    <w:rsid w:val="00B31A8D"/>
    <w:rsid w:val="00B34C7F"/>
    <w:rsid w:val="00B3547A"/>
    <w:rsid w:val="00B377AF"/>
    <w:rsid w:val="00B43F28"/>
    <w:rsid w:val="00B43F56"/>
    <w:rsid w:val="00B46CD3"/>
    <w:rsid w:val="00B47591"/>
    <w:rsid w:val="00B476C7"/>
    <w:rsid w:val="00B507B4"/>
    <w:rsid w:val="00B50829"/>
    <w:rsid w:val="00B508AF"/>
    <w:rsid w:val="00B5118E"/>
    <w:rsid w:val="00B5601A"/>
    <w:rsid w:val="00B57B21"/>
    <w:rsid w:val="00B57D17"/>
    <w:rsid w:val="00B602C4"/>
    <w:rsid w:val="00B61760"/>
    <w:rsid w:val="00B62F35"/>
    <w:rsid w:val="00B6354A"/>
    <w:rsid w:val="00B64AAA"/>
    <w:rsid w:val="00B650DB"/>
    <w:rsid w:val="00B65829"/>
    <w:rsid w:val="00B65F22"/>
    <w:rsid w:val="00B65FC3"/>
    <w:rsid w:val="00B664C0"/>
    <w:rsid w:val="00B71D51"/>
    <w:rsid w:val="00B736DD"/>
    <w:rsid w:val="00B73F7F"/>
    <w:rsid w:val="00B74033"/>
    <w:rsid w:val="00B74338"/>
    <w:rsid w:val="00B7491A"/>
    <w:rsid w:val="00B7635B"/>
    <w:rsid w:val="00B767A7"/>
    <w:rsid w:val="00B775D5"/>
    <w:rsid w:val="00B811FB"/>
    <w:rsid w:val="00B831C0"/>
    <w:rsid w:val="00B847A8"/>
    <w:rsid w:val="00B858A7"/>
    <w:rsid w:val="00B85EDE"/>
    <w:rsid w:val="00B8681D"/>
    <w:rsid w:val="00B86C21"/>
    <w:rsid w:val="00B8717E"/>
    <w:rsid w:val="00B9043F"/>
    <w:rsid w:val="00B9277B"/>
    <w:rsid w:val="00B9576D"/>
    <w:rsid w:val="00B9619E"/>
    <w:rsid w:val="00BA0569"/>
    <w:rsid w:val="00BA0849"/>
    <w:rsid w:val="00BA32C7"/>
    <w:rsid w:val="00BA3D33"/>
    <w:rsid w:val="00BA5799"/>
    <w:rsid w:val="00BA7B1E"/>
    <w:rsid w:val="00BB0EE3"/>
    <w:rsid w:val="00BB682B"/>
    <w:rsid w:val="00BB6E63"/>
    <w:rsid w:val="00BB7A93"/>
    <w:rsid w:val="00BB7BDA"/>
    <w:rsid w:val="00BC2356"/>
    <w:rsid w:val="00BC259B"/>
    <w:rsid w:val="00BC44ED"/>
    <w:rsid w:val="00BC5CC6"/>
    <w:rsid w:val="00BC6CC5"/>
    <w:rsid w:val="00BC6F92"/>
    <w:rsid w:val="00BC7943"/>
    <w:rsid w:val="00BD003F"/>
    <w:rsid w:val="00BD1504"/>
    <w:rsid w:val="00BD6D6E"/>
    <w:rsid w:val="00BD7574"/>
    <w:rsid w:val="00BE0DE5"/>
    <w:rsid w:val="00BE1B1A"/>
    <w:rsid w:val="00BE3181"/>
    <w:rsid w:val="00BE39BF"/>
    <w:rsid w:val="00BE4749"/>
    <w:rsid w:val="00BF0B41"/>
    <w:rsid w:val="00BF1086"/>
    <w:rsid w:val="00BF18EE"/>
    <w:rsid w:val="00BF2AF5"/>
    <w:rsid w:val="00BF3DDC"/>
    <w:rsid w:val="00BF7164"/>
    <w:rsid w:val="00C00B92"/>
    <w:rsid w:val="00C022EB"/>
    <w:rsid w:val="00C024F9"/>
    <w:rsid w:val="00C0365E"/>
    <w:rsid w:val="00C03F12"/>
    <w:rsid w:val="00C0420A"/>
    <w:rsid w:val="00C05816"/>
    <w:rsid w:val="00C05C6E"/>
    <w:rsid w:val="00C07454"/>
    <w:rsid w:val="00C116DD"/>
    <w:rsid w:val="00C11948"/>
    <w:rsid w:val="00C1198B"/>
    <w:rsid w:val="00C1205C"/>
    <w:rsid w:val="00C12B7F"/>
    <w:rsid w:val="00C14AAD"/>
    <w:rsid w:val="00C150C6"/>
    <w:rsid w:val="00C15E22"/>
    <w:rsid w:val="00C1673F"/>
    <w:rsid w:val="00C20C4F"/>
    <w:rsid w:val="00C20E80"/>
    <w:rsid w:val="00C24499"/>
    <w:rsid w:val="00C244F6"/>
    <w:rsid w:val="00C25751"/>
    <w:rsid w:val="00C25DB2"/>
    <w:rsid w:val="00C26084"/>
    <w:rsid w:val="00C27911"/>
    <w:rsid w:val="00C27D6C"/>
    <w:rsid w:val="00C31D33"/>
    <w:rsid w:val="00C321B9"/>
    <w:rsid w:val="00C331B7"/>
    <w:rsid w:val="00C34DF6"/>
    <w:rsid w:val="00C366C8"/>
    <w:rsid w:val="00C36E3A"/>
    <w:rsid w:val="00C37589"/>
    <w:rsid w:val="00C42889"/>
    <w:rsid w:val="00C43811"/>
    <w:rsid w:val="00C43CCC"/>
    <w:rsid w:val="00C44785"/>
    <w:rsid w:val="00C45496"/>
    <w:rsid w:val="00C47693"/>
    <w:rsid w:val="00C47EBC"/>
    <w:rsid w:val="00C51C7F"/>
    <w:rsid w:val="00C552CE"/>
    <w:rsid w:val="00C563A0"/>
    <w:rsid w:val="00C56A08"/>
    <w:rsid w:val="00C57840"/>
    <w:rsid w:val="00C579BB"/>
    <w:rsid w:val="00C63048"/>
    <w:rsid w:val="00C6320C"/>
    <w:rsid w:val="00C65574"/>
    <w:rsid w:val="00C75BE0"/>
    <w:rsid w:val="00C77166"/>
    <w:rsid w:val="00C772D5"/>
    <w:rsid w:val="00C80A22"/>
    <w:rsid w:val="00C84950"/>
    <w:rsid w:val="00C84E66"/>
    <w:rsid w:val="00C85644"/>
    <w:rsid w:val="00C86904"/>
    <w:rsid w:val="00C86946"/>
    <w:rsid w:val="00C87AEC"/>
    <w:rsid w:val="00C87E60"/>
    <w:rsid w:val="00C900E7"/>
    <w:rsid w:val="00C902AF"/>
    <w:rsid w:val="00C955C5"/>
    <w:rsid w:val="00C958B1"/>
    <w:rsid w:val="00C96D04"/>
    <w:rsid w:val="00C96F28"/>
    <w:rsid w:val="00CA0DDE"/>
    <w:rsid w:val="00CA2420"/>
    <w:rsid w:val="00CA5DE2"/>
    <w:rsid w:val="00CB0BB1"/>
    <w:rsid w:val="00CB121D"/>
    <w:rsid w:val="00CB1AB5"/>
    <w:rsid w:val="00CB2748"/>
    <w:rsid w:val="00CB3E7A"/>
    <w:rsid w:val="00CB57DE"/>
    <w:rsid w:val="00CB6487"/>
    <w:rsid w:val="00CB6848"/>
    <w:rsid w:val="00CB6A87"/>
    <w:rsid w:val="00CC0244"/>
    <w:rsid w:val="00CC14C2"/>
    <w:rsid w:val="00CC157E"/>
    <w:rsid w:val="00CC2697"/>
    <w:rsid w:val="00CC2A33"/>
    <w:rsid w:val="00CC4C03"/>
    <w:rsid w:val="00CC5C9E"/>
    <w:rsid w:val="00CC73FC"/>
    <w:rsid w:val="00CC796B"/>
    <w:rsid w:val="00CD0291"/>
    <w:rsid w:val="00CD5A43"/>
    <w:rsid w:val="00CD79F5"/>
    <w:rsid w:val="00CE0307"/>
    <w:rsid w:val="00CE3547"/>
    <w:rsid w:val="00CE39C0"/>
    <w:rsid w:val="00CE3A43"/>
    <w:rsid w:val="00CE414A"/>
    <w:rsid w:val="00CE62F6"/>
    <w:rsid w:val="00CE6A83"/>
    <w:rsid w:val="00CF142D"/>
    <w:rsid w:val="00CF3024"/>
    <w:rsid w:val="00CF332A"/>
    <w:rsid w:val="00CF4394"/>
    <w:rsid w:val="00CF5C70"/>
    <w:rsid w:val="00CF68D9"/>
    <w:rsid w:val="00D05235"/>
    <w:rsid w:val="00D10946"/>
    <w:rsid w:val="00D1258A"/>
    <w:rsid w:val="00D127E8"/>
    <w:rsid w:val="00D12DCB"/>
    <w:rsid w:val="00D14388"/>
    <w:rsid w:val="00D14836"/>
    <w:rsid w:val="00D14D0E"/>
    <w:rsid w:val="00D16605"/>
    <w:rsid w:val="00D22C77"/>
    <w:rsid w:val="00D2479F"/>
    <w:rsid w:val="00D26F16"/>
    <w:rsid w:val="00D27B4E"/>
    <w:rsid w:val="00D27CAB"/>
    <w:rsid w:val="00D31120"/>
    <w:rsid w:val="00D32836"/>
    <w:rsid w:val="00D34540"/>
    <w:rsid w:val="00D35C91"/>
    <w:rsid w:val="00D35E07"/>
    <w:rsid w:val="00D37CB2"/>
    <w:rsid w:val="00D40A69"/>
    <w:rsid w:val="00D41AE8"/>
    <w:rsid w:val="00D42901"/>
    <w:rsid w:val="00D42E2D"/>
    <w:rsid w:val="00D46F29"/>
    <w:rsid w:val="00D47ACE"/>
    <w:rsid w:val="00D51D29"/>
    <w:rsid w:val="00D526FA"/>
    <w:rsid w:val="00D527E5"/>
    <w:rsid w:val="00D53AAA"/>
    <w:rsid w:val="00D54A4A"/>
    <w:rsid w:val="00D56625"/>
    <w:rsid w:val="00D62DBB"/>
    <w:rsid w:val="00D63782"/>
    <w:rsid w:val="00D64171"/>
    <w:rsid w:val="00D64637"/>
    <w:rsid w:val="00D650C4"/>
    <w:rsid w:val="00D65769"/>
    <w:rsid w:val="00D66F7D"/>
    <w:rsid w:val="00D6754B"/>
    <w:rsid w:val="00D679AE"/>
    <w:rsid w:val="00D67D00"/>
    <w:rsid w:val="00D67D5B"/>
    <w:rsid w:val="00D7089D"/>
    <w:rsid w:val="00D70D81"/>
    <w:rsid w:val="00D76480"/>
    <w:rsid w:val="00D77000"/>
    <w:rsid w:val="00D814FA"/>
    <w:rsid w:val="00D82355"/>
    <w:rsid w:val="00D83F67"/>
    <w:rsid w:val="00D845D3"/>
    <w:rsid w:val="00D84DA3"/>
    <w:rsid w:val="00D8717A"/>
    <w:rsid w:val="00D8741C"/>
    <w:rsid w:val="00D876CC"/>
    <w:rsid w:val="00D87EAC"/>
    <w:rsid w:val="00D94209"/>
    <w:rsid w:val="00D94505"/>
    <w:rsid w:val="00D94BC3"/>
    <w:rsid w:val="00D94D9D"/>
    <w:rsid w:val="00D973C4"/>
    <w:rsid w:val="00D97D3A"/>
    <w:rsid w:val="00DA08F0"/>
    <w:rsid w:val="00DA326E"/>
    <w:rsid w:val="00DA573B"/>
    <w:rsid w:val="00DA59A7"/>
    <w:rsid w:val="00DA59D7"/>
    <w:rsid w:val="00DA7E19"/>
    <w:rsid w:val="00DB0028"/>
    <w:rsid w:val="00DB0814"/>
    <w:rsid w:val="00DB17B7"/>
    <w:rsid w:val="00DB1FDB"/>
    <w:rsid w:val="00DB2291"/>
    <w:rsid w:val="00DB237B"/>
    <w:rsid w:val="00DB3083"/>
    <w:rsid w:val="00DB3580"/>
    <w:rsid w:val="00DB3FA7"/>
    <w:rsid w:val="00DB444B"/>
    <w:rsid w:val="00DC0967"/>
    <w:rsid w:val="00DC0C3F"/>
    <w:rsid w:val="00DC1767"/>
    <w:rsid w:val="00DC1D28"/>
    <w:rsid w:val="00DC5BB1"/>
    <w:rsid w:val="00DC5E9C"/>
    <w:rsid w:val="00DC605C"/>
    <w:rsid w:val="00DC683F"/>
    <w:rsid w:val="00DD10CB"/>
    <w:rsid w:val="00DD1BDA"/>
    <w:rsid w:val="00DD1C37"/>
    <w:rsid w:val="00DD38E2"/>
    <w:rsid w:val="00DD66EC"/>
    <w:rsid w:val="00DD696F"/>
    <w:rsid w:val="00DD7AA7"/>
    <w:rsid w:val="00DE06C5"/>
    <w:rsid w:val="00DE2B90"/>
    <w:rsid w:val="00DE2CA7"/>
    <w:rsid w:val="00DE41FF"/>
    <w:rsid w:val="00DE45CE"/>
    <w:rsid w:val="00DE5A42"/>
    <w:rsid w:val="00DF111F"/>
    <w:rsid w:val="00DF1439"/>
    <w:rsid w:val="00DF57AF"/>
    <w:rsid w:val="00DF59D8"/>
    <w:rsid w:val="00DF5BA4"/>
    <w:rsid w:val="00E01859"/>
    <w:rsid w:val="00E01961"/>
    <w:rsid w:val="00E01D23"/>
    <w:rsid w:val="00E03A8F"/>
    <w:rsid w:val="00E049B5"/>
    <w:rsid w:val="00E051CF"/>
    <w:rsid w:val="00E05DD3"/>
    <w:rsid w:val="00E06D6B"/>
    <w:rsid w:val="00E10288"/>
    <w:rsid w:val="00E1071D"/>
    <w:rsid w:val="00E10875"/>
    <w:rsid w:val="00E10956"/>
    <w:rsid w:val="00E13621"/>
    <w:rsid w:val="00E13DD1"/>
    <w:rsid w:val="00E13F5F"/>
    <w:rsid w:val="00E1498C"/>
    <w:rsid w:val="00E164A5"/>
    <w:rsid w:val="00E17416"/>
    <w:rsid w:val="00E215D9"/>
    <w:rsid w:val="00E219EC"/>
    <w:rsid w:val="00E22766"/>
    <w:rsid w:val="00E22E09"/>
    <w:rsid w:val="00E265AB"/>
    <w:rsid w:val="00E30256"/>
    <w:rsid w:val="00E30824"/>
    <w:rsid w:val="00E34026"/>
    <w:rsid w:val="00E36F6A"/>
    <w:rsid w:val="00E37A18"/>
    <w:rsid w:val="00E37DFC"/>
    <w:rsid w:val="00E4168D"/>
    <w:rsid w:val="00E422F3"/>
    <w:rsid w:val="00E42311"/>
    <w:rsid w:val="00E43D03"/>
    <w:rsid w:val="00E4526C"/>
    <w:rsid w:val="00E477AB"/>
    <w:rsid w:val="00E47A36"/>
    <w:rsid w:val="00E505D4"/>
    <w:rsid w:val="00E53168"/>
    <w:rsid w:val="00E5358A"/>
    <w:rsid w:val="00E54C37"/>
    <w:rsid w:val="00E55676"/>
    <w:rsid w:val="00E55A06"/>
    <w:rsid w:val="00E562A4"/>
    <w:rsid w:val="00E57CE9"/>
    <w:rsid w:val="00E62538"/>
    <w:rsid w:val="00E62637"/>
    <w:rsid w:val="00E62EC1"/>
    <w:rsid w:val="00E663EE"/>
    <w:rsid w:val="00E669B8"/>
    <w:rsid w:val="00E715A6"/>
    <w:rsid w:val="00E73840"/>
    <w:rsid w:val="00E7430C"/>
    <w:rsid w:val="00E74FA1"/>
    <w:rsid w:val="00E76002"/>
    <w:rsid w:val="00E77F86"/>
    <w:rsid w:val="00E817AE"/>
    <w:rsid w:val="00E81EF6"/>
    <w:rsid w:val="00E84479"/>
    <w:rsid w:val="00E84CE4"/>
    <w:rsid w:val="00E85229"/>
    <w:rsid w:val="00E8674A"/>
    <w:rsid w:val="00E86B14"/>
    <w:rsid w:val="00E8711A"/>
    <w:rsid w:val="00E8774E"/>
    <w:rsid w:val="00E95633"/>
    <w:rsid w:val="00E96579"/>
    <w:rsid w:val="00E970A2"/>
    <w:rsid w:val="00E973A1"/>
    <w:rsid w:val="00EA09E3"/>
    <w:rsid w:val="00EA1B23"/>
    <w:rsid w:val="00EA40E8"/>
    <w:rsid w:val="00EA5471"/>
    <w:rsid w:val="00EA558F"/>
    <w:rsid w:val="00EA5F66"/>
    <w:rsid w:val="00EA6822"/>
    <w:rsid w:val="00EA6A3E"/>
    <w:rsid w:val="00EA6CBD"/>
    <w:rsid w:val="00EB10FB"/>
    <w:rsid w:val="00EC159A"/>
    <w:rsid w:val="00EC3D5D"/>
    <w:rsid w:val="00EC4B66"/>
    <w:rsid w:val="00EC5499"/>
    <w:rsid w:val="00EC6649"/>
    <w:rsid w:val="00EC7775"/>
    <w:rsid w:val="00ED0671"/>
    <w:rsid w:val="00ED08C5"/>
    <w:rsid w:val="00ED0CC2"/>
    <w:rsid w:val="00ED25D2"/>
    <w:rsid w:val="00ED410C"/>
    <w:rsid w:val="00ED5783"/>
    <w:rsid w:val="00ED5BA2"/>
    <w:rsid w:val="00ED6025"/>
    <w:rsid w:val="00EE162F"/>
    <w:rsid w:val="00EE34ED"/>
    <w:rsid w:val="00EE4F79"/>
    <w:rsid w:val="00EE5AEC"/>
    <w:rsid w:val="00EE6527"/>
    <w:rsid w:val="00EF0C44"/>
    <w:rsid w:val="00EF1914"/>
    <w:rsid w:val="00EF5E02"/>
    <w:rsid w:val="00EF5FDF"/>
    <w:rsid w:val="00F002C0"/>
    <w:rsid w:val="00F02A03"/>
    <w:rsid w:val="00F0384B"/>
    <w:rsid w:val="00F07C33"/>
    <w:rsid w:val="00F108D7"/>
    <w:rsid w:val="00F128A8"/>
    <w:rsid w:val="00F12C38"/>
    <w:rsid w:val="00F13F48"/>
    <w:rsid w:val="00F16471"/>
    <w:rsid w:val="00F2121A"/>
    <w:rsid w:val="00F21CB2"/>
    <w:rsid w:val="00F22C43"/>
    <w:rsid w:val="00F22D78"/>
    <w:rsid w:val="00F2393F"/>
    <w:rsid w:val="00F254D9"/>
    <w:rsid w:val="00F31357"/>
    <w:rsid w:val="00F320E6"/>
    <w:rsid w:val="00F32CF5"/>
    <w:rsid w:val="00F3318E"/>
    <w:rsid w:val="00F347D6"/>
    <w:rsid w:val="00F35074"/>
    <w:rsid w:val="00F35121"/>
    <w:rsid w:val="00F358FC"/>
    <w:rsid w:val="00F362C4"/>
    <w:rsid w:val="00F36C79"/>
    <w:rsid w:val="00F37220"/>
    <w:rsid w:val="00F37DD8"/>
    <w:rsid w:val="00F4013A"/>
    <w:rsid w:val="00F4053E"/>
    <w:rsid w:val="00F40CE5"/>
    <w:rsid w:val="00F41170"/>
    <w:rsid w:val="00F4155E"/>
    <w:rsid w:val="00F430D4"/>
    <w:rsid w:val="00F4310A"/>
    <w:rsid w:val="00F4450E"/>
    <w:rsid w:val="00F47459"/>
    <w:rsid w:val="00F5051E"/>
    <w:rsid w:val="00F5523A"/>
    <w:rsid w:val="00F555BC"/>
    <w:rsid w:val="00F562B2"/>
    <w:rsid w:val="00F56F3A"/>
    <w:rsid w:val="00F570F0"/>
    <w:rsid w:val="00F60419"/>
    <w:rsid w:val="00F6146A"/>
    <w:rsid w:val="00F630D9"/>
    <w:rsid w:val="00F64208"/>
    <w:rsid w:val="00F656C5"/>
    <w:rsid w:val="00F6724E"/>
    <w:rsid w:val="00F67279"/>
    <w:rsid w:val="00F72896"/>
    <w:rsid w:val="00F73717"/>
    <w:rsid w:val="00F75D16"/>
    <w:rsid w:val="00F807C0"/>
    <w:rsid w:val="00F82929"/>
    <w:rsid w:val="00F82BEB"/>
    <w:rsid w:val="00F837A9"/>
    <w:rsid w:val="00F849F8"/>
    <w:rsid w:val="00F86E40"/>
    <w:rsid w:val="00F87159"/>
    <w:rsid w:val="00F90397"/>
    <w:rsid w:val="00F91CF2"/>
    <w:rsid w:val="00F91E80"/>
    <w:rsid w:val="00F93991"/>
    <w:rsid w:val="00FA0565"/>
    <w:rsid w:val="00FA417C"/>
    <w:rsid w:val="00FA42D3"/>
    <w:rsid w:val="00FA516B"/>
    <w:rsid w:val="00FA565B"/>
    <w:rsid w:val="00FA58B5"/>
    <w:rsid w:val="00FA744C"/>
    <w:rsid w:val="00FB3A1A"/>
    <w:rsid w:val="00FB4F6E"/>
    <w:rsid w:val="00FB60E5"/>
    <w:rsid w:val="00FB61D0"/>
    <w:rsid w:val="00FB67FE"/>
    <w:rsid w:val="00FB7DFE"/>
    <w:rsid w:val="00FC01FC"/>
    <w:rsid w:val="00FC1625"/>
    <w:rsid w:val="00FC2907"/>
    <w:rsid w:val="00FC3FFA"/>
    <w:rsid w:val="00FC4813"/>
    <w:rsid w:val="00FC5C80"/>
    <w:rsid w:val="00FC6860"/>
    <w:rsid w:val="00FC7A65"/>
    <w:rsid w:val="00FD0698"/>
    <w:rsid w:val="00FD2039"/>
    <w:rsid w:val="00FD2115"/>
    <w:rsid w:val="00FD26EF"/>
    <w:rsid w:val="00FD33DD"/>
    <w:rsid w:val="00FD347F"/>
    <w:rsid w:val="00FD5649"/>
    <w:rsid w:val="00FE1957"/>
    <w:rsid w:val="00FE3A6E"/>
    <w:rsid w:val="00FE43AC"/>
    <w:rsid w:val="00FE5676"/>
    <w:rsid w:val="00FE6278"/>
    <w:rsid w:val="00FE716B"/>
    <w:rsid w:val="00FE781D"/>
    <w:rsid w:val="00FF0212"/>
    <w:rsid w:val="00FF076E"/>
    <w:rsid w:val="00FF6279"/>
    <w:rsid w:val="016B2170"/>
    <w:rsid w:val="01787946"/>
    <w:rsid w:val="02085A2F"/>
    <w:rsid w:val="025F20F0"/>
    <w:rsid w:val="036F2FCB"/>
    <w:rsid w:val="062005AC"/>
    <w:rsid w:val="07A775CC"/>
    <w:rsid w:val="081A3F5B"/>
    <w:rsid w:val="08C72F61"/>
    <w:rsid w:val="09304FAA"/>
    <w:rsid w:val="0A7C6B7A"/>
    <w:rsid w:val="0B8D0F28"/>
    <w:rsid w:val="0C0F43C2"/>
    <w:rsid w:val="0E0506A1"/>
    <w:rsid w:val="0E9D4E90"/>
    <w:rsid w:val="0F1A028E"/>
    <w:rsid w:val="0F3F1AA3"/>
    <w:rsid w:val="0F5526E2"/>
    <w:rsid w:val="0FC42C0C"/>
    <w:rsid w:val="10AC760C"/>
    <w:rsid w:val="10F03177"/>
    <w:rsid w:val="11FA7F03"/>
    <w:rsid w:val="12301B77"/>
    <w:rsid w:val="125C6E10"/>
    <w:rsid w:val="14626CBD"/>
    <w:rsid w:val="14EA399C"/>
    <w:rsid w:val="150A2B53"/>
    <w:rsid w:val="15D61EF6"/>
    <w:rsid w:val="16B5089D"/>
    <w:rsid w:val="17D138E4"/>
    <w:rsid w:val="1824217E"/>
    <w:rsid w:val="19A63761"/>
    <w:rsid w:val="1AAD10BF"/>
    <w:rsid w:val="1C2D3246"/>
    <w:rsid w:val="1C9F6277"/>
    <w:rsid w:val="1D0C4F8F"/>
    <w:rsid w:val="1D4D020A"/>
    <w:rsid w:val="1DD51824"/>
    <w:rsid w:val="1F382D37"/>
    <w:rsid w:val="1FEF427C"/>
    <w:rsid w:val="20421655"/>
    <w:rsid w:val="20F95F44"/>
    <w:rsid w:val="21650A7D"/>
    <w:rsid w:val="21BA2415"/>
    <w:rsid w:val="2221772E"/>
    <w:rsid w:val="222C235B"/>
    <w:rsid w:val="2311076F"/>
    <w:rsid w:val="23694EE9"/>
    <w:rsid w:val="23CE130B"/>
    <w:rsid w:val="24D70D30"/>
    <w:rsid w:val="27DE0C64"/>
    <w:rsid w:val="28041684"/>
    <w:rsid w:val="2870455C"/>
    <w:rsid w:val="29BF1D06"/>
    <w:rsid w:val="29F50AF2"/>
    <w:rsid w:val="2A0F0C91"/>
    <w:rsid w:val="2A470ADA"/>
    <w:rsid w:val="2A524929"/>
    <w:rsid w:val="2C5D5807"/>
    <w:rsid w:val="2C6C5EBE"/>
    <w:rsid w:val="2D713949"/>
    <w:rsid w:val="2E0B376C"/>
    <w:rsid w:val="2E70277E"/>
    <w:rsid w:val="30280F70"/>
    <w:rsid w:val="30901D07"/>
    <w:rsid w:val="30963095"/>
    <w:rsid w:val="30A856FB"/>
    <w:rsid w:val="30CB71E3"/>
    <w:rsid w:val="313A3898"/>
    <w:rsid w:val="31DE2F46"/>
    <w:rsid w:val="321D3148"/>
    <w:rsid w:val="32496611"/>
    <w:rsid w:val="3355548A"/>
    <w:rsid w:val="33925D96"/>
    <w:rsid w:val="33EE3CE1"/>
    <w:rsid w:val="341715C0"/>
    <w:rsid w:val="34394463"/>
    <w:rsid w:val="35D00DF7"/>
    <w:rsid w:val="375E3CDA"/>
    <w:rsid w:val="38237904"/>
    <w:rsid w:val="387F2BB5"/>
    <w:rsid w:val="395D29A2"/>
    <w:rsid w:val="397228F1"/>
    <w:rsid w:val="39B44EF4"/>
    <w:rsid w:val="39F96B6F"/>
    <w:rsid w:val="3AFD8C88"/>
    <w:rsid w:val="3B9A612F"/>
    <w:rsid w:val="3D032B0B"/>
    <w:rsid w:val="3E90381A"/>
    <w:rsid w:val="3F06588A"/>
    <w:rsid w:val="3F3D5750"/>
    <w:rsid w:val="3F542A99"/>
    <w:rsid w:val="3FEA37B6"/>
    <w:rsid w:val="40A01D6C"/>
    <w:rsid w:val="41A23A7A"/>
    <w:rsid w:val="429A447C"/>
    <w:rsid w:val="44B76C5C"/>
    <w:rsid w:val="45117DDD"/>
    <w:rsid w:val="455D3889"/>
    <w:rsid w:val="45A71B75"/>
    <w:rsid w:val="46B5206F"/>
    <w:rsid w:val="46BF79A8"/>
    <w:rsid w:val="471F7B3D"/>
    <w:rsid w:val="47E635F4"/>
    <w:rsid w:val="485E04E5"/>
    <w:rsid w:val="48873598"/>
    <w:rsid w:val="4957740E"/>
    <w:rsid w:val="497C50C6"/>
    <w:rsid w:val="4B9304A5"/>
    <w:rsid w:val="4BC1751C"/>
    <w:rsid w:val="4BFB48E2"/>
    <w:rsid w:val="4C207D27"/>
    <w:rsid w:val="4D396A73"/>
    <w:rsid w:val="4D901140"/>
    <w:rsid w:val="4E21623C"/>
    <w:rsid w:val="4E4C2032"/>
    <w:rsid w:val="4EAD3DD9"/>
    <w:rsid w:val="4FF707C0"/>
    <w:rsid w:val="4FFC2A88"/>
    <w:rsid w:val="4FFD30BF"/>
    <w:rsid w:val="500100D3"/>
    <w:rsid w:val="504F169B"/>
    <w:rsid w:val="507316EC"/>
    <w:rsid w:val="513242BC"/>
    <w:rsid w:val="52397FF8"/>
    <w:rsid w:val="531A3FF9"/>
    <w:rsid w:val="53690FF8"/>
    <w:rsid w:val="541F4FCC"/>
    <w:rsid w:val="54271AC6"/>
    <w:rsid w:val="5766720A"/>
    <w:rsid w:val="57A809D1"/>
    <w:rsid w:val="58AA655F"/>
    <w:rsid w:val="590B76B5"/>
    <w:rsid w:val="59CE2DE5"/>
    <w:rsid w:val="5A4C2893"/>
    <w:rsid w:val="5AB9477F"/>
    <w:rsid w:val="5B7670D0"/>
    <w:rsid w:val="5C427AAA"/>
    <w:rsid w:val="5CF039A9"/>
    <w:rsid w:val="5D71002C"/>
    <w:rsid w:val="5DF773DD"/>
    <w:rsid w:val="5E512226"/>
    <w:rsid w:val="5FB273FD"/>
    <w:rsid w:val="6050574A"/>
    <w:rsid w:val="605E6476"/>
    <w:rsid w:val="607E67DA"/>
    <w:rsid w:val="633F4960"/>
    <w:rsid w:val="6416752C"/>
    <w:rsid w:val="64D92F75"/>
    <w:rsid w:val="65613696"/>
    <w:rsid w:val="65E9413F"/>
    <w:rsid w:val="676D0B49"/>
    <w:rsid w:val="68E63EB3"/>
    <w:rsid w:val="68EB3277"/>
    <w:rsid w:val="68F75C8D"/>
    <w:rsid w:val="6D05506C"/>
    <w:rsid w:val="6D267BD4"/>
    <w:rsid w:val="6DB7D43D"/>
    <w:rsid w:val="6E310B11"/>
    <w:rsid w:val="6E9F6FDD"/>
    <w:rsid w:val="6FC7059A"/>
    <w:rsid w:val="6FEA24DA"/>
    <w:rsid w:val="70CC23F9"/>
    <w:rsid w:val="70DE203F"/>
    <w:rsid w:val="710F2FAE"/>
    <w:rsid w:val="714B0D57"/>
    <w:rsid w:val="721675B7"/>
    <w:rsid w:val="72D80D10"/>
    <w:rsid w:val="737D86EE"/>
    <w:rsid w:val="73A86934"/>
    <w:rsid w:val="74FC6F38"/>
    <w:rsid w:val="75B73ED4"/>
    <w:rsid w:val="76F459ED"/>
    <w:rsid w:val="76FAF427"/>
    <w:rsid w:val="774D68C4"/>
    <w:rsid w:val="77FF15D9"/>
    <w:rsid w:val="781752E6"/>
    <w:rsid w:val="78F45C2F"/>
    <w:rsid w:val="79A74F98"/>
    <w:rsid w:val="7B516825"/>
    <w:rsid w:val="7B5D6256"/>
    <w:rsid w:val="7BD163FE"/>
    <w:rsid w:val="7CB63E70"/>
    <w:rsid w:val="7CD071D1"/>
    <w:rsid w:val="7D8A0E59"/>
    <w:rsid w:val="7D9DB913"/>
    <w:rsid w:val="7DEEE4B4"/>
    <w:rsid w:val="7DF05160"/>
    <w:rsid w:val="7E4E30CC"/>
    <w:rsid w:val="7E8D3423"/>
    <w:rsid w:val="7F0F5AB9"/>
    <w:rsid w:val="7FF5FE16"/>
    <w:rsid w:val="AD9E25B2"/>
    <w:rsid w:val="B14FC5A1"/>
    <w:rsid w:val="B3FD2A1E"/>
    <w:rsid w:val="BEE28195"/>
    <w:rsid w:val="BEFF536F"/>
    <w:rsid w:val="BF3E7B83"/>
    <w:rsid w:val="CBD3CC05"/>
    <w:rsid w:val="D56F85BE"/>
    <w:rsid w:val="D5FB346A"/>
    <w:rsid w:val="E7976282"/>
    <w:rsid w:val="EEFF20A2"/>
    <w:rsid w:val="EFED1BA2"/>
    <w:rsid w:val="F6BF6CD2"/>
    <w:rsid w:val="FBF7D8D0"/>
    <w:rsid w:val="FFED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rPr>
      <w:rFonts w:ascii="Calibri" w:hAnsi="Calibri" w:eastAsia="宋体" w:cs="Times New Roman"/>
    </w:rPr>
  </w:style>
  <w:style w:type="paragraph" w:styleId="3">
    <w:name w:val="Balloon Text"/>
    <w:basedOn w:val="1"/>
    <w:link w:val="13"/>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0"/>
    <w:rPr>
      <w:rFonts w:asciiTheme="minorHAnsi" w:hAnsiTheme="minorHAnsi" w:eastAsiaTheme="minorEastAsia" w:cstheme="minorBidi"/>
      <w:b/>
      <w:bCs/>
    </w:rPr>
  </w:style>
  <w:style w:type="table" w:styleId="8">
    <w:name w:val="Table Grid"/>
    <w:basedOn w:val="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批注框文本 字符"/>
    <w:basedOn w:val="9"/>
    <w:link w:val="3"/>
    <w:semiHidden/>
    <w:qFormat/>
    <w:uiPriority w:val="0"/>
    <w:rPr>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文字 字符"/>
    <w:basedOn w:val="9"/>
    <w:link w:val="2"/>
    <w:qFormat/>
    <w:uiPriority w:val="99"/>
    <w:rPr>
      <w:rFonts w:ascii="Calibri" w:hAnsi="Calibri" w:eastAsia="宋体" w:cs="Times New Roman"/>
      <w:kern w:val="2"/>
      <w:sz w:val="21"/>
      <w:szCs w:val="22"/>
    </w:rPr>
  </w:style>
  <w:style w:type="character" w:customStyle="1" w:styleId="16">
    <w:name w:val="fontstyle01"/>
    <w:basedOn w:val="9"/>
    <w:qFormat/>
    <w:uiPriority w:val="0"/>
    <w:rPr>
      <w:rFonts w:hint="eastAsia" w:ascii="黑体" w:hAnsi="黑体" w:eastAsia="黑体"/>
      <w:color w:val="000000"/>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主题 字符"/>
    <w:basedOn w:val="15"/>
    <w:link w:val="6"/>
    <w:semiHidden/>
    <w:qFormat/>
    <w:uiPriority w:val="0"/>
    <w:rPr>
      <w:rFonts w:asciiTheme="minorHAnsi" w:hAnsiTheme="minorHAnsi" w:eastAsiaTheme="minorEastAsia" w:cstheme="minorBidi"/>
      <w:b/>
      <w:bCs/>
      <w:kern w:val="2"/>
      <w:sz w:val="21"/>
      <w:szCs w:val="22"/>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1056</Words>
  <Characters>6024</Characters>
  <Lines>50</Lines>
  <Paragraphs>14</Paragraphs>
  <TotalTime>1</TotalTime>
  <ScaleCrop>false</ScaleCrop>
  <LinksUpToDate>false</LinksUpToDate>
  <CharactersWithSpaces>7066</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2024-11-15T15:47:00Z</dcterms:created>
  <dc:creator>czbank</dc:creator>
  <cp:lastModifiedBy>C73A</cp:lastModifiedBy>
  <cp:lastPrinted>2024-06-18T19:08:00Z</cp:lastPrinted>
  <dcterms:modified xsi:type="dcterms:W3CDTF">2025-10-10T16:54:56Z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64AEDB1EBD3E436B8D5125AF0B28362F</vt:lpwstr>
  </property>
  <property fmtid="{D5CDD505-2E9C-101B-9397-08002B2CF9AE}" pid="4" name="KSOTemplateDocerSaveRecord">
    <vt:lpwstr>eyJoZGlkIjoiOWVjMjZhOWViNTZhZjkyOTUyOWNkNTA2ZGVmZmYwZTAiLCJ1c2VySWQiOiIzMDI2MzA1NjIifQ==</vt:lpwstr>
  </property>
</Properties>
</file>