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276" w:lineRule="auto"/>
        <w:jc w:val="center"/>
        <w:outlineLvl w:val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兴银理财</w:t>
      </w:r>
      <w:permStart w:id="0" w:edGrp="everyone"/>
      <w:r>
        <w:rPr>
          <w:rStyle w:val="6"/>
          <w:rFonts w:hint="eastAsia" w:ascii="黑体" w:hAnsi="黑体" w:eastAsia="黑体"/>
          <w:sz w:val="28"/>
          <w:szCs w:val="28"/>
        </w:rPr>
        <w:t>【稳添利日盈日开固收类】</w:t>
      </w:r>
      <w:permEnd w:id="0"/>
      <w:r>
        <w:rPr>
          <w:rStyle w:val="6"/>
          <w:rFonts w:hint="eastAsia" w:ascii="黑体" w:hAnsi="黑体" w:eastAsia="黑体"/>
          <w:sz w:val="28"/>
          <w:szCs w:val="28"/>
        </w:rPr>
        <w:t>理财产品</w:t>
      </w:r>
    </w:p>
    <w:p>
      <w:pPr>
        <w:adjustRightInd w:val="0"/>
        <w:spacing w:line="276" w:lineRule="auto"/>
        <w:jc w:val="center"/>
        <w:outlineLvl w:val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投资者权益须知</w:t>
      </w:r>
    </w:p>
    <w:p>
      <w:pPr>
        <w:pStyle w:val="9"/>
        <w:jc w:val="center"/>
        <w:outlineLvl w:val="0"/>
        <w:rPr>
          <w:rFonts w:hAnsi="宋体"/>
          <w:b/>
          <w:color w:val="auto"/>
          <w:sz w:val="28"/>
          <w:szCs w:val="28"/>
        </w:rPr>
      </w:pPr>
      <w:r>
        <w:rPr>
          <w:rFonts w:hint="eastAsia" w:hAnsi="宋体"/>
          <w:b/>
          <w:color w:val="auto"/>
          <w:sz w:val="28"/>
          <w:szCs w:val="28"/>
        </w:rPr>
        <w:t>（适用于个人投资者）</w:t>
      </w:r>
    </w:p>
    <w:p>
      <w:pPr>
        <w:outlineLvl w:val="1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尊敬的投资者：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感谢您通过销售机构</w:t>
      </w:r>
      <w:permStart w:id="1" w:edGrp="everyone"/>
      <w:r>
        <w:rPr>
          <w:rFonts w:hint="eastAsia" w:ascii="宋体" w:hAnsi="宋体"/>
          <w:sz w:val="18"/>
          <w:szCs w:val="18"/>
        </w:rPr>
        <w:t>【】</w:t>
      </w:r>
      <w:permEnd w:id="1"/>
      <w:r>
        <w:rPr>
          <w:rFonts w:hint="eastAsia" w:ascii="宋体" w:hAnsi="宋体"/>
          <w:sz w:val="18"/>
          <w:szCs w:val="18"/>
        </w:rPr>
        <w:t>以(</w:t>
      </w:r>
      <w:permStart w:id="2" w:edGrp="everyone"/>
      <w:r>
        <w:rPr>
          <w:rFonts w:hint="eastAsia" w:ascii="宋体" w:hAnsi="宋体"/>
          <w:sz w:val="18"/>
          <w:szCs w:val="18"/>
        </w:rPr>
        <w:t>□ 直销：产品管理人销售/■ 代销：代理销售机构销售</w:t>
      </w:r>
      <w:permEnd w:id="2"/>
      <w:r>
        <w:rPr>
          <w:rFonts w:hint="eastAsia" w:ascii="宋体" w:hAnsi="宋体"/>
          <w:sz w:val="18"/>
          <w:szCs w:val="18"/>
        </w:rPr>
        <w:t>)的形式购买兴银理财有限责任公司（以下简称“兴银理财”）作为产品管理人管理的理财产品。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请仔细阅读本《投资者权益须知》，行使您在本业务项下的权益。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</w:p>
    <w:p>
      <w:pPr>
        <w:ind w:firstLine="361" w:firstLineChars="200"/>
        <w:outlineLvl w:val="1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一、理财产品购买流程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ascii="宋体" w:hAnsi="宋体"/>
          <w:sz w:val="18"/>
          <w:szCs w:val="18"/>
        </w:rPr>
        <w:t>开立或持有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账户，该账户用于本产品的理财资金划转及</w:t>
      </w:r>
      <w:r>
        <w:rPr>
          <w:rFonts w:hint="eastAsia" w:ascii="宋体" w:hAnsi="宋体"/>
          <w:sz w:val="18"/>
          <w:szCs w:val="18"/>
        </w:rPr>
        <w:t>分配</w:t>
      </w:r>
      <w:r>
        <w:rPr>
          <w:rFonts w:ascii="宋体" w:hAnsi="宋体"/>
          <w:sz w:val="18"/>
          <w:szCs w:val="18"/>
        </w:rPr>
        <w:t>，您应确保持有本产品期间所指定账户不做销户。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</w:t>
      </w:r>
      <w:r>
        <w:rPr>
          <w:rFonts w:ascii="宋体" w:hAnsi="宋体"/>
          <w:sz w:val="18"/>
          <w:szCs w:val="18"/>
        </w:rPr>
        <w:t>接受并完成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对您的风险承受能力评估，并根据风险评估结果选择适合的产品。</w:t>
      </w:r>
      <w:r>
        <w:rPr>
          <w:rFonts w:hint="eastAsia" w:ascii="宋体" w:hAnsi="宋体"/>
          <w:sz w:val="18"/>
          <w:szCs w:val="18"/>
        </w:rPr>
        <w:t>若销售机构对您风险承受能力评估事宜另有安排的，以销售机构政策为准。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</w:t>
      </w:r>
      <w:r>
        <w:rPr>
          <w:rFonts w:ascii="宋体" w:hAnsi="宋体"/>
          <w:sz w:val="18"/>
          <w:szCs w:val="18"/>
        </w:rPr>
        <w:t>请仔细阅读《</w:t>
      </w:r>
      <w:r>
        <w:rPr>
          <w:rFonts w:hint="eastAsia" w:ascii="宋体" w:hAnsi="宋体"/>
          <w:sz w:val="18"/>
          <w:szCs w:val="18"/>
        </w:rPr>
        <w:t>投资</w:t>
      </w:r>
      <w:r>
        <w:rPr>
          <w:rFonts w:ascii="宋体" w:hAnsi="宋体"/>
          <w:sz w:val="18"/>
          <w:szCs w:val="18"/>
        </w:rPr>
        <w:t>协议书》《产品说明书》</w:t>
      </w:r>
      <w:r>
        <w:rPr>
          <w:rFonts w:hint="eastAsia" w:ascii="宋体" w:hAnsi="宋体"/>
          <w:sz w:val="18"/>
          <w:szCs w:val="18"/>
        </w:rPr>
        <w:t>《（代理）销售</w:t>
      </w:r>
      <w:r>
        <w:rPr>
          <w:rFonts w:ascii="宋体" w:hAnsi="宋体"/>
          <w:sz w:val="18"/>
          <w:szCs w:val="18"/>
        </w:rPr>
        <w:t>协议书</w:t>
      </w:r>
      <w:r>
        <w:rPr>
          <w:rFonts w:hint="eastAsia" w:ascii="宋体" w:hAnsi="宋体"/>
          <w:sz w:val="18"/>
          <w:szCs w:val="18"/>
        </w:rPr>
        <w:t>》</w:t>
      </w:r>
      <w:r>
        <w:rPr>
          <w:rFonts w:ascii="宋体" w:hAnsi="宋体"/>
          <w:sz w:val="18"/>
          <w:szCs w:val="18"/>
        </w:rPr>
        <w:t>《风险揭示书》《投资者权益须知》以及其他有关文件（如有），确认已同意相关内容、充分了解相关风险并无疑问和异议后，签署相关销售文件，并办理购买手续。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销售机构营业网点或电子银行（包括但不限于网上银行、电话银行和手机银行）均可办理理财产品的购买手续，具体以代销机构情况为准。若产品管理人根据产品风险等级和市场情况确定发售渠道的，代销机构将按产品管理人要求执行。</w:t>
      </w:r>
    </w:p>
    <w:p>
      <w:pPr>
        <w:ind w:firstLine="361" w:firstLineChars="200"/>
        <w:outlineLvl w:val="1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二、投资者风险承受能力与产品风险评级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（一）投资者风险承受能力评估说明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.您购买理财产品前，应确保已完成风险承受能力评估且风险评估结果在有效期内，理财销售管理系统会记录投资者身份信息及风险评估结果信息。该评估结果有效期一年，并将作为评价您是否适合购买理财产品的重要因素。您可以通过销售机构</w:t>
      </w:r>
      <w:r>
        <w:rPr>
          <w:rFonts w:ascii="宋体" w:hAnsi="宋体"/>
          <w:sz w:val="18"/>
          <w:szCs w:val="18"/>
        </w:rPr>
        <w:t>线下渠道</w:t>
      </w:r>
      <w:r>
        <w:rPr>
          <w:rFonts w:hint="eastAsia" w:ascii="宋体" w:hAnsi="宋体"/>
          <w:sz w:val="18"/>
          <w:szCs w:val="18"/>
        </w:rPr>
        <w:t>或</w:t>
      </w:r>
      <w:r>
        <w:rPr>
          <w:rFonts w:ascii="宋体" w:hAnsi="宋体"/>
          <w:sz w:val="18"/>
          <w:szCs w:val="18"/>
        </w:rPr>
        <w:t>线上渠道</w:t>
      </w:r>
      <w:r>
        <w:rPr>
          <w:rFonts w:hint="eastAsia" w:ascii="宋体" w:hAnsi="宋体"/>
          <w:sz w:val="18"/>
          <w:szCs w:val="18"/>
        </w:rPr>
        <w:t>进行风险承受能力持续评估。</w:t>
      </w:r>
      <w:r>
        <w:rPr>
          <w:rFonts w:hint="eastAsia" w:ascii="黑体" w:hAnsi="黑体" w:eastAsia="黑体"/>
          <w:bCs/>
          <w:sz w:val="18"/>
          <w:szCs w:val="18"/>
        </w:rPr>
        <w:t>如影响您风险承受能力的因素发生变化，请您及时重新完成风险承受能力评估。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>2.</w:t>
      </w:r>
      <w:r>
        <w:rPr>
          <w:rFonts w:hint="eastAsia" w:ascii="宋体" w:hAnsi="宋体"/>
          <w:b/>
          <w:sz w:val="18"/>
          <w:szCs w:val="18"/>
        </w:rPr>
        <w:t>投资者风险承受能力评级与理财产品风险评级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根据</w:t>
      </w:r>
      <w:r>
        <w:rPr>
          <w:rFonts w:hint="eastAsia" w:ascii="宋体" w:hAnsi="宋体"/>
          <w:sz w:val="18"/>
          <w:szCs w:val="18"/>
        </w:rPr>
        <w:t>投资者风险承受能力，个人投资者由低至高分为</w:t>
      </w:r>
      <w:permStart w:id="3" w:edGrp="everyone"/>
      <w:r>
        <w:rPr>
          <w:rFonts w:hint="eastAsia" w:ascii="宋体" w:hAnsi="宋体"/>
          <w:sz w:val="18"/>
          <w:szCs w:val="18"/>
        </w:rPr>
        <w:t>【C1至C</w:t>
      </w:r>
      <w:r>
        <w:rPr>
          <w:rFonts w:hint="eastAsia" w:ascii="宋体" w:hAnsi="宋体"/>
          <w:sz w:val="18"/>
          <w:szCs w:val="18"/>
          <w:lang w:val="en-US" w:eastAsia="zh-CN"/>
        </w:rPr>
        <w:t>5五</w:t>
      </w:r>
      <w:r>
        <w:rPr>
          <w:rFonts w:hint="eastAsia" w:ascii="宋体" w:hAnsi="宋体"/>
          <w:sz w:val="18"/>
          <w:szCs w:val="18"/>
        </w:rPr>
        <w:t>个等级】</w:t>
      </w:r>
      <w:permEnd w:id="3"/>
      <w:r>
        <w:rPr>
          <w:rFonts w:ascii="宋体" w:hAnsi="宋体"/>
          <w:sz w:val="18"/>
          <w:szCs w:val="18"/>
        </w:rPr>
        <w:t>。其中，</w:t>
      </w:r>
      <w:permStart w:id="4" w:edGrp="everyone"/>
      <w:r>
        <w:rPr>
          <w:rFonts w:hint="eastAsia" w:ascii="宋体" w:hAnsi="宋体"/>
          <w:sz w:val="18"/>
          <w:szCs w:val="18"/>
        </w:rPr>
        <w:t>【</w:t>
      </w:r>
      <w:r>
        <w:rPr>
          <w:rFonts w:ascii="宋体" w:hAnsi="宋体"/>
          <w:sz w:val="18"/>
          <w:szCs w:val="18"/>
        </w:rPr>
        <w:t>C1</w:t>
      </w:r>
      <w:r>
        <w:rPr>
          <w:rFonts w:hint="eastAsia" w:ascii="宋体" w:hAnsi="宋体"/>
          <w:sz w:val="18"/>
          <w:szCs w:val="18"/>
        </w:rPr>
        <w:t>】</w:t>
      </w:r>
      <w:permEnd w:id="4"/>
      <w:r>
        <w:rPr>
          <w:rFonts w:ascii="宋体" w:hAnsi="宋体"/>
          <w:sz w:val="18"/>
          <w:szCs w:val="18"/>
        </w:rPr>
        <w:t>为风险承受能力最低类别，</w:t>
      </w:r>
      <w:permStart w:id="5" w:edGrp="everyone"/>
      <w:r>
        <w:rPr>
          <w:rFonts w:hint="eastAsia" w:ascii="宋体" w:hAnsi="宋体"/>
          <w:sz w:val="18"/>
          <w:szCs w:val="18"/>
        </w:rPr>
        <w:t>【</w:t>
      </w:r>
      <w:r>
        <w:rPr>
          <w:rFonts w:ascii="宋体" w:hAnsi="宋体"/>
          <w:sz w:val="18"/>
          <w:szCs w:val="18"/>
        </w:rPr>
        <w:t>C</w:t>
      </w:r>
      <w:r>
        <w:rPr>
          <w:rFonts w:hint="eastAsia" w:ascii="宋体" w:hAnsi="宋体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sz w:val="18"/>
          <w:szCs w:val="18"/>
        </w:rPr>
        <w:t>】</w:t>
      </w:r>
      <w:permEnd w:id="5"/>
      <w:r>
        <w:rPr>
          <w:rFonts w:ascii="宋体" w:hAnsi="宋体"/>
          <w:sz w:val="18"/>
          <w:szCs w:val="18"/>
        </w:rPr>
        <w:t>为风险承受能力最高类别。</w:t>
      </w:r>
      <w:r>
        <w:rPr>
          <w:rFonts w:hint="eastAsia" w:ascii="宋体" w:hAnsi="宋体"/>
          <w:sz w:val="18"/>
          <w:szCs w:val="18"/>
        </w:rPr>
        <w:t>投资者根据其风险承受能力评级购买对应的理财产品。</w:t>
      </w:r>
      <w:r>
        <w:rPr>
          <w:rFonts w:ascii="宋体" w:hAnsi="宋体"/>
          <w:sz w:val="18"/>
          <w:szCs w:val="18"/>
        </w:rPr>
        <w:t>投资者风险承受能力评级类型与适合购买的理财产品的对应关系为：</w:t>
      </w:r>
    </w:p>
    <w:tbl>
      <w:tblPr>
        <w:tblStyle w:val="4"/>
        <w:tblW w:w="84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4860"/>
        <w:gridCol w:w="28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617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理财产品风险评级及风险评级说明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对应的投资者风险承受能力评级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permStart w:id="6" w:edGrp="everyone"/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安逸型（R1）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本金风险低，产品投资目标不能实现的概率较低；或投资范围仅限于货币市场工具等风险极低的短期金融资产。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安逸型（C1）及以上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谨慎型（R2）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本金风险相对较小，收益浮动但相对较小。产品结构简单，过往业绩及净值的历史波动率低；投资标的流动性很好或为较高等级的信用主体；或者衍生品及杠杆交易对净值波动极小；估值政策清晰。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谨慎型（C2）及以上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稳健型（R3）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品有一定的本金风险，收益浮动且有一定波动。产品结构简单，过往业绩及净值的历史波动率较低；投资标的流动性好或为中等及以上的信用主体；或者投资衍生品以套期保值为目的，衍生品及杠杆交易对净值波动较小；估值政策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稳健型（C3）及以上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增长型（R4）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品本金风险较大。产品主要投资于流动性较好的投资标的，产品结构简单，但收益浮动且波动很大，过往业绩及净值的历史波动率较高；或者投资标的流动性较差或为中等以下的信用主体，但产品结构简单，且不投资于衍生品及杠杆交易；估值政策简单；或者投资衍生品以套期保值为目的，衍生品及杠杆交易对净值波动较大，估值政策较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增长型（C4）及以上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进取型（R5）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品本金风险很大，收益浮动且波动很大。产品结构较复杂，过往业绩及净值的历史波动率高；或者投资标的流动性较差或为低等级的信用主体，期限较长；或者投资衍生品以追求收益为目的，衍生品及杠杆交易对净值波动很大；估值政策较复杂。投资者要作出谨慎的产品选择，积极的关注相关风险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进取型（C5）及以上</w:t>
            </w:r>
          </w:p>
        </w:tc>
      </w:tr>
      <w:permEnd w:id="6"/>
    </w:tbl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 w:cs="仿宋_GB2312"/>
          <w:bCs/>
          <w:kern w:val="0"/>
          <w:sz w:val="18"/>
          <w:szCs w:val="18"/>
        </w:rPr>
        <w:t>★</w:t>
      </w:r>
      <w:r>
        <w:rPr>
          <w:rFonts w:hint="eastAsia" w:ascii="黑体" w:hAnsi="黑体" w:eastAsia="黑体"/>
          <w:sz w:val="18"/>
          <w:szCs w:val="18"/>
        </w:rPr>
        <w:t>（二）针对“理财产品风险评级”、 “投资者风险承受能力”、“适合投资者类型”的不同划分与表述的特别提示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1</w:t>
      </w:r>
      <w:r>
        <w:rPr>
          <w:rFonts w:ascii="黑体" w:hAnsi="黑体" w:eastAsia="黑体"/>
          <w:sz w:val="18"/>
          <w:szCs w:val="18"/>
        </w:rPr>
        <w:t>.</w:t>
      </w:r>
      <w:r>
        <w:rPr>
          <w:rFonts w:hint="eastAsia" w:ascii="黑体" w:hAnsi="黑体" w:eastAsia="黑体"/>
          <w:sz w:val="18"/>
          <w:szCs w:val="18"/>
        </w:rPr>
        <w:t>销售机构在销售本产品时，其对“理财产品风险评级”、“投资者风险承受能力”、“适合投资者类型”等级的划分与表述可能与产品管理人存在差异，即采用销售机构设置的标准。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ascii="黑体" w:hAnsi="黑体" w:eastAsia="黑体"/>
          <w:sz w:val="18"/>
          <w:szCs w:val="18"/>
        </w:rPr>
        <w:t>2.</w:t>
      </w:r>
      <w:r>
        <w:rPr>
          <w:rFonts w:hint="eastAsia" w:ascii="黑体" w:hAnsi="黑体" w:eastAsia="黑体"/>
          <w:sz w:val="18"/>
          <w:szCs w:val="18"/>
        </w:rPr>
        <w:t>销售机构应以书面的方式向投资者明示其对“理财产品风险评级”、“投资者风险承受能力等级”的划分与“适合投资者类型”的表述。</w:t>
      </w:r>
    </w:p>
    <w:p>
      <w:pPr>
        <w:ind w:firstLine="361" w:firstLineChars="200"/>
        <w:outlineLvl w:val="1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三、关于理财产品的信息披露</w:t>
      </w:r>
    </w:p>
    <w:p>
      <w:pPr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理财产品的信息披露将通过产品管理人或销售机构的门户网站、电子销售渠道或营业网点等进行。</w:t>
      </w:r>
      <w:r>
        <w:rPr>
          <w:rFonts w:asciiTheme="minorEastAsia" w:hAnsiTheme="minorEastAsia"/>
          <w:sz w:val="18"/>
          <w:szCs w:val="18"/>
        </w:rPr>
        <w:t>具体</w:t>
      </w:r>
      <w:r>
        <w:rPr>
          <w:rFonts w:hint="eastAsia" w:asciiTheme="minorEastAsia" w:hAnsiTheme="minorEastAsia"/>
          <w:sz w:val="18"/>
          <w:szCs w:val="18"/>
        </w:rPr>
        <w:t>信息披露的方式、渠道和频率等</w:t>
      </w:r>
      <w:r>
        <w:rPr>
          <w:rFonts w:asciiTheme="minorEastAsia" w:hAnsiTheme="minorEastAsia"/>
          <w:sz w:val="18"/>
          <w:szCs w:val="18"/>
        </w:rPr>
        <w:t>以《产品说明书》中“信息披露</w:t>
      </w:r>
      <w:r>
        <w:rPr>
          <w:rFonts w:hint="eastAsia" w:asciiTheme="minorEastAsia" w:hAnsiTheme="minorEastAsia"/>
          <w:sz w:val="18"/>
          <w:szCs w:val="18"/>
        </w:rPr>
        <w:t>”约定为准。</w:t>
      </w:r>
    </w:p>
    <w:p>
      <w:pPr>
        <w:ind w:firstLine="361" w:firstLineChars="200"/>
        <w:outlineLvl w:val="1"/>
        <w:rPr>
          <w:rFonts w:asciiTheme="minorEastAsia" w:hAnsiTheme="minorEastAsia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四、关于投诉与建议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hint="eastAsia" w:asciiTheme="minorEastAsia" w:hAnsiTheme="minorEastAsia"/>
          <w:sz w:val="18"/>
          <w:szCs w:val="18"/>
        </w:rPr>
        <w:t>您对本产品有任何意见或异议，可向产品管理人或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hint="eastAsia" w:asciiTheme="minorEastAsia" w:hAnsiTheme="minorEastAsia"/>
          <w:sz w:val="18"/>
          <w:szCs w:val="18"/>
        </w:rPr>
        <w:t>反馈</w:t>
      </w:r>
      <w:r>
        <w:rPr>
          <w:rFonts w:hint="eastAsia" w:ascii="宋体" w:hAnsi="宋体"/>
          <w:sz w:val="18"/>
          <w:szCs w:val="18"/>
        </w:rPr>
        <w:t>，产品管理人或销售机构将由专人接听、记录您的意见或建议，并由各方协商共同解决。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（二）联络方式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ind w:firstLine="360" w:firstLineChars="200"/>
        <w:outlineLvl w:val="2"/>
        <w:rPr>
          <w:rFonts w:ascii="宋体" w:hAnsi="宋体"/>
          <w:sz w:val="18"/>
          <w:szCs w:val="18"/>
        </w:rPr>
      </w:pPr>
      <w:bookmarkStart w:id="0" w:name="_Hlk64707831"/>
      <w:r>
        <w:rPr>
          <w:rFonts w:hint="eastAsia" w:ascii="宋体" w:hAnsi="宋体"/>
          <w:sz w:val="18"/>
          <w:szCs w:val="18"/>
        </w:rPr>
        <w:t>1.产品管理人：兴银理财有限责任公司</w:t>
      </w:r>
    </w:p>
    <w:bookmarkEnd w:id="0"/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客户服务热线：40015-95561。</w:t>
      </w:r>
    </w:p>
    <w:p>
      <w:pPr>
        <w:ind w:firstLine="360" w:firstLineChars="200"/>
        <w:outlineLvl w:val="2"/>
        <w:rPr>
          <w:rFonts w:ascii="宋体" w:hAnsi="宋体"/>
          <w:sz w:val="18"/>
          <w:szCs w:val="18"/>
        </w:rPr>
      </w:pPr>
      <w:permStart w:id="7" w:edGrp="everyone"/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.销售机构：【】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【】</w:t>
      </w:r>
    </w:p>
    <w:permEnd w:id="7"/>
    <w:p>
      <w:pPr>
        <w:autoSpaceDE w:val="0"/>
        <w:autoSpaceDN w:val="0"/>
        <w:adjustRightInd w:val="0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</w:p>
    <w:p>
      <w:pPr>
        <w:adjustRightInd w:val="0"/>
        <w:spacing w:line="280" w:lineRule="atLeast"/>
        <w:jc w:val="center"/>
        <w:outlineLvl w:val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兴银理财</w:t>
      </w:r>
      <w:permStart w:id="8" w:edGrp="everyone"/>
      <w:r>
        <w:rPr>
          <w:rStyle w:val="6"/>
          <w:rFonts w:hint="eastAsia" w:ascii="黑体" w:hAnsi="黑体" w:eastAsia="黑体"/>
          <w:sz w:val="28"/>
          <w:szCs w:val="28"/>
        </w:rPr>
        <w:t>【稳添利日盈日开固收类】</w:t>
      </w:r>
      <w:permEnd w:id="8"/>
      <w:r>
        <w:rPr>
          <w:rStyle w:val="6"/>
          <w:rFonts w:hint="eastAsia" w:ascii="黑体" w:hAnsi="黑体" w:eastAsia="黑体"/>
          <w:sz w:val="28"/>
          <w:szCs w:val="28"/>
        </w:rPr>
        <w:t>理财产品</w:t>
      </w:r>
    </w:p>
    <w:p>
      <w:pPr>
        <w:adjustRightInd w:val="0"/>
        <w:spacing w:line="280" w:lineRule="atLeast"/>
        <w:jc w:val="center"/>
        <w:outlineLvl w:val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投资者权益须知</w:t>
      </w:r>
    </w:p>
    <w:p>
      <w:pPr>
        <w:pStyle w:val="9"/>
        <w:spacing w:line="280" w:lineRule="atLeast"/>
        <w:jc w:val="center"/>
        <w:outlineLvl w:val="0"/>
        <w:rPr>
          <w:rFonts w:hAnsi="宋体"/>
          <w:b/>
          <w:color w:val="auto"/>
          <w:sz w:val="28"/>
          <w:szCs w:val="28"/>
        </w:rPr>
      </w:pPr>
      <w:r>
        <w:rPr>
          <w:rFonts w:hint="eastAsia" w:hAnsi="宋体"/>
          <w:b/>
          <w:color w:val="auto"/>
          <w:sz w:val="28"/>
          <w:szCs w:val="28"/>
        </w:rPr>
        <w:t>（适用于</w:t>
      </w:r>
      <w:permStart w:id="9" w:edGrp="everyone"/>
      <w:r>
        <w:rPr>
          <w:rFonts w:hint="eastAsia" w:hAnsi="宋体"/>
          <w:b/>
          <w:color w:val="auto"/>
          <w:sz w:val="28"/>
          <w:szCs w:val="28"/>
        </w:rPr>
        <w:t>机构投资者</w:t>
      </w:r>
      <w:permEnd w:id="9"/>
      <w:r>
        <w:rPr>
          <w:rFonts w:hint="eastAsia" w:hAnsi="宋体"/>
          <w:b/>
          <w:color w:val="auto"/>
          <w:sz w:val="28"/>
          <w:szCs w:val="28"/>
        </w:rPr>
        <w:t>）</w:t>
      </w:r>
    </w:p>
    <w:p>
      <w:pPr>
        <w:spacing w:line="280" w:lineRule="atLeast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尊敬的投资者：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感谢您通过销售机构</w:t>
      </w:r>
      <w:permStart w:id="10" w:edGrp="everyone"/>
      <w:r>
        <w:rPr>
          <w:rFonts w:hint="eastAsia" w:ascii="宋体" w:hAnsi="宋体"/>
          <w:sz w:val="18"/>
          <w:szCs w:val="18"/>
        </w:rPr>
        <w:t>【】</w:t>
      </w:r>
      <w:permEnd w:id="10"/>
      <w:r>
        <w:rPr>
          <w:rFonts w:hint="eastAsia" w:ascii="宋体" w:hAnsi="宋体"/>
          <w:sz w:val="18"/>
          <w:szCs w:val="18"/>
        </w:rPr>
        <w:t>以(</w:t>
      </w:r>
      <w:permStart w:id="11" w:edGrp="everyone"/>
      <w:r>
        <w:rPr>
          <w:rFonts w:hint="eastAsia" w:ascii="宋体" w:hAnsi="宋体"/>
          <w:sz w:val="18"/>
          <w:szCs w:val="18"/>
        </w:rPr>
        <w:t>□ 直销：产品管理人销售/□ 代销：代理销售机构销售</w:t>
      </w:r>
      <w:permEnd w:id="11"/>
      <w:r>
        <w:rPr>
          <w:rFonts w:hint="eastAsia" w:ascii="宋体" w:hAnsi="宋体"/>
          <w:sz w:val="18"/>
          <w:szCs w:val="18"/>
        </w:rPr>
        <w:t>)的形式购买兴银理财有限责任公司（以下简称“兴银理财”）作为产品管理人管理的理财产品。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请仔细阅读本《投资者权益须知》，行使您在本业务项下的权益。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</w:p>
    <w:p>
      <w:pPr>
        <w:spacing w:line="280" w:lineRule="atLeast"/>
        <w:ind w:firstLine="361" w:firstLineChars="200"/>
        <w:outlineLvl w:val="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一、理财产品购买流程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ascii="宋体" w:hAnsi="宋体"/>
          <w:sz w:val="18"/>
          <w:szCs w:val="18"/>
        </w:rPr>
        <w:t>开立或持有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账户，该账户用于本产品的理财资金划转及</w:t>
      </w:r>
      <w:r>
        <w:rPr>
          <w:rFonts w:hint="eastAsia" w:ascii="宋体" w:hAnsi="宋体"/>
          <w:sz w:val="18"/>
          <w:szCs w:val="18"/>
        </w:rPr>
        <w:t>分配</w:t>
      </w:r>
      <w:r>
        <w:rPr>
          <w:rFonts w:ascii="宋体" w:hAnsi="宋体"/>
          <w:sz w:val="18"/>
          <w:szCs w:val="18"/>
        </w:rPr>
        <w:t>，您应确保持有本产品期间所指定账户不做销户。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</w:t>
      </w:r>
      <w:r>
        <w:rPr>
          <w:rFonts w:ascii="宋体" w:hAnsi="宋体"/>
          <w:sz w:val="18"/>
          <w:szCs w:val="18"/>
        </w:rPr>
        <w:t>接受并完成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对您的风险承受能力评估，并根据风险评估结果选择适合的产品。</w:t>
      </w:r>
      <w:r>
        <w:rPr>
          <w:rFonts w:hint="eastAsia" w:ascii="宋体" w:hAnsi="宋体"/>
          <w:sz w:val="18"/>
          <w:szCs w:val="18"/>
        </w:rPr>
        <w:t>若销售机构对您风险承受能力评估事宜另有安排的，以销售机构政策为准。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</w:t>
      </w:r>
      <w:r>
        <w:rPr>
          <w:rFonts w:ascii="宋体" w:hAnsi="宋体"/>
          <w:sz w:val="18"/>
          <w:szCs w:val="18"/>
        </w:rPr>
        <w:t>请仔细阅读《</w:t>
      </w:r>
      <w:r>
        <w:rPr>
          <w:rFonts w:hint="eastAsia" w:ascii="宋体" w:hAnsi="宋体"/>
          <w:sz w:val="18"/>
          <w:szCs w:val="18"/>
        </w:rPr>
        <w:t>投资</w:t>
      </w:r>
      <w:r>
        <w:rPr>
          <w:rFonts w:ascii="宋体" w:hAnsi="宋体"/>
          <w:sz w:val="18"/>
          <w:szCs w:val="18"/>
        </w:rPr>
        <w:t>协议书》《产品说明书》</w:t>
      </w:r>
      <w:r>
        <w:rPr>
          <w:rFonts w:hint="eastAsia" w:ascii="宋体" w:hAnsi="宋体"/>
          <w:sz w:val="18"/>
          <w:szCs w:val="18"/>
        </w:rPr>
        <w:t>《（代理）销售</w:t>
      </w:r>
      <w:r>
        <w:rPr>
          <w:rFonts w:ascii="宋体" w:hAnsi="宋体"/>
          <w:sz w:val="18"/>
          <w:szCs w:val="18"/>
        </w:rPr>
        <w:t>协议书</w:t>
      </w:r>
      <w:r>
        <w:rPr>
          <w:rFonts w:hint="eastAsia" w:ascii="宋体" w:hAnsi="宋体"/>
          <w:sz w:val="18"/>
          <w:szCs w:val="18"/>
        </w:rPr>
        <w:t>》</w:t>
      </w:r>
      <w:r>
        <w:rPr>
          <w:rFonts w:ascii="宋体" w:hAnsi="宋体"/>
          <w:sz w:val="18"/>
          <w:szCs w:val="18"/>
        </w:rPr>
        <w:t>《风险揭示书》《投资者权益须知》以及其他有关文件（如有），确认已同意相关内容、充分了解相关风险并无疑问和异议后，签署相关销售文件，并办理购买手续。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销售机构营业网点或电子银行（包括但不限于网上银行、电话银行和手机银行）均可办理理财产品的购买手续，具体以代销机构情况为准。若产品管理人根据产品风险等级和市场情况确定发售渠道的，代销机构将按产品管理人要求执行。</w:t>
      </w:r>
    </w:p>
    <w:p>
      <w:pPr>
        <w:spacing w:line="280" w:lineRule="atLeast"/>
        <w:ind w:firstLine="361" w:firstLineChars="200"/>
        <w:outlineLvl w:val="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二、投资者风险承受能力与产品风险评级</w:t>
      </w: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（一）投资者风险承受能力评估说明</w:t>
      </w:r>
    </w:p>
    <w:p>
      <w:pPr>
        <w:spacing w:line="280" w:lineRule="atLeast"/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您购买理财产品前，应确保已完成风险承受能力评估且风险评估结果在有效期内。理财销售管理系统会记录投资者身份信息及风险评估结果信息。该评估结果有效期一年，并将作为评价您是否适合购买理财产品的重要因素。您可以通过销售机构</w:t>
      </w:r>
      <w:r>
        <w:rPr>
          <w:rFonts w:ascii="宋体" w:hAnsi="宋体"/>
          <w:sz w:val="18"/>
          <w:szCs w:val="18"/>
        </w:rPr>
        <w:t>线下渠道</w:t>
      </w:r>
      <w:r>
        <w:rPr>
          <w:rFonts w:hint="eastAsia" w:ascii="宋体" w:hAnsi="宋体"/>
          <w:sz w:val="18"/>
          <w:szCs w:val="18"/>
        </w:rPr>
        <w:t>或</w:t>
      </w:r>
      <w:r>
        <w:rPr>
          <w:rFonts w:ascii="宋体" w:hAnsi="宋体"/>
          <w:sz w:val="18"/>
          <w:szCs w:val="18"/>
        </w:rPr>
        <w:t>线上渠道</w:t>
      </w:r>
      <w:r>
        <w:rPr>
          <w:rFonts w:hint="eastAsia" w:ascii="宋体" w:hAnsi="宋体"/>
          <w:sz w:val="18"/>
          <w:szCs w:val="18"/>
        </w:rPr>
        <w:t>进行风险承受能力持续评估。</w:t>
      </w:r>
      <w:r>
        <w:rPr>
          <w:rFonts w:hint="eastAsia" w:ascii="黑体" w:hAnsi="黑体" w:eastAsia="黑体"/>
          <w:bCs/>
          <w:sz w:val="18"/>
          <w:szCs w:val="18"/>
        </w:rPr>
        <w:t>如影响您风险承受能力的因素发生变化，请您及时重新完成风险承受能力评估。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>2</w:t>
      </w:r>
      <w:r>
        <w:rPr>
          <w:rFonts w:hint="eastAsia" w:ascii="宋体" w:hAnsi="宋体"/>
          <w:b/>
          <w:sz w:val="18"/>
          <w:szCs w:val="18"/>
        </w:rPr>
        <w:t>.投资者风险承受能力评级与理财产品风险评级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根据</w:t>
      </w:r>
      <w:r>
        <w:rPr>
          <w:rFonts w:hint="eastAsia" w:ascii="宋体" w:hAnsi="宋体"/>
          <w:sz w:val="18"/>
          <w:szCs w:val="18"/>
        </w:rPr>
        <w:t>投资者风险承受能力，机构投资者由低至高分为</w:t>
      </w:r>
      <w:permStart w:id="12" w:edGrp="everyone"/>
      <w:r>
        <w:rPr>
          <w:rFonts w:hint="eastAsia" w:ascii="宋体" w:hAnsi="宋体"/>
          <w:sz w:val="18"/>
          <w:szCs w:val="18"/>
        </w:rPr>
        <w:t>【】</w:t>
      </w:r>
      <w:permEnd w:id="12"/>
      <w:r>
        <w:rPr>
          <w:rFonts w:ascii="宋体" w:hAnsi="宋体"/>
          <w:sz w:val="18"/>
          <w:szCs w:val="18"/>
        </w:rPr>
        <w:t>。其中，</w:t>
      </w:r>
      <w:permStart w:id="13" w:edGrp="everyone"/>
      <w:r>
        <w:rPr>
          <w:rFonts w:hint="eastAsia" w:ascii="宋体" w:hAnsi="宋体"/>
          <w:sz w:val="18"/>
          <w:szCs w:val="18"/>
        </w:rPr>
        <w:t>【】</w:t>
      </w:r>
      <w:permEnd w:id="13"/>
      <w:r>
        <w:rPr>
          <w:rFonts w:ascii="宋体" w:hAnsi="宋体"/>
          <w:sz w:val="18"/>
          <w:szCs w:val="18"/>
        </w:rPr>
        <w:t>为风险承受能力最低类别，</w:t>
      </w:r>
      <w:permStart w:id="14" w:edGrp="everyone"/>
      <w:r>
        <w:rPr>
          <w:rFonts w:hint="eastAsia" w:ascii="宋体" w:hAnsi="宋体"/>
          <w:sz w:val="18"/>
          <w:szCs w:val="18"/>
        </w:rPr>
        <w:t>【】</w:t>
      </w:r>
      <w:permEnd w:id="14"/>
      <w:r>
        <w:rPr>
          <w:rFonts w:ascii="宋体" w:hAnsi="宋体"/>
          <w:sz w:val="18"/>
          <w:szCs w:val="18"/>
        </w:rPr>
        <w:t>为风险承受能力最高类别。</w:t>
      </w:r>
      <w:r>
        <w:rPr>
          <w:rFonts w:hint="eastAsia" w:ascii="宋体" w:hAnsi="宋体"/>
          <w:sz w:val="18"/>
          <w:szCs w:val="18"/>
        </w:rPr>
        <w:t>投资者根据其风险承受能力评级购买对应的理财产品。</w:t>
      </w:r>
      <w:r>
        <w:rPr>
          <w:rFonts w:ascii="宋体" w:hAnsi="宋体"/>
          <w:sz w:val="18"/>
          <w:szCs w:val="18"/>
        </w:rPr>
        <w:t>投资者风险承受能力评级类型与适合购买的理财产品的对应关系为：</w:t>
      </w:r>
    </w:p>
    <w:tbl>
      <w:tblPr>
        <w:tblStyle w:val="4"/>
        <w:tblW w:w="84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4840"/>
        <w:gridCol w:w="28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617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理财产品风险评级及风险评级说明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对应的投资者风险承受能力评级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permStart w:id="15" w:edGrp="everyone"/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</w:tc>
      </w:tr>
      <w:permEnd w:id="15"/>
    </w:tbl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 w:cs="仿宋_GB2312"/>
          <w:bCs/>
          <w:kern w:val="0"/>
          <w:sz w:val="18"/>
          <w:szCs w:val="18"/>
        </w:rPr>
        <w:t>★</w:t>
      </w:r>
      <w:r>
        <w:rPr>
          <w:rFonts w:hint="eastAsia" w:ascii="黑体" w:hAnsi="黑体" w:eastAsia="黑体"/>
          <w:sz w:val="18"/>
          <w:szCs w:val="18"/>
        </w:rPr>
        <w:t>（二）针对“理财产品风险评级”、 “投资者风险承受能力”、“适合投资者类型”的不同划分与表述的特别提示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1</w:t>
      </w:r>
      <w:r>
        <w:rPr>
          <w:rFonts w:ascii="黑体" w:hAnsi="黑体" w:eastAsia="黑体"/>
          <w:sz w:val="18"/>
          <w:szCs w:val="18"/>
        </w:rPr>
        <w:t>.</w:t>
      </w:r>
      <w:r>
        <w:rPr>
          <w:rFonts w:hint="eastAsia" w:ascii="黑体" w:hAnsi="黑体" w:eastAsia="黑体"/>
          <w:sz w:val="18"/>
          <w:szCs w:val="18"/>
        </w:rPr>
        <w:t>销售机构在销售本产品时，其对“理财产品风险评级”、“投资者风险承受能力”、“适合投资者类型”等级的划分与表述可能与产品管理人存在差异，即采用销售机构设置的标准。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ascii="黑体" w:hAnsi="黑体" w:eastAsia="黑体"/>
          <w:sz w:val="18"/>
          <w:szCs w:val="18"/>
        </w:rPr>
        <w:t>2.</w:t>
      </w:r>
      <w:r>
        <w:rPr>
          <w:rFonts w:hint="eastAsia" w:ascii="黑体" w:hAnsi="黑体" w:eastAsia="黑体"/>
          <w:sz w:val="18"/>
          <w:szCs w:val="18"/>
        </w:rPr>
        <w:t>销售机构应以书面的方式向投资者明示其对“理财产品风险评级”、“投资者风险承受能力等级”的划分与“适合投资者类型”的表述。</w:t>
      </w:r>
    </w:p>
    <w:p>
      <w:pPr>
        <w:spacing w:line="280" w:lineRule="atLeast"/>
        <w:ind w:firstLine="361" w:firstLineChars="200"/>
        <w:outlineLvl w:val="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三、关于理财产品的信息披露</w:t>
      </w:r>
    </w:p>
    <w:p>
      <w:pPr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理财产品的信息披露将通过产品管理人或销售机构的门户网站、电子销售渠道或营业网点等进行。</w:t>
      </w:r>
      <w:r>
        <w:rPr>
          <w:rFonts w:asciiTheme="minorEastAsia" w:hAnsiTheme="minorEastAsia"/>
          <w:sz w:val="18"/>
          <w:szCs w:val="18"/>
        </w:rPr>
        <w:t>具体</w:t>
      </w:r>
      <w:r>
        <w:rPr>
          <w:rFonts w:hint="eastAsia" w:asciiTheme="minorEastAsia" w:hAnsiTheme="minorEastAsia"/>
          <w:sz w:val="18"/>
          <w:szCs w:val="18"/>
        </w:rPr>
        <w:t>信息披露的方式、渠道和频率等</w:t>
      </w:r>
      <w:r>
        <w:rPr>
          <w:rFonts w:asciiTheme="minorEastAsia" w:hAnsiTheme="minorEastAsia"/>
          <w:sz w:val="18"/>
          <w:szCs w:val="18"/>
        </w:rPr>
        <w:t>以《产品说明书》中“信息披露</w:t>
      </w:r>
      <w:r>
        <w:rPr>
          <w:rFonts w:hint="eastAsia" w:asciiTheme="minorEastAsia" w:hAnsiTheme="minorEastAsia"/>
          <w:sz w:val="18"/>
          <w:szCs w:val="18"/>
        </w:rPr>
        <w:t>”约定为准。</w:t>
      </w:r>
    </w:p>
    <w:p>
      <w:pPr>
        <w:spacing w:line="280" w:lineRule="atLeast"/>
        <w:ind w:firstLine="361" w:firstLineChars="200"/>
        <w:outlineLvl w:val="0"/>
        <w:rPr>
          <w:rFonts w:asciiTheme="minorEastAsia" w:hAnsiTheme="minorEastAsia"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四、关于投诉与建议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hint="eastAsia" w:asciiTheme="minorEastAsia" w:hAnsiTheme="minorEastAsia"/>
          <w:sz w:val="18"/>
          <w:szCs w:val="18"/>
        </w:rPr>
        <w:t>您对本产品有任何意见或异议，可向产品管理人或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hint="eastAsia" w:asciiTheme="minorEastAsia" w:hAnsiTheme="minorEastAsia"/>
          <w:sz w:val="18"/>
          <w:szCs w:val="18"/>
        </w:rPr>
        <w:t>反馈</w:t>
      </w:r>
      <w:r>
        <w:rPr>
          <w:rFonts w:hint="eastAsia" w:ascii="宋体" w:hAnsi="宋体"/>
          <w:sz w:val="18"/>
          <w:szCs w:val="18"/>
        </w:rPr>
        <w:t>，产品管理人或销售机构将由专人接听、记录您的意见或建议，并由各方协商共同解决。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（二）联络方式：</w:t>
      </w:r>
    </w:p>
    <w:p>
      <w:pPr>
        <w:ind w:firstLine="360" w:firstLineChars="200"/>
        <w:outlineLvl w:val="1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1.产品管理人：兴银理财有限责任公司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客户服务热线：40015-95561。</w:t>
      </w:r>
    </w:p>
    <w:p>
      <w:pPr>
        <w:ind w:firstLine="360" w:firstLineChars="200"/>
        <w:outlineLvl w:val="1"/>
        <w:rPr>
          <w:rFonts w:ascii="宋体" w:hAnsi="宋体"/>
          <w:sz w:val="18"/>
          <w:szCs w:val="18"/>
        </w:rPr>
      </w:pPr>
      <w:permStart w:id="16" w:edGrp="everyone"/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>.销售机构：【 】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【】</w:t>
      </w:r>
    </w:p>
    <w:permEnd w:id="16"/>
    <w:p>
      <w:pPr>
        <w:autoSpaceDE w:val="0"/>
        <w:autoSpaceDN w:val="0"/>
        <w:adjustRightInd w:val="0"/>
        <w:spacing w:line="280" w:lineRule="atLeast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widowControl/>
        <w:spacing w:line="280" w:lineRule="atLeast"/>
        <w:jc w:val="left"/>
      </w:pPr>
    </w:p>
    <w:p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567" w:footer="96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320252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Times New Roman" w:hAnsi="Times New Roman" w:eastAsia="宋体" w:cs="Times New Roman"/>
        <w:b/>
        <w:szCs w:val="20"/>
      </w:rPr>
    </w:pPr>
    <w:r>
      <w:rPr>
        <w:rFonts w:hint="eastAsia" w:ascii="Times New Roman" w:hAnsi="Times New Roman" w:eastAsia="宋体" w:cs="Times New Roman"/>
        <w:b/>
        <w:szCs w:val="20"/>
      </w:rPr>
      <w:t>投资者权益须知</w:t>
    </w:r>
  </w:p>
  <w:p>
    <w:pPr>
      <w:pStyle w:val="3"/>
      <w:jc w:val="right"/>
      <w:rPr>
        <w:rFonts w:ascii="Times New Roman" w:hAnsi="Times New Roman" w:eastAsia="宋体" w:cs="Times New Roman"/>
        <w:b/>
        <w:szCs w:val="20"/>
      </w:rPr>
    </w:pPr>
    <w:r>
      <w:rPr>
        <w:rFonts w:hint="eastAsia" w:ascii="Times New Roman" w:hAnsi="Times New Roman" w:eastAsia="宋体" w:cs="Times New Roman"/>
        <w:b/>
        <w:szCs w:val="20"/>
      </w:rPr>
      <w:t>注：本文件由兴银理财有限责任公司统一编制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dit="readOnly" w:enforcement="1" w:cryptProviderType="rsaAES" w:cryptAlgorithmClass="hash" w:cryptAlgorithmType="typeAny" w:cryptAlgorithmSid="14" w:cryptSpinCount="100000" w:hash="3lTXpawx85HUa5IViZ6M1BqRN7BSyIBBPQEqRtVWiSK0LnptoIW/A8d2ztSz9tFYyrPhEeTpzmkkqCKEgASkcQ==" w:salt="ihFY/Xd5hTr24Ip5FrERt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09"/>
    <w:rsid w:val="003D2920"/>
    <w:rsid w:val="00491E7C"/>
    <w:rsid w:val="00C16209"/>
    <w:rsid w:val="00CF737F"/>
    <w:rsid w:val="00DE450C"/>
    <w:rsid w:val="174D31F2"/>
    <w:rsid w:val="724E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4</Pages>
  <Words>429</Words>
  <Characters>2448</Characters>
  <Lines>20</Lines>
  <Paragraphs>5</Paragraphs>
  <TotalTime>0</TotalTime>
  <ScaleCrop>false</ScaleCrop>
  <LinksUpToDate>false</LinksUpToDate>
  <CharactersWithSpaces>2872</CharactersWithSpaces>
  <Application>WPS Office_11.8.2.10164_F1E327BC-269C-435d-A152-05C5408002CA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2025-01-24T12:01:00Z</dcterms:created>
  <dc:creator>兴银理财法务002</dc:creator>
  <cp:lastModifiedBy>cib</cp:lastModifiedBy>
  <dcterms:modified xsi:type="dcterms:W3CDTF">2026-08-13T01:09:44Z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2052-11.8.2.10164</vt:lpwstr>
  </property>
</Properties>
</file>