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4F57B" w14:textId="77777777" w:rsidR="00D8530A" w:rsidRDefault="00000000">
      <w:pPr>
        <w:widowControl/>
        <w:snapToGrid w:val="0"/>
        <w:jc w:val="center"/>
        <w:rPr>
          <w:rFonts w:ascii="方正小标宋简体" w:eastAsia="方正小标宋简体" w:hAnsi="宋体" w:cs="宋体" w:hint="eastAsia"/>
          <w:bCs/>
          <w:kern w:val="0"/>
          <w:sz w:val="36"/>
          <w:szCs w:val="36"/>
        </w:rPr>
      </w:pPr>
      <w:r>
        <w:rPr>
          <w:rFonts w:ascii="方正小标宋简体" w:eastAsia="方正小标宋简体" w:hAnsi="宋体" w:cs="宋体" w:hint="eastAsia"/>
          <w:bCs/>
          <w:kern w:val="0"/>
          <w:sz w:val="36"/>
          <w:szCs w:val="36"/>
        </w:rPr>
        <w:t>浙银理财琮简富春268号理财产品说明书</w:t>
      </w:r>
    </w:p>
    <w:p w14:paraId="7BE2BDAB" w14:textId="77777777" w:rsidR="00D8530A" w:rsidRDefault="00000000">
      <w:pPr>
        <w:widowControl/>
        <w:jc w:val="center"/>
      </w:pPr>
      <w:r>
        <w:rPr>
          <w:rFonts w:ascii="宋体" w:eastAsia="宋体" w:hAnsi="宋体" w:cs="宋体" w:hint="eastAsia"/>
          <w:b/>
          <w:bCs/>
          <w:kern w:val="0"/>
          <w:sz w:val="28"/>
          <w:szCs w:val="28"/>
          <w:lang w:bidi="ar"/>
        </w:rPr>
        <w:t>（</w:t>
      </w:r>
      <w:r>
        <w:rPr>
          <w:rFonts w:ascii="宋体" w:eastAsia="宋体" w:hAnsi="宋体" w:cs="宋体"/>
          <w:b/>
          <w:bCs/>
          <w:kern w:val="0"/>
          <w:sz w:val="28"/>
          <w:szCs w:val="28"/>
          <w:lang w:bidi="ar"/>
        </w:rPr>
        <w:t>全国银行业理财信息登记系统产品登记编码：</w:t>
      </w:r>
      <w:r>
        <w:rPr>
          <w:rFonts w:ascii="宋体" w:hAnsi="宋体" w:hint="eastAsia"/>
          <w:b/>
          <w:bCs/>
          <w:sz w:val="28"/>
          <w:szCs w:val="28"/>
        </w:rPr>
        <w:t>Z7011826000355</w:t>
      </w:r>
      <w:r>
        <w:rPr>
          <w:rFonts w:ascii="宋体" w:eastAsia="宋体" w:hAnsi="宋体" w:cs="宋体" w:hint="eastAsia"/>
          <w:b/>
          <w:bCs/>
          <w:kern w:val="0"/>
          <w:sz w:val="28"/>
          <w:szCs w:val="28"/>
          <w:lang w:bidi="ar"/>
        </w:rPr>
        <w:t>）</w:t>
      </w:r>
    </w:p>
    <w:p w14:paraId="1520B05E" w14:textId="77777777" w:rsidR="00D8530A" w:rsidRDefault="00000000">
      <w:pPr>
        <w:widowControl/>
        <w:jc w:val="center"/>
        <w:rPr>
          <w:rFonts w:ascii="宋体" w:eastAsia="宋体" w:hAnsi="宋体" w:cs="宋体" w:hint="eastAsia"/>
          <w:b/>
          <w:bCs/>
          <w:kern w:val="0"/>
          <w:sz w:val="20"/>
          <w:szCs w:val="20"/>
          <w:lang w:bidi="ar"/>
        </w:rPr>
      </w:pPr>
      <w:r>
        <w:rPr>
          <w:rFonts w:ascii="宋体" w:eastAsia="宋体" w:hAnsi="宋体" w:cs="宋体"/>
          <w:b/>
          <w:bCs/>
          <w:kern w:val="0"/>
          <w:sz w:val="20"/>
          <w:szCs w:val="20"/>
          <w:lang w:bidi="ar"/>
        </w:rPr>
        <w:t xml:space="preserve">（投资者可依据该编码在中国理财网 </w:t>
      </w:r>
      <w:r>
        <w:rPr>
          <w:rFonts w:ascii="Times New Roman" w:eastAsia="宋体" w:hAnsi="Times New Roman"/>
          <w:b/>
          <w:bCs/>
          <w:kern w:val="0"/>
          <w:sz w:val="20"/>
          <w:szCs w:val="20"/>
          <w:lang w:bidi="ar"/>
        </w:rPr>
        <w:t xml:space="preserve">www.chinawealth.com.cn </w:t>
      </w:r>
      <w:r>
        <w:rPr>
          <w:rFonts w:ascii="宋体" w:eastAsia="宋体" w:hAnsi="宋体" w:cs="宋体"/>
          <w:b/>
          <w:bCs/>
          <w:kern w:val="0"/>
          <w:sz w:val="20"/>
          <w:szCs w:val="20"/>
          <w:lang w:bidi="ar"/>
        </w:rPr>
        <w:t>查询产品信息）</w:t>
      </w:r>
    </w:p>
    <w:p w14:paraId="21316B27" w14:textId="77777777" w:rsidR="00D8530A" w:rsidRDefault="00D8530A">
      <w:pPr>
        <w:widowControl/>
        <w:jc w:val="center"/>
        <w:rPr>
          <w:rFonts w:ascii="宋体" w:eastAsia="宋体" w:hAnsi="宋体" w:cs="宋体" w:hint="eastAsia"/>
          <w:b/>
          <w:bCs/>
          <w:kern w:val="0"/>
          <w:sz w:val="20"/>
          <w:szCs w:val="20"/>
          <w:lang w:bidi="ar"/>
        </w:rPr>
      </w:pPr>
    </w:p>
    <w:p w14:paraId="2309945C" w14:textId="77777777" w:rsidR="00D8530A" w:rsidRDefault="00000000">
      <w:pPr>
        <w:pStyle w:val="1"/>
      </w:pPr>
      <w:r>
        <w:rPr>
          <w:rFonts w:hint="eastAsia"/>
        </w:rPr>
        <w:t>理财产品说明书关键要素</w:t>
      </w:r>
    </w:p>
    <w:tbl>
      <w:tblPr>
        <w:tblW w:w="9425" w:type="dxa"/>
        <w:tblInd w:w="533" w:type="dxa"/>
        <w:tblLayout w:type="fixed"/>
        <w:tblLook w:val="04A0" w:firstRow="1" w:lastRow="0" w:firstColumn="1" w:lastColumn="0" w:noHBand="0" w:noVBand="1"/>
      </w:tblPr>
      <w:tblGrid>
        <w:gridCol w:w="2453"/>
        <w:gridCol w:w="6972"/>
      </w:tblGrid>
      <w:tr w:rsidR="00D8530A" w14:paraId="33F4B7C6" w14:textId="77777777">
        <w:trPr>
          <w:trHeight w:val="1394"/>
        </w:trPr>
        <w:tc>
          <w:tcPr>
            <w:tcW w:w="9425" w:type="dxa"/>
            <w:gridSpan w:val="2"/>
            <w:tcBorders>
              <w:top w:val="single" w:sz="8" w:space="0" w:color="000000"/>
              <w:left w:val="single" w:sz="8" w:space="0" w:color="000000"/>
              <w:bottom w:val="single" w:sz="4" w:space="0" w:color="000000"/>
              <w:right w:val="single" w:sz="8" w:space="0" w:color="000000"/>
            </w:tcBorders>
            <w:vAlign w:val="center"/>
          </w:tcPr>
          <w:p w14:paraId="219D8B46" w14:textId="77777777" w:rsidR="00D8530A" w:rsidRDefault="00000000">
            <w:pPr>
              <w:widowControl/>
              <w:spacing w:line="600" w:lineRule="exact"/>
              <w:jc w:val="center"/>
              <w:textAlignment w:val="center"/>
              <w:rPr>
                <w:rFonts w:ascii="方正小标宋简体" w:eastAsia="方正小标宋简体" w:hAnsi="方正小标宋简体" w:cs="方正小标宋简体" w:hint="eastAsia"/>
                <w:color w:val="000000"/>
                <w:sz w:val="40"/>
                <w:szCs w:val="40"/>
              </w:rPr>
            </w:pPr>
            <w:r>
              <w:rPr>
                <w:rFonts w:ascii="方正小标宋简体" w:eastAsia="方正小标宋简体" w:hAnsi="方正小标宋简体" w:cs="方正小标宋简体" w:hint="eastAsia"/>
                <w:color w:val="000000"/>
                <w:kern w:val="0"/>
                <w:sz w:val="40"/>
                <w:szCs w:val="40"/>
                <w:lang w:bidi="ar"/>
              </w:rPr>
              <w:t>理财产品说明书关键要素</w:t>
            </w:r>
          </w:p>
        </w:tc>
      </w:tr>
      <w:tr w:rsidR="00D8530A" w14:paraId="47CA608D" w14:textId="77777777">
        <w:trPr>
          <w:trHeight w:val="980"/>
        </w:trPr>
        <w:tc>
          <w:tcPr>
            <w:tcW w:w="9425" w:type="dxa"/>
            <w:gridSpan w:val="2"/>
            <w:tcBorders>
              <w:top w:val="single" w:sz="4" w:space="0" w:color="000000"/>
              <w:left w:val="single" w:sz="8" w:space="0" w:color="000000"/>
              <w:bottom w:val="nil"/>
              <w:right w:val="single" w:sz="8" w:space="0" w:color="000000"/>
            </w:tcBorders>
            <w:vAlign w:val="center"/>
          </w:tcPr>
          <w:p w14:paraId="4E3AFB60" w14:textId="77777777" w:rsidR="00D8530A" w:rsidRDefault="00000000">
            <w:pPr>
              <w:widowControl/>
              <w:spacing w:line="400" w:lineRule="exact"/>
              <w:jc w:val="center"/>
              <w:textAlignment w:val="center"/>
              <w:rPr>
                <w:rFonts w:ascii="仿宋_GB2312" w:hAnsi="等线" w:cs="仿宋_GB2312" w:hint="eastAsia"/>
                <w:color w:val="000000"/>
              </w:rPr>
            </w:pPr>
            <w:r>
              <w:rPr>
                <w:rFonts w:cs="仿宋_GB2312" w:hint="eastAsia"/>
                <w:sz w:val="22"/>
                <w:lang w:bidi="ar"/>
              </w:rPr>
              <w:t>本表格提供本理财产品的重要信息，是理财产品说明书的一部分。</w:t>
            </w:r>
            <w:r>
              <w:rPr>
                <w:rFonts w:cs="仿宋_GB2312" w:hint="eastAsia"/>
                <w:sz w:val="22"/>
                <w:lang w:bidi="ar"/>
              </w:rPr>
              <w:br/>
            </w:r>
            <w:r>
              <w:rPr>
                <w:rFonts w:cs="仿宋_GB2312" w:hint="eastAsia"/>
                <w:sz w:val="22"/>
                <w:lang w:bidi="ar"/>
              </w:rPr>
              <w:t>作出投资决定前，请阅读完整的理财产品说明书等销售文件。</w:t>
            </w:r>
          </w:p>
        </w:tc>
      </w:tr>
      <w:tr w:rsidR="00D8530A" w14:paraId="66D698D9" w14:textId="77777777">
        <w:trPr>
          <w:trHeight w:val="270"/>
        </w:trPr>
        <w:tc>
          <w:tcPr>
            <w:tcW w:w="9425" w:type="dxa"/>
            <w:gridSpan w:val="2"/>
            <w:tcBorders>
              <w:top w:val="single" w:sz="4" w:space="0" w:color="000000"/>
              <w:left w:val="single" w:sz="8" w:space="0" w:color="000000"/>
              <w:bottom w:val="single" w:sz="4" w:space="0" w:color="auto"/>
              <w:right w:val="single" w:sz="8" w:space="0" w:color="000000"/>
            </w:tcBorders>
            <w:vAlign w:val="center"/>
          </w:tcPr>
          <w:p w14:paraId="39E6D06C" w14:textId="77777777" w:rsidR="00D8530A" w:rsidRDefault="00000000">
            <w:pPr>
              <w:widowControl/>
              <w:spacing w:line="400" w:lineRule="exact"/>
              <w:jc w:val="center"/>
              <w:textAlignment w:val="center"/>
              <w:rPr>
                <w:rFonts w:ascii="楷体_GB2312" w:eastAsia="楷体_GB2312" w:hAnsi="等线" w:cs="楷体_GB2312" w:hint="eastAsia"/>
                <w:b/>
                <w:bCs/>
                <w:color w:val="000000"/>
              </w:rPr>
            </w:pPr>
            <w:r>
              <w:rPr>
                <w:rFonts w:ascii="楷体_GB2312" w:eastAsia="楷体_GB2312" w:hAnsi="等线" w:cs="楷体_GB2312" w:hint="eastAsia"/>
                <w:b/>
                <w:bCs/>
                <w:color w:val="000000"/>
                <w:kern w:val="0"/>
                <w:lang w:bidi="ar"/>
              </w:rPr>
              <w:t>（一）理财产品基本信息</w:t>
            </w:r>
          </w:p>
        </w:tc>
      </w:tr>
      <w:tr w:rsidR="00D8530A" w14:paraId="4D1B661A" w14:textId="77777777">
        <w:trPr>
          <w:trHeight w:val="810"/>
        </w:trPr>
        <w:tc>
          <w:tcPr>
            <w:tcW w:w="2453" w:type="dxa"/>
            <w:tcBorders>
              <w:top w:val="single" w:sz="4" w:space="0" w:color="auto"/>
              <w:left w:val="single" w:sz="4" w:space="0" w:color="auto"/>
              <w:bottom w:val="single" w:sz="4" w:space="0" w:color="auto"/>
              <w:right w:val="single" w:sz="4" w:space="0" w:color="auto"/>
            </w:tcBorders>
            <w:vAlign w:val="center"/>
          </w:tcPr>
          <w:p w14:paraId="51B29FF6" w14:textId="77777777" w:rsidR="00D8530A" w:rsidRDefault="00000000">
            <w:pPr>
              <w:widowControl/>
              <w:spacing w:line="400" w:lineRule="exact"/>
              <w:jc w:val="center"/>
              <w:textAlignment w:val="center"/>
              <w:rPr>
                <w:rFonts w:ascii="仿宋_GB2312" w:hAnsi="等线" w:cs="仿宋_GB2312" w:hint="eastAsia"/>
                <w:color w:val="000000" w:themeColor="text1"/>
              </w:rPr>
            </w:pPr>
            <w:r>
              <w:rPr>
                <w:rFonts w:ascii="仿宋_GB2312" w:hAnsi="等线" w:cs="仿宋_GB2312" w:hint="eastAsia"/>
                <w:color w:val="000000" w:themeColor="text1"/>
                <w:kern w:val="0"/>
                <w:lang w:bidi="ar"/>
              </w:rPr>
              <w:t>产品登记编码</w:t>
            </w:r>
          </w:p>
        </w:tc>
        <w:tc>
          <w:tcPr>
            <w:tcW w:w="6972" w:type="dxa"/>
            <w:tcBorders>
              <w:top w:val="single" w:sz="4" w:space="0" w:color="auto"/>
              <w:left w:val="single" w:sz="4" w:space="0" w:color="auto"/>
              <w:bottom w:val="single" w:sz="4" w:space="0" w:color="auto"/>
              <w:right w:val="single" w:sz="4" w:space="0" w:color="auto"/>
            </w:tcBorders>
            <w:vAlign w:val="center"/>
          </w:tcPr>
          <w:p w14:paraId="70375B70" w14:textId="77777777" w:rsidR="00D8530A" w:rsidRDefault="00000000">
            <w:pPr>
              <w:widowControl/>
              <w:spacing w:line="400" w:lineRule="exact"/>
              <w:jc w:val="left"/>
              <w:textAlignment w:val="center"/>
              <w:rPr>
                <w:rFonts w:ascii="宋体" w:hAnsi="宋体" w:hint="eastAsia"/>
                <w:szCs w:val="24"/>
              </w:rPr>
            </w:pPr>
            <w:r>
              <w:rPr>
                <w:rFonts w:ascii="宋体" w:hAnsi="宋体" w:hint="eastAsia"/>
                <w:szCs w:val="24"/>
              </w:rPr>
              <w:t>Z7011826000355</w:t>
            </w:r>
          </w:p>
          <w:p w14:paraId="0A7922CB" w14:textId="77777777" w:rsidR="00D8530A" w:rsidRDefault="00000000">
            <w:pPr>
              <w:widowControl/>
              <w:spacing w:line="400" w:lineRule="exact"/>
              <w:jc w:val="left"/>
              <w:textAlignment w:val="center"/>
              <w:rPr>
                <w:rFonts w:ascii="仿宋_GB2312" w:hAnsi="等线" w:cs="仿宋_GB2312" w:hint="eastAsia"/>
                <w:color w:val="000000" w:themeColor="text1"/>
                <w:kern w:val="0"/>
                <w:lang w:bidi="ar"/>
              </w:rPr>
            </w:pPr>
            <w:r>
              <w:rPr>
                <w:rFonts w:ascii="仿宋_GB2312" w:hAnsi="仿宋_GB2312" w:cs="仿宋_GB2312" w:hint="eastAsia"/>
                <w:sz w:val="22"/>
                <w:lang w:bidi="ar"/>
              </w:rPr>
              <w:t>（重要提示：可依据该登记编码在中国理财网www.chinawealth.com.cn查询产品信息）</w:t>
            </w:r>
          </w:p>
        </w:tc>
      </w:tr>
      <w:tr w:rsidR="00D8530A" w14:paraId="428B8AC7" w14:textId="77777777">
        <w:trPr>
          <w:trHeight w:val="540"/>
        </w:trPr>
        <w:tc>
          <w:tcPr>
            <w:tcW w:w="2453" w:type="dxa"/>
            <w:tcBorders>
              <w:top w:val="single" w:sz="4" w:space="0" w:color="auto"/>
              <w:left w:val="single" w:sz="4" w:space="0" w:color="auto"/>
              <w:bottom w:val="single" w:sz="4" w:space="0" w:color="auto"/>
              <w:right w:val="single" w:sz="4" w:space="0" w:color="auto"/>
            </w:tcBorders>
            <w:vAlign w:val="center"/>
          </w:tcPr>
          <w:p w14:paraId="7280B8E4" w14:textId="77777777" w:rsidR="00D8530A" w:rsidRDefault="00000000">
            <w:pPr>
              <w:widowControl/>
              <w:spacing w:line="400" w:lineRule="exact"/>
              <w:jc w:val="center"/>
              <w:textAlignment w:val="center"/>
              <w:rPr>
                <w:rFonts w:ascii="仿宋_GB2312" w:hAnsi="等线" w:cs="仿宋_GB2312" w:hint="eastAsia"/>
                <w:color w:val="000000" w:themeColor="text1"/>
                <w:kern w:val="0"/>
                <w:lang w:bidi="ar"/>
              </w:rPr>
            </w:pPr>
            <w:r>
              <w:rPr>
                <w:rFonts w:ascii="仿宋_GB2312" w:hAnsi="等线" w:cs="仿宋_GB2312" w:hint="eastAsia"/>
                <w:color w:val="000000" w:themeColor="text1"/>
                <w:kern w:val="0"/>
                <w:lang w:bidi="ar"/>
              </w:rPr>
              <w:t>产品代码</w:t>
            </w:r>
          </w:p>
        </w:tc>
        <w:tc>
          <w:tcPr>
            <w:tcW w:w="6972" w:type="dxa"/>
            <w:tcBorders>
              <w:top w:val="single" w:sz="4" w:space="0" w:color="auto"/>
              <w:left w:val="single" w:sz="4" w:space="0" w:color="auto"/>
              <w:bottom w:val="single" w:sz="4" w:space="0" w:color="auto"/>
              <w:right w:val="single" w:sz="4" w:space="0" w:color="auto"/>
            </w:tcBorders>
            <w:vAlign w:val="center"/>
          </w:tcPr>
          <w:p w14:paraId="2DF1F913" w14:textId="77777777" w:rsidR="00D8530A" w:rsidRDefault="00000000">
            <w:pPr>
              <w:widowControl/>
              <w:spacing w:line="400" w:lineRule="exact"/>
              <w:jc w:val="left"/>
              <w:textAlignment w:val="center"/>
              <w:rPr>
                <w:rFonts w:ascii="宋体" w:hAnsi="宋体" w:hint="eastAsia"/>
                <w:szCs w:val="24"/>
              </w:rPr>
            </w:pPr>
            <w:r>
              <w:rPr>
                <w:rFonts w:ascii="宋体" w:hAnsi="宋体" w:hint="eastAsia"/>
                <w:szCs w:val="24"/>
              </w:rPr>
              <w:t>ZYFCG02610</w:t>
            </w:r>
          </w:p>
        </w:tc>
      </w:tr>
      <w:tr w:rsidR="00D8530A" w14:paraId="36189232" w14:textId="77777777">
        <w:trPr>
          <w:trHeight w:val="540"/>
        </w:trPr>
        <w:tc>
          <w:tcPr>
            <w:tcW w:w="2453" w:type="dxa"/>
            <w:tcBorders>
              <w:top w:val="single" w:sz="4" w:space="0" w:color="auto"/>
              <w:left w:val="single" w:sz="4" w:space="0" w:color="auto"/>
              <w:bottom w:val="single" w:sz="4" w:space="0" w:color="auto"/>
              <w:right w:val="single" w:sz="4" w:space="0" w:color="auto"/>
            </w:tcBorders>
            <w:vAlign w:val="center"/>
          </w:tcPr>
          <w:p w14:paraId="2F28D6E0" w14:textId="77777777" w:rsidR="00D8530A" w:rsidRDefault="00000000">
            <w:pPr>
              <w:widowControl/>
              <w:spacing w:line="400" w:lineRule="exact"/>
              <w:jc w:val="center"/>
              <w:textAlignment w:val="center"/>
              <w:rPr>
                <w:rFonts w:ascii="仿宋_GB2312" w:hAnsi="等线" w:cs="仿宋_GB2312" w:hint="eastAsia"/>
                <w:color w:val="000000" w:themeColor="text1"/>
              </w:rPr>
            </w:pPr>
            <w:r>
              <w:rPr>
                <w:rFonts w:ascii="仿宋_GB2312" w:hAnsi="等线" w:cs="仿宋_GB2312" w:hint="eastAsia"/>
                <w:color w:val="000000" w:themeColor="text1"/>
                <w:kern w:val="0"/>
                <w:lang w:bidi="ar"/>
              </w:rPr>
              <w:t>理财产品名称</w:t>
            </w:r>
          </w:p>
        </w:tc>
        <w:tc>
          <w:tcPr>
            <w:tcW w:w="6972" w:type="dxa"/>
            <w:tcBorders>
              <w:top w:val="single" w:sz="4" w:space="0" w:color="auto"/>
              <w:left w:val="single" w:sz="4" w:space="0" w:color="auto"/>
              <w:bottom w:val="single" w:sz="4" w:space="0" w:color="auto"/>
              <w:right w:val="single" w:sz="4" w:space="0" w:color="auto"/>
            </w:tcBorders>
            <w:vAlign w:val="center"/>
          </w:tcPr>
          <w:p w14:paraId="4CC82AA3" w14:textId="77777777" w:rsidR="00D8530A" w:rsidRDefault="00000000">
            <w:pPr>
              <w:widowControl/>
              <w:spacing w:line="400" w:lineRule="exact"/>
              <w:jc w:val="left"/>
              <w:textAlignment w:val="center"/>
              <w:rPr>
                <w:rFonts w:ascii="仿宋_GB2312" w:hAnsi="等线" w:cs="仿宋_GB2312" w:hint="eastAsia"/>
                <w:bCs/>
                <w:color w:val="000000" w:themeColor="text1"/>
              </w:rPr>
            </w:pPr>
            <w:r>
              <w:rPr>
                <w:rFonts w:ascii="宋体" w:hAnsi="宋体" w:hint="eastAsia"/>
                <w:szCs w:val="24"/>
              </w:rPr>
              <w:t>浙银理财琮简富春</w:t>
            </w:r>
            <w:r>
              <w:rPr>
                <w:rFonts w:ascii="宋体" w:hAnsi="宋体" w:hint="eastAsia"/>
                <w:szCs w:val="24"/>
              </w:rPr>
              <w:t>268</w:t>
            </w:r>
            <w:r>
              <w:rPr>
                <w:rFonts w:ascii="宋体" w:hAnsi="宋体" w:hint="eastAsia"/>
                <w:szCs w:val="24"/>
              </w:rPr>
              <w:t>号理财产品</w:t>
            </w:r>
          </w:p>
        </w:tc>
      </w:tr>
      <w:tr w:rsidR="00D8530A" w14:paraId="40A3119D" w14:textId="77777777">
        <w:trPr>
          <w:trHeight w:val="540"/>
        </w:trPr>
        <w:tc>
          <w:tcPr>
            <w:tcW w:w="2453" w:type="dxa"/>
            <w:tcBorders>
              <w:top w:val="single" w:sz="4" w:space="0" w:color="auto"/>
              <w:left w:val="single" w:sz="4" w:space="0" w:color="auto"/>
              <w:bottom w:val="single" w:sz="4" w:space="0" w:color="auto"/>
              <w:right w:val="single" w:sz="4" w:space="0" w:color="auto"/>
            </w:tcBorders>
            <w:vAlign w:val="center"/>
          </w:tcPr>
          <w:p w14:paraId="67AD5FFA" w14:textId="77777777" w:rsidR="00D8530A" w:rsidRDefault="00000000">
            <w:pPr>
              <w:widowControl/>
              <w:spacing w:line="400" w:lineRule="exact"/>
              <w:jc w:val="center"/>
              <w:textAlignment w:val="center"/>
              <w:rPr>
                <w:rFonts w:ascii="仿宋_GB2312" w:hAnsi="等线" w:cs="仿宋_GB2312" w:hint="eastAsia"/>
                <w:color w:val="000000" w:themeColor="text1"/>
              </w:rPr>
            </w:pPr>
            <w:r>
              <w:rPr>
                <w:rFonts w:ascii="仿宋_GB2312" w:hAnsi="等线" w:cs="仿宋_GB2312" w:hint="eastAsia"/>
                <w:color w:val="000000" w:themeColor="text1"/>
                <w:kern w:val="0"/>
                <w:lang w:bidi="ar"/>
              </w:rPr>
              <w:t>份额代码</w:t>
            </w:r>
          </w:p>
        </w:tc>
        <w:tc>
          <w:tcPr>
            <w:tcW w:w="6972" w:type="dxa"/>
            <w:tcBorders>
              <w:top w:val="single" w:sz="4" w:space="0" w:color="auto"/>
              <w:left w:val="single" w:sz="4" w:space="0" w:color="auto"/>
              <w:bottom w:val="single" w:sz="4" w:space="0" w:color="auto"/>
              <w:right w:val="single" w:sz="4" w:space="0" w:color="auto"/>
            </w:tcBorders>
            <w:vAlign w:val="center"/>
          </w:tcPr>
          <w:p w14:paraId="6884CE6B" w14:textId="77777777" w:rsidR="00D8530A" w:rsidRDefault="00000000">
            <w:pPr>
              <w:snapToGrid w:val="0"/>
              <w:jc w:val="left"/>
              <w:rPr>
                <w:rFonts w:ascii="宋体" w:hAnsi="宋体" w:cs="宋体" w:hint="eastAsia"/>
                <w:kern w:val="0"/>
                <w:szCs w:val="24"/>
              </w:rPr>
            </w:pPr>
            <w:r>
              <w:rPr>
                <w:rFonts w:ascii="宋体" w:hAnsi="宋体" w:cs="宋体" w:hint="eastAsia"/>
                <w:kern w:val="0"/>
                <w:szCs w:val="24"/>
              </w:rPr>
              <w:t>本产品根据投资者购买理财产品的金额、销售渠道、客户类型等因素设置不同的产品份额类别，各类产品份额可能分别设置不同的销售名称、份额代码、销售渠道、销售对象、销售服务费率、收费方式、业绩比较基准、起点销售金额</w:t>
            </w:r>
            <w:r>
              <w:rPr>
                <w:rFonts w:ascii="仿宋_GB2312" w:hAnsi="宋体" w:cs="宋体" w:hint="eastAsia"/>
                <w:kern w:val="0"/>
                <w:szCs w:val="24"/>
              </w:rPr>
              <w:t>及追加递增金额</w:t>
            </w:r>
            <w:r>
              <w:rPr>
                <w:rFonts w:ascii="宋体" w:hAnsi="宋体" w:cs="宋体" w:hint="eastAsia"/>
                <w:kern w:val="0"/>
                <w:szCs w:val="24"/>
              </w:rPr>
              <w:t>、认</w:t>
            </w:r>
            <w:r>
              <w:rPr>
                <w:rFonts w:ascii="宋体" w:hAnsi="宋体" w:cs="宋体"/>
                <w:kern w:val="0"/>
                <w:szCs w:val="24"/>
              </w:rPr>
              <w:t>/</w:t>
            </w:r>
            <w:r>
              <w:rPr>
                <w:rFonts w:ascii="宋体" w:hAnsi="宋体" w:cs="宋体" w:hint="eastAsia"/>
                <w:kern w:val="0"/>
                <w:szCs w:val="24"/>
              </w:rPr>
              <w:t>申购上限</w:t>
            </w:r>
            <w:r>
              <w:rPr>
                <w:rFonts w:ascii="宋体" w:hAnsi="宋体" w:cs="宋体"/>
                <w:kern w:val="0"/>
                <w:szCs w:val="24"/>
              </w:rPr>
              <w:t>金额、</w:t>
            </w:r>
            <w:r>
              <w:rPr>
                <w:rFonts w:ascii="宋体" w:hAnsi="宋体" w:cs="宋体" w:hint="eastAsia"/>
                <w:kern w:val="0"/>
                <w:szCs w:val="24"/>
              </w:rPr>
              <w:t>认</w:t>
            </w:r>
            <w:r>
              <w:rPr>
                <w:rFonts w:ascii="宋体" w:hAnsi="宋体" w:cs="宋体"/>
                <w:kern w:val="0"/>
                <w:szCs w:val="24"/>
              </w:rPr>
              <w:t>/</w:t>
            </w:r>
            <w:r>
              <w:rPr>
                <w:rFonts w:ascii="宋体" w:hAnsi="宋体" w:cs="宋体" w:hint="eastAsia"/>
                <w:kern w:val="0"/>
                <w:szCs w:val="24"/>
              </w:rPr>
              <w:t>申购和赎回数量限制、持有金额上</w:t>
            </w:r>
            <w:r>
              <w:rPr>
                <w:rFonts w:ascii="宋体" w:hAnsi="宋体" w:cs="宋体" w:hint="eastAsia"/>
                <w:kern w:val="0"/>
                <w:szCs w:val="24"/>
              </w:rPr>
              <w:t>/</w:t>
            </w:r>
            <w:r>
              <w:rPr>
                <w:rFonts w:ascii="宋体" w:hAnsi="宋体" w:cs="宋体" w:hint="eastAsia"/>
                <w:kern w:val="0"/>
                <w:szCs w:val="24"/>
              </w:rPr>
              <w:t>下限</w:t>
            </w:r>
            <w:r>
              <w:rPr>
                <w:rFonts w:hint="eastAsia"/>
              </w:rPr>
              <w:t>、单一投资者持有份额占比上限、产品规模上限</w:t>
            </w:r>
            <w:r>
              <w:rPr>
                <w:rFonts w:ascii="宋体" w:hAnsi="宋体" w:cs="宋体" w:hint="eastAsia"/>
                <w:kern w:val="0"/>
                <w:szCs w:val="24"/>
              </w:rPr>
              <w:t>等要素，并分别计算和公告各类产品份额单位净值，具体以对应的理财产品销售文件约定为准。</w:t>
            </w:r>
          </w:p>
          <w:p w14:paraId="4F7B480E" w14:textId="77777777" w:rsidR="00D8530A" w:rsidRDefault="00000000">
            <w:pPr>
              <w:snapToGrid w:val="0"/>
              <w:jc w:val="left"/>
              <w:rPr>
                <w:rFonts w:ascii="宋体" w:hAnsi="宋体" w:cs="宋体" w:hint="eastAsia"/>
                <w:kern w:val="0"/>
                <w:szCs w:val="24"/>
              </w:rPr>
            </w:pPr>
            <w:r>
              <w:rPr>
                <w:rFonts w:ascii="宋体" w:hAnsi="宋体" w:cs="宋体" w:hint="eastAsia"/>
                <w:kern w:val="0"/>
                <w:szCs w:val="24"/>
              </w:rPr>
              <w:t>投资者可根据实际情况自行选择认</w:t>
            </w:r>
            <w:r>
              <w:rPr>
                <w:rFonts w:ascii="宋体" w:hAnsi="宋体" w:cs="宋体" w:hint="eastAsia"/>
                <w:kern w:val="0"/>
                <w:szCs w:val="24"/>
              </w:rPr>
              <w:t>/</w:t>
            </w:r>
            <w:r>
              <w:rPr>
                <w:rFonts w:ascii="宋体" w:hAnsi="宋体" w:cs="宋体" w:hint="eastAsia"/>
                <w:kern w:val="0"/>
                <w:szCs w:val="24"/>
              </w:rPr>
              <w:t>申购的产品份额类别。</w:t>
            </w:r>
          </w:p>
          <w:p w14:paraId="2A2313BC" w14:textId="77777777" w:rsidR="00D8530A" w:rsidRDefault="00000000">
            <w:pPr>
              <w:widowControl/>
              <w:spacing w:line="400" w:lineRule="exact"/>
              <w:jc w:val="left"/>
              <w:textAlignment w:val="center"/>
              <w:rPr>
                <w:rFonts w:ascii="宋体" w:hAnsi="宋体" w:cstheme="minorBidi" w:hint="eastAsia"/>
                <w:szCs w:val="24"/>
                <w:lang w:bidi="ar"/>
              </w:rPr>
            </w:pPr>
            <w:r>
              <w:rPr>
                <w:rFonts w:ascii="宋体" w:hAnsi="宋体" w:cs="宋体" w:hint="eastAsia"/>
                <w:b/>
                <w:bCs/>
                <w:kern w:val="0"/>
                <w:szCs w:val="24"/>
              </w:rPr>
              <w:t>产品管理人有权在本理财产品项下增设</w:t>
            </w:r>
            <w:r>
              <w:rPr>
                <w:rFonts w:ascii="宋体" w:hAnsi="宋体" w:cs="宋体" w:hint="eastAsia"/>
                <w:b/>
                <w:bCs/>
                <w:kern w:val="0"/>
                <w:szCs w:val="24"/>
              </w:rPr>
              <w:t>/</w:t>
            </w:r>
            <w:r>
              <w:rPr>
                <w:rFonts w:ascii="宋体" w:hAnsi="宋体" w:cs="宋体" w:hint="eastAsia"/>
                <w:b/>
                <w:bCs/>
                <w:kern w:val="0"/>
                <w:szCs w:val="24"/>
              </w:rPr>
              <w:t>终止产品份额类别，届时，产品管理人将依据本理财产品销售文件的约定进行信息披露。</w:t>
            </w:r>
          </w:p>
          <w:p w14:paraId="2C17A18F" w14:textId="77777777" w:rsidR="00D8530A" w:rsidRDefault="00000000">
            <w:pPr>
              <w:widowControl/>
              <w:spacing w:line="400" w:lineRule="exact"/>
              <w:textAlignment w:val="center"/>
              <w:rPr>
                <w:rFonts w:ascii="宋体" w:hAnsi="宋体" w:hint="eastAsia"/>
                <w:szCs w:val="24"/>
              </w:rPr>
            </w:pPr>
            <w:r>
              <w:rPr>
                <w:rFonts w:ascii="宋体" w:hAnsi="宋体" w:hint="eastAsia"/>
                <w:szCs w:val="24"/>
              </w:rPr>
              <w:t>A</w:t>
            </w:r>
            <w:r>
              <w:rPr>
                <w:rFonts w:ascii="宋体" w:hAnsi="宋体" w:hint="eastAsia"/>
                <w:szCs w:val="24"/>
              </w:rPr>
              <w:t>类份额：份额代码</w:t>
            </w:r>
            <w:r>
              <w:rPr>
                <w:rFonts w:ascii="宋体" w:hAnsi="宋体" w:hint="eastAsia"/>
                <w:szCs w:val="24"/>
              </w:rPr>
              <w:t>ZYFCG0261A</w:t>
            </w:r>
          </w:p>
          <w:p w14:paraId="56B7FE33" w14:textId="77777777" w:rsidR="00D8530A" w:rsidRDefault="00000000">
            <w:pPr>
              <w:widowControl/>
              <w:spacing w:line="400" w:lineRule="exact"/>
              <w:textAlignment w:val="center"/>
              <w:rPr>
                <w:rFonts w:ascii="宋体" w:hAnsi="宋体" w:hint="eastAsia"/>
                <w:szCs w:val="24"/>
              </w:rPr>
            </w:pPr>
            <w:r>
              <w:rPr>
                <w:rFonts w:ascii="宋体" w:hAnsi="宋体" w:hint="eastAsia"/>
                <w:szCs w:val="24"/>
              </w:rPr>
              <w:t>B</w:t>
            </w:r>
            <w:r>
              <w:rPr>
                <w:rFonts w:ascii="宋体" w:hAnsi="宋体" w:hint="eastAsia"/>
                <w:szCs w:val="24"/>
              </w:rPr>
              <w:t>类份额：份额代码</w:t>
            </w:r>
            <w:r>
              <w:rPr>
                <w:rFonts w:ascii="宋体" w:hAnsi="宋体" w:hint="eastAsia"/>
                <w:szCs w:val="24"/>
              </w:rPr>
              <w:t>ZYFCG0261B</w:t>
            </w:r>
          </w:p>
          <w:p w14:paraId="5E406FFA" w14:textId="77777777" w:rsidR="00D8530A" w:rsidRDefault="00000000">
            <w:pPr>
              <w:widowControl/>
              <w:spacing w:line="400" w:lineRule="exact"/>
              <w:textAlignment w:val="center"/>
              <w:rPr>
                <w:rFonts w:ascii="宋体" w:hAnsi="宋体" w:hint="eastAsia"/>
                <w:szCs w:val="24"/>
              </w:rPr>
            </w:pPr>
            <w:r>
              <w:rPr>
                <w:rFonts w:ascii="宋体" w:hAnsi="宋体" w:hint="eastAsia"/>
                <w:szCs w:val="24"/>
              </w:rPr>
              <w:t>C</w:t>
            </w:r>
            <w:r>
              <w:rPr>
                <w:rFonts w:ascii="宋体" w:hAnsi="宋体" w:hint="eastAsia"/>
                <w:szCs w:val="24"/>
              </w:rPr>
              <w:t>类份额：份额代码</w:t>
            </w:r>
            <w:r>
              <w:rPr>
                <w:rFonts w:ascii="宋体" w:hAnsi="宋体" w:hint="eastAsia"/>
                <w:szCs w:val="24"/>
              </w:rPr>
              <w:t>ZYFCG0261C</w:t>
            </w:r>
          </w:p>
          <w:p w14:paraId="3155001D" w14:textId="77777777" w:rsidR="00D8530A" w:rsidRDefault="00000000">
            <w:pPr>
              <w:widowControl/>
              <w:spacing w:line="400" w:lineRule="exact"/>
              <w:textAlignment w:val="center"/>
              <w:rPr>
                <w:rFonts w:ascii="宋体" w:hAnsi="宋体" w:hint="eastAsia"/>
                <w:szCs w:val="24"/>
              </w:rPr>
            </w:pPr>
            <w:r>
              <w:rPr>
                <w:rFonts w:ascii="宋体" w:hAnsi="宋体" w:hint="eastAsia"/>
                <w:szCs w:val="24"/>
              </w:rPr>
              <w:t>D</w:t>
            </w:r>
            <w:r>
              <w:rPr>
                <w:rFonts w:ascii="宋体" w:hAnsi="宋体" w:hint="eastAsia"/>
                <w:szCs w:val="24"/>
              </w:rPr>
              <w:t>类份额：份额代码</w:t>
            </w:r>
            <w:r>
              <w:rPr>
                <w:rFonts w:ascii="宋体" w:hAnsi="宋体" w:hint="eastAsia"/>
                <w:szCs w:val="24"/>
              </w:rPr>
              <w:t>ZYFCG0261D</w:t>
            </w:r>
          </w:p>
          <w:p w14:paraId="2306126D" w14:textId="77777777" w:rsidR="00D8530A" w:rsidRDefault="00000000">
            <w:pPr>
              <w:widowControl/>
              <w:spacing w:line="400" w:lineRule="exact"/>
              <w:textAlignment w:val="center"/>
              <w:rPr>
                <w:rFonts w:ascii="宋体" w:hAnsi="宋体" w:hint="eastAsia"/>
                <w:szCs w:val="24"/>
              </w:rPr>
            </w:pPr>
            <w:r>
              <w:rPr>
                <w:rFonts w:ascii="宋体" w:hAnsi="宋体" w:hint="eastAsia"/>
                <w:szCs w:val="24"/>
              </w:rPr>
              <w:lastRenderedPageBreak/>
              <w:t>E</w:t>
            </w:r>
            <w:r>
              <w:rPr>
                <w:rFonts w:ascii="宋体" w:hAnsi="宋体" w:hint="eastAsia"/>
                <w:szCs w:val="24"/>
              </w:rPr>
              <w:t>类份额：份额代码</w:t>
            </w:r>
            <w:r>
              <w:rPr>
                <w:rFonts w:ascii="宋体" w:hAnsi="宋体" w:hint="eastAsia"/>
                <w:szCs w:val="24"/>
              </w:rPr>
              <w:t>ZYFCG0261E</w:t>
            </w:r>
          </w:p>
          <w:p w14:paraId="04D3B770" w14:textId="77777777" w:rsidR="00D8530A" w:rsidRDefault="00000000">
            <w:pPr>
              <w:widowControl/>
              <w:spacing w:line="400" w:lineRule="exact"/>
              <w:textAlignment w:val="center"/>
              <w:rPr>
                <w:rFonts w:ascii="宋体" w:hAnsi="宋体" w:hint="eastAsia"/>
                <w:szCs w:val="24"/>
              </w:rPr>
            </w:pPr>
            <w:r>
              <w:rPr>
                <w:rFonts w:ascii="宋体" w:hAnsi="宋体" w:hint="eastAsia"/>
                <w:szCs w:val="24"/>
              </w:rPr>
              <w:t>F</w:t>
            </w:r>
            <w:r>
              <w:rPr>
                <w:rFonts w:ascii="宋体" w:hAnsi="宋体" w:hint="eastAsia"/>
                <w:szCs w:val="24"/>
              </w:rPr>
              <w:t>类份额：份额代码</w:t>
            </w:r>
            <w:r>
              <w:rPr>
                <w:rFonts w:ascii="宋体" w:hAnsi="宋体" w:hint="eastAsia"/>
                <w:szCs w:val="24"/>
              </w:rPr>
              <w:t>ZYFCG0261F</w:t>
            </w:r>
          </w:p>
          <w:p w14:paraId="38987792" w14:textId="77777777" w:rsidR="00D8530A" w:rsidRDefault="00000000">
            <w:pPr>
              <w:widowControl/>
              <w:spacing w:line="400" w:lineRule="exact"/>
              <w:textAlignment w:val="center"/>
              <w:rPr>
                <w:rFonts w:ascii="宋体" w:hAnsi="宋体" w:hint="eastAsia"/>
                <w:szCs w:val="24"/>
              </w:rPr>
            </w:pPr>
            <w:r>
              <w:rPr>
                <w:rFonts w:ascii="宋体" w:hAnsi="宋体" w:hint="eastAsia"/>
                <w:szCs w:val="24"/>
              </w:rPr>
              <w:t>G</w:t>
            </w:r>
            <w:r>
              <w:rPr>
                <w:rFonts w:ascii="宋体" w:hAnsi="宋体" w:hint="eastAsia"/>
                <w:szCs w:val="24"/>
              </w:rPr>
              <w:t>类份额：份额代码</w:t>
            </w:r>
            <w:r>
              <w:rPr>
                <w:rFonts w:ascii="宋体" w:hAnsi="宋体" w:hint="eastAsia"/>
                <w:szCs w:val="24"/>
              </w:rPr>
              <w:t>ZYFCG0261G</w:t>
            </w:r>
          </w:p>
          <w:p w14:paraId="4C9D88E8" w14:textId="77777777" w:rsidR="00D8530A" w:rsidRDefault="00000000">
            <w:pPr>
              <w:widowControl/>
              <w:spacing w:line="400" w:lineRule="exact"/>
              <w:textAlignment w:val="center"/>
              <w:rPr>
                <w:rFonts w:ascii="宋体" w:hAnsi="宋体" w:hint="eastAsia"/>
                <w:szCs w:val="24"/>
              </w:rPr>
            </w:pPr>
            <w:r>
              <w:rPr>
                <w:rFonts w:ascii="宋体" w:hAnsi="宋体" w:hint="eastAsia"/>
                <w:szCs w:val="24"/>
              </w:rPr>
              <w:t>H</w:t>
            </w:r>
            <w:r>
              <w:rPr>
                <w:rFonts w:ascii="宋体" w:hAnsi="宋体" w:hint="eastAsia"/>
                <w:szCs w:val="24"/>
              </w:rPr>
              <w:t>类份额：份额代码</w:t>
            </w:r>
            <w:r>
              <w:rPr>
                <w:rFonts w:ascii="宋体" w:hAnsi="宋体" w:hint="eastAsia"/>
                <w:szCs w:val="24"/>
              </w:rPr>
              <w:t>ZYFCG0261H</w:t>
            </w:r>
          </w:p>
        </w:tc>
      </w:tr>
      <w:tr w:rsidR="00D8530A" w14:paraId="697529AB" w14:textId="77777777">
        <w:trPr>
          <w:trHeight w:val="540"/>
        </w:trPr>
        <w:tc>
          <w:tcPr>
            <w:tcW w:w="2453" w:type="dxa"/>
            <w:tcBorders>
              <w:top w:val="single" w:sz="4" w:space="0" w:color="auto"/>
              <w:left w:val="single" w:sz="4" w:space="0" w:color="auto"/>
              <w:bottom w:val="single" w:sz="4" w:space="0" w:color="auto"/>
              <w:right w:val="single" w:sz="4" w:space="0" w:color="auto"/>
            </w:tcBorders>
            <w:vAlign w:val="center"/>
          </w:tcPr>
          <w:p w14:paraId="4AE77825" w14:textId="77777777" w:rsidR="00D8530A" w:rsidRDefault="00000000">
            <w:pPr>
              <w:widowControl/>
              <w:spacing w:line="400" w:lineRule="exact"/>
              <w:jc w:val="center"/>
              <w:textAlignment w:val="center"/>
              <w:rPr>
                <w:rFonts w:ascii="仿宋_GB2312" w:hAnsi="等线" w:cs="仿宋_GB2312" w:hint="eastAsia"/>
                <w:color w:val="000000" w:themeColor="text1"/>
              </w:rPr>
            </w:pPr>
            <w:r>
              <w:rPr>
                <w:rFonts w:ascii="仿宋_GB2312" w:hAnsi="等线" w:cs="仿宋_GB2312" w:hint="eastAsia"/>
                <w:color w:val="000000" w:themeColor="text1"/>
                <w:kern w:val="0"/>
                <w:lang w:bidi="ar"/>
              </w:rPr>
              <w:lastRenderedPageBreak/>
              <w:t>发行机构名称</w:t>
            </w:r>
          </w:p>
        </w:tc>
        <w:tc>
          <w:tcPr>
            <w:tcW w:w="6972" w:type="dxa"/>
            <w:tcBorders>
              <w:top w:val="single" w:sz="4" w:space="0" w:color="auto"/>
              <w:left w:val="single" w:sz="4" w:space="0" w:color="auto"/>
              <w:bottom w:val="single" w:sz="4" w:space="0" w:color="auto"/>
              <w:right w:val="single" w:sz="4" w:space="0" w:color="auto"/>
            </w:tcBorders>
            <w:vAlign w:val="center"/>
          </w:tcPr>
          <w:p w14:paraId="2CF90D04" w14:textId="77777777" w:rsidR="00D8530A" w:rsidRDefault="00000000">
            <w:pPr>
              <w:widowControl/>
              <w:spacing w:line="400" w:lineRule="exact"/>
              <w:jc w:val="left"/>
              <w:textAlignment w:val="center"/>
              <w:rPr>
                <w:rFonts w:ascii="仿宋_GB2312" w:hAnsi="等线" w:cs="仿宋_GB2312" w:hint="eastAsia"/>
                <w:bCs/>
                <w:color w:val="000000" w:themeColor="text1"/>
              </w:rPr>
            </w:pPr>
            <w:r>
              <w:rPr>
                <w:rFonts w:ascii="宋体" w:hAnsi="宋体" w:hint="eastAsia"/>
                <w:szCs w:val="24"/>
              </w:rPr>
              <w:t>浙银理财有限责任公司</w:t>
            </w:r>
          </w:p>
        </w:tc>
      </w:tr>
      <w:tr w:rsidR="00D8530A" w14:paraId="0273B9F9" w14:textId="77777777">
        <w:trPr>
          <w:trHeight w:val="540"/>
        </w:trPr>
        <w:tc>
          <w:tcPr>
            <w:tcW w:w="2453" w:type="dxa"/>
            <w:tcBorders>
              <w:top w:val="single" w:sz="4" w:space="0" w:color="auto"/>
              <w:left w:val="single" w:sz="4" w:space="0" w:color="auto"/>
              <w:bottom w:val="single" w:sz="4" w:space="0" w:color="auto"/>
              <w:right w:val="single" w:sz="4" w:space="0" w:color="auto"/>
            </w:tcBorders>
            <w:vAlign w:val="center"/>
          </w:tcPr>
          <w:p w14:paraId="4ECC6F72" w14:textId="77777777" w:rsidR="00D8530A" w:rsidRDefault="00000000">
            <w:pPr>
              <w:widowControl/>
              <w:spacing w:line="400" w:lineRule="exact"/>
              <w:jc w:val="center"/>
              <w:textAlignment w:val="center"/>
              <w:rPr>
                <w:rFonts w:ascii="仿宋_GB2312" w:hAnsi="等线" w:cs="仿宋_GB2312" w:hint="eastAsia"/>
                <w:color w:val="000000" w:themeColor="text1"/>
              </w:rPr>
            </w:pPr>
            <w:r>
              <w:rPr>
                <w:rFonts w:ascii="仿宋_GB2312" w:hAnsi="等线" w:cs="仿宋_GB2312" w:hint="eastAsia"/>
                <w:color w:val="000000" w:themeColor="text1"/>
                <w:kern w:val="0"/>
                <w:lang w:bidi="ar"/>
              </w:rPr>
              <w:t>销售机构名称</w:t>
            </w:r>
          </w:p>
        </w:tc>
        <w:tc>
          <w:tcPr>
            <w:tcW w:w="6972" w:type="dxa"/>
            <w:tcBorders>
              <w:top w:val="single" w:sz="4" w:space="0" w:color="auto"/>
              <w:left w:val="single" w:sz="4" w:space="0" w:color="auto"/>
              <w:bottom w:val="single" w:sz="4" w:space="0" w:color="auto"/>
              <w:right w:val="single" w:sz="4" w:space="0" w:color="auto"/>
            </w:tcBorders>
            <w:vAlign w:val="center"/>
          </w:tcPr>
          <w:p w14:paraId="187392C1" w14:textId="77777777" w:rsidR="00D8530A" w:rsidRDefault="00000000">
            <w:pPr>
              <w:widowControl/>
              <w:spacing w:line="400" w:lineRule="exact"/>
              <w:jc w:val="left"/>
              <w:textAlignment w:val="center"/>
              <w:rPr>
                <w:rFonts w:ascii="宋体" w:hAnsi="宋体" w:hint="eastAsia"/>
                <w:szCs w:val="24"/>
              </w:rPr>
            </w:pPr>
            <w:r>
              <w:rPr>
                <w:rFonts w:ascii="宋体" w:hAnsi="宋体" w:hint="eastAsia"/>
                <w:szCs w:val="24"/>
              </w:rPr>
              <w:t>浙江长兴农村商业银行股份有限公司</w:t>
            </w:r>
            <w:r>
              <w:rPr>
                <w:rFonts w:ascii="宋体" w:hAnsi="宋体" w:hint="eastAsia"/>
                <w:szCs w:val="24"/>
              </w:rPr>
              <w:t>:ZYFCG0261A</w:t>
            </w:r>
          </w:p>
          <w:p w14:paraId="54481D0A" w14:textId="77777777" w:rsidR="00D8530A" w:rsidRDefault="00000000">
            <w:pPr>
              <w:widowControl/>
              <w:spacing w:line="400" w:lineRule="exact"/>
              <w:jc w:val="left"/>
              <w:textAlignment w:val="center"/>
              <w:rPr>
                <w:rFonts w:ascii="宋体" w:hAnsi="宋体" w:hint="eastAsia"/>
                <w:szCs w:val="24"/>
              </w:rPr>
            </w:pPr>
            <w:r>
              <w:rPr>
                <w:rFonts w:ascii="宋体" w:hAnsi="宋体" w:hint="eastAsia"/>
                <w:szCs w:val="24"/>
              </w:rPr>
              <w:t>嘉兴银行股份有限公司</w:t>
            </w:r>
            <w:r>
              <w:rPr>
                <w:rFonts w:ascii="宋体" w:hAnsi="宋体" w:hint="eastAsia"/>
                <w:szCs w:val="24"/>
              </w:rPr>
              <w:t>:ZYFCG0261A</w:t>
            </w:r>
          </w:p>
          <w:p w14:paraId="4D17A548" w14:textId="77777777" w:rsidR="00D8530A" w:rsidRDefault="00000000">
            <w:pPr>
              <w:widowControl/>
              <w:spacing w:line="400" w:lineRule="exact"/>
              <w:jc w:val="left"/>
              <w:textAlignment w:val="center"/>
              <w:rPr>
                <w:rFonts w:ascii="宋体" w:hAnsi="宋体" w:hint="eastAsia"/>
                <w:szCs w:val="24"/>
              </w:rPr>
            </w:pPr>
            <w:r>
              <w:rPr>
                <w:rFonts w:ascii="宋体" w:hAnsi="宋体" w:hint="eastAsia"/>
                <w:szCs w:val="24"/>
              </w:rPr>
              <w:t>浙江岱山农村商业银行股份有限公司</w:t>
            </w:r>
            <w:r>
              <w:rPr>
                <w:rFonts w:ascii="宋体" w:hAnsi="宋体" w:hint="eastAsia"/>
                <w:szCs w:val="24"/>
              </w:rPr>
              <w:t>:ZYFCG0261A</w:t>
            </w:r>
          </w:p>
          <w:p w14:paraId="7263881D" w14:textId="77777777" w:rsidR="00D8530A" w:rsidRDefault="00000000">
            <w:pPr>
              <w:widowControl/>
              <w:spacing w:line="400" w:lineRule="exact"/>
              <w:jc w:val="left"/>
              <w:textAlignment w:val="center"/>
              <w:rPr>
                <w:rFonts w:ascii="宋体" w:hAnsi="宋体" w:hint="eastAsia"/>
                <w:szCs w:val="24"/>
              </w:rPr>
            </w:pPr>
            <w:r>
              <w:rPr>
                <w:rFonts w:ascii="宋体" w:hAnsi="宋体" w:hint="eastAsia"/>
                <w:szCs w:val="24"/>
              </w:rPr>
              <w:t>浙江遂昌农村商业银行股份有限公司</w:t>
            </w:r>
            <w:r>
              <w:rPr>
                <w:rFonts w:ascii="宋体" w:hAnsi="宋体" w:hint="eastAsia"/>
                <w:szCs w:val="24"/>
              </w:rPr>
              <w:t>:ZYFCG0261A</w:t>
            </w:r>
          </w:p>
          <w:p w14:paraId="1F02E591" w14:textId="77777777" w:rsidR="00D8530A" w:rsidRDefault="00000000">
            <w:pPr>
              <w:widowControl/>
              <w:spacing w:line="400" w:lineRule="exact"/>
              <w:jc w:val="left"/>
              <w:textAlignment w:val="center"/>
              <w:rPr>
                <w:rFonts w:ascii="宋体" w:hAnsi="宋体" w:hint="eastAsia"/>
                <w:szCs w:val="24"/>
              </w:rPr>
            </w:pPr>
            <w:r>
              <w:rPr>
                <w:rFonts w:ascii="宋体" w:hAnsi="宋体" w:hint="eastAsia"/>
                <w:szCs w:val="24"/>
              </w:rPr>
              <w:t>浙江台州路桥农村商业银行股份有限公司</w:t>
            </w:r>
            <w:r>
              <w:rPr>
                <w:rFonts w:ascii="宋体" w:hAnsi="宋体" w:hint="eastAsia"/>
                <w:szCs w:val="24"/>
              </w:rPr>
              <w:t>:ZYFCG0261A</w:t>
            </w:r>
          </w:p>
          <w:p w14:paraId="3D46682A" w14:textId="77777777" w:rsidR="00D8530A" w:rsidRDefault="00000000">
            <w:pPr>
              <w:widowControl/>
              <w:spacing w:line="400" w:lineRule="exact"/>
              <w:jc w:val="left"/>
              <w:textAlignment w:val="center"/>
              <w:rPr>
                <w:rFonts w:ascii="宋体" w:hAnsi="宋体" w:hint="eastAsia"/>
                <w:szCs w:val="24"/>
              </w:rPr>
            </w:pPr>
            <w:r>
              <w:rPr>
                <w:rFonts w:ascii="宋体" w:hAnsi="宋体" w:hint="eastAsia"/>
                <w:szCs w:val="24"/>
              </w:rPr>
              <w:t>浙江临海农村商业银行股份有限公司</w:t>
            </w:r>
            <w:r>
              <w:rPr>
                <w:rFonts w:ascii="宋体" w:hAnsi="宋体" w:hint="eastAsia"/>
                <w:szCs w:val="24"/>
              </w:rPr>
              <w:t>:ZYFCG0261A</w:t>
            </w:r>
          </w:p>
          <w:p w14:paraId="3590A144" w14:textId="77777777" w:rsidR="00D8530A" w:rsidRDefault="00000000">
            <w:pPr>
              <w:widowControl/>
              <w:spacing w:line="400" w:lineRule="exact"/>
              <w:jc w:val="left"/>
              <w:textAlignment w:val="center"/>
              <w:rPr>
                <w:rFonts w:ascii="宋体" w:hAnsi="宋体" w:hint="eastAsia"/>
                <w:szCs w:val="24"/>
              </w:rPr>
            </w:pPr>
            <w:r>
              <w:rPr>
                <w:rFonts w:ascii="宋体" w:hAnsi="宋体" w:hint="eastAsia"/>
                <w:szCs w:val="24"/>
              </w:rPr>
              <w:t>浙江龙游农村商业银行股份有限公司</w:t>
            </w:r>
            <w:r>
              <w:rPr>
                <w:rFonts w:ascii="宋体" w:hAnsi="宋体" w:hint="eastAsia"/>
                <w:szCs w:val="24"/>
              </w:rPr>
              <w:t>:ZYFCG0261A</w:t>
            </w:r>
          </w:p>
          <w:p w14:paraId="4AE79818" w14:textId="77777777" w:rsidR="00D8530A" w:rsidRDefault="00000000">
            <w:pPr>
              <w:widowControl/>
              <w:spacing w:line="400" w:lineRule="exact"/>
              <w:jc w:val="left"/>
              <w:textAlignment w:val="center"/>
              <w:rPr>
                <w:rFonts w:ascii="宋体" w:hAnsi="宋体" w:hint="eastAsia"/>
                <w:szCs w:val="24"/>
              </w:rPr>
            </w:pPr>
            <w:r>
              <w:rPr>
                <w:rFonts w:ascii="宋体" w:hAnsi="宋体" w:hint="eastAsia"/>
                <w:szCs w:val="24"/>
              </w:rPr>
              <w:t>浙江天台农村商业银行股份有限公司</w:t>
            </w:r>
            <w:r>
              <w:rPr>
                <w:rFonts w:ascii="宋体" w:hAnsi="宋体" w:hint="eastAsia"/>
                <w:szCs w:val="24"/>
              </w:rPr>
              <w:t>:ZYFCG0261A</w:t>
            </w:r>
          </w:p>
          <w:p w14:paraId="005F7595" w14:textId="77777777" w:rsidR="00D8530A" w:rsidRDefault="00000000">
            <w:pPr>
              <w:widowControl/>
              <w:spacing w:line="400" w:lineRule="exact"/>
              <w:jc w:val="left"/>
              <w:textAlignment w:val="center"/>
              <w:rPr>
                <w:rFonts w:ascii="宋体" w:hAnsi="宋体" w:hint="eastAsia"/>
                <w:szCs w:val="24"/>
              </w:rPr>
            </w:pPr>
            <w:r>
              <w:rPr>
                <w:rFonts w:ascii="宋体" w:hAnsi="宋体" w:hint="eastAsia"/>
                <w:szCs w:val="24"/>
              </w:rPr>
              <w:t>浙江仙居农村商业银行股份有限公司</w:t>
            </w:r>
            <w:r>
              <w:rPr>
                <w:rFonts w:ascii="宋体" w:hAnsi="宋体" w:hint="eastAsia"/>
                <w:szCs w:val="24"/>
              </w:rPr>
              <w:t>:ZYFCG0261A</w:t>
            </w:r>
          </w:p>
          <w:p w14:paraId="591783EF" w14:textId="77777777" w:rsidR="00D8530A" w:rsidRDefault="00000000">
            <w:pPr>
              <w:widowControl/>
              <w:spacing w:line="400" w:lineRule="exact"/>
              <w:jc w:val="left"/>
              <w:textAlignment w:val="center"/>
              <w:rPr>
                <w:rFonts w:ascii="宋体" w:hAnsi="宋体" w:hint="eastAsia"/>
                <w:szCs w:val="24"/>
              </w:rPr>
            </w:pPr>
            <w:r>
              <w:rPr>
                <w:rFonts w:ascii="宋体" w:hAnsi="宋体" w:hint="eastAsia"/>
                <w:szCs w:val="24"/>
              </w:rPr>
              <w:t>浙江温岭农村商业银行股份有限公司</w:t>
            </w:r>
            <w:r>
              <w:rPr>
                <w:rFonts w:ascii="宋体" w:hAnsi="宋体" w:hint="eastAsia"/>
                <w:szCs w:val="24"/>
              </w:rPr>
              <w:t>:ZYFCG0261A</w:t>
            </w:r>
          </w:p>
          <w:p w14:paraId="1471F12E" w14:textId="77777777" w:rsidR="00D8530A" w:rsidRDefault="00000000">
            <w:pPr>
              <w:widowControl/>
              <w:spacing w:line="400" w:lineRule="exact"/>
              <w:jc w:val="left"/>
              <w:textAlignment w:val="center"/>
              <w:rPr>
                <w:rFonts w:ascii="宋体" w:hAnsi="宋体" w:hint="eastAsia"/>
                <w:szCs w:val="24"/>
              </w:rPr>
            </w:pPr>
            <w:r>
              <w:rPr>
                <w:rFonts w:ascii="宋体" w:hAnsi="宋体" w:hint="eastAsia"/>
                <w:szCs w:val="24"/>
              </w:rPr>
              <w:t>浙江开化农村商业银行股份有限公司</w:t>
            </w:r>
            <w:r>
              <w:rPr>
                <w:rFonts w:ascii="宋体" w:hAnsi="宋体" w:hint="eastAsia"/>
                <w:szCs w:val="24"/>
              </w:rPr>
              <w:t>:ZYFCG0261A</w:t>
            </w:r>
          </w:p>
          <w:p w14:paraId="6D65F66E" w14:textId="77777777" w:rsidR="00D8530A" w:rsidRDefault="00000000">
            <w:pPr>
              <w:widowControl/>
              <w:spacing w:line="400" w:lineRule="exact"/>
              <w:jc w:val="left"/>
              <w:textAlignment w:val="center"/>
              <w:rPr>
                <w:rFonts w:ascii="宋体" w:hAnsi="宋体" w:hint="eastAsia"/>
                <w:szCs w:val="24"/>
              </w:rPr>
            </w:pPr>
            <w:r>
              <w:rPr>
                <w:rFonts w:ascii="宋体" w:hAnsi="宋体" w:hint="eastAsia"/>
                <w:szCs w:val="24"/>
              </w:rPr>
              <w:t>浙江杭州余杭农村商业银行股份有限公司</w:t>
            </w:r>
            <w:r>
              <w:rPr>
                <w:rFonts w:ascii="宋体" w:hAnsi="宋体" w:hint="eastAsia"/>
                <w:szCs w:val="24"/>
              </w:rPr>
              <w:t>:ZYFCG0261A</w:t>
            </w:r>
          </w:p>
          <w:p w14:paraId="0CD8D5AE" w14:textId="77777777" w:rsidR="00D8530A" w:rsidRDefault="00000000">
            <w:pPr>
              <w:widowControl/>
              <w:spacing w:line="400" w:lineRule="exact"/>
              <w:jc w:val="left"/>
              <w:textAlignment w:val="center"/>
              <w:rPr>
                <w:rFonts w:ascii="宋体" w:hAnsi="宋体" w:hint="eastAsia"/>
                <w:szCs w:val="24"/>
              </w:rPr>
            </w:pPr>
            <w:r>
              <w:rPr>
                <w:rFonts w:ascii="宋体" w:hAnsi="宋体" w:hint="eastAsia"/>
                <w:szCs w:val="24"/>
              </w:rPr>
              <w:t>浙江云和农村商业银行股份有限公司</w:t>
            </w:r>
            <w:r>
              <w:rPr>
                <w:rFonts w:ascii="宋体" w:hAnsi="宋体" w:hint="eastAsia"/>
                <w:szCs w:val="24"/>
              </w:rPr>
              <w:t>:ZYFCG0261A</w:t>
            </w:r>
          </w:p>
          <w:p w14:paraId="78277F60" w14:textId="77777777" w:rsidR="00D8530A" w:rsidRDefault="00000000">
            <w:pPr>
              <w:widowControl/>
              <w:spacing w:line="400" w:lineRule="exact"/>
              <w:jc w:val="left"/>
              <w:textAlignment w:val="center"/>
              <w:rPr>
                <w:rFonts w:ascii="宋体" w:hAnsi="宋体" w:hint="eastAsia"/>
                <w:szCs w:val="24"/>
              </w:rPr>
            </w:pPr>
            <w:r>
              <w:rPr>
                <w:rFonts w:ascii="宋体" w:hAnsi="宋体" w:hint="eastAsia"/>
                <w:szCs w:val="24"/>
              </w:rPr>
              <w:t>浙江富阳农村商业银行股份有限公司</w:t>
            </w:r>
            <w:r>
              <w:rPr>
                <w:rFonts w:ascii="宋体" w:hAnsi="宋体" w:hint="eastAsia"/>
                <w:szCs w:val="24"/>
              </w:rPr>
              <w:t>:ZYFCG0261A</w:t>
            </w:r>
          </w:p>
          <w:p w14:paraId="695E326F" w14:textId="77777777" w:rsidR="00D8530A" w:rsidRDefault="00000000">
            <w:pPr>
              <w:widowControl/>
              <w:spacing w:line="400" w:lineRule="exact"/>
              <w:jc w:val="left"/>
              <w:textAlignment w:val="center"/>
              <w:rPr>
                <w:rFonts w:ascii="宋体" w:hAnsi="宋体" w:hint="eastAsia"/>
                <w:szCs w:val="24"/>
              </w:rPr>
            </w:pPr>
            <w:r>
              <w:rPr>
                <w:rFonts w:ascii="宋体" w:hAnsi="宋体" w:hint="eastAsia"/>
                <w:szCs w:val="24"/>
              </w:rPr>
              <w:t>浙江嵊州农村商业银行股份有限公司</w:t>
            </w:r>
            <w:r>
              <w:rPr>
                <w:rFonts w:ascii="宋体" w:hAnsi="宋体" w:hint="eastAsia"/>
                <w:szCs w:val="24"/>
              </w:rPr>
              <w:t>:ZYFCG0261A</w:t>
            </w:r>
          </w:p>
          <w:p w14:paraId="04EA9C47" w14:textId="77777777" w:rsidR="00D8530A" w:rsidRDefault="00000000">
            <w:pPr>
              <w:widowControl/>
              <w:spacing w:line="400" w:lineRule="exact"/>
              <w:jc w:val="left"/>
              <w:textAlignment w:val="center"/>
              <w:rPr>
                <w:rFonts w:ascii="宋体" w:hAnsi="宋体" w:hint="eastAsia"/>
                <w:szCs w:val="24"/>
              </w:rPr>
            </w:pPr>
            <w:r>
              <w:rPr>
                <w:rFonts w:ascii="宋体" w:hAnsi="宋体" w:hint="eastAsia"/>
                <w:szCs w:val="24"/>
              </w:rPr>
              <w:t>浙江舟山普陀农村商业银行股份有限公司</w:t>
            </w:r>
            <w:r>
              <w:rPr>
                <w:rFonts w:ascii="宋体" w:hAnsi="宋体" w:hint="eastAsia"/>
                <w:szCs w:val="24"/>
              </w:rPr>
              <w:t>:ZYFCG0261A</w:t>
            </w:r>
          </w:p>
          <w:p w14:paraId="0C84A391" w14:textId="77777777" w:rsidR="00D8530A" w:rsidRDefault="00000000">
            <w:pPr>
              <w:widowControl/>
              <w:spacing w:line="400" w:lineRule="exact"/>
              <w:jc w:val="left"/>
              <w:textAlignment w:val="center"/>
              <w:rPr>
                <w:rFonts w:ascii="宋体" w:hAnsi="宋体" w:hint="eastAsia"/>
                <w:szCs w:val="24"/>
              </w:rPr>
            </w:pPr>
            <w:r>
              <w:rPr>
                <w:rFonts w:ascii="宋体" w:hAnsi="宋体" w:hint="eastAsia"/>
                <w:szCs w:val="24"/>
              </w:rPr>
              <w:t>浙江庆元农村商业银行股份有限公司</w:t>
            </w:r>
            <w:r>
              <w:rPr>
                <w:rFonts w:ascii="宋体" w:hAnsi="宋体" w:hint="eastAsia"/>
                <w:szCs w:val="24"/>
              </w:rPr>
              <w:t>:ZYFCG0261A</w:t>
            </w:r>
          </w:p>
          <w:p w14:paraId="71ADB81E" w14:textId="77777777" w:rsidR="00D8530A" w:rsidRDefault="00000000">
            <w:pPr>
              <w:widowControl/>
              <w:spacing w:line="400" w:lineRule="exact"/>
              <w:jc w:val="left"/>
              <w:textAlignment w:val="center"/>
              <w:rPr>
                <w:rFonts w:ascii="宋体" w:hAnsi="宋体" w:hint="eastAsia"/>
                <w:szCs w:val="24"/>
              </w:rPr>
            </w:pPr>
            <w:r>
              <w:rPr>
                <w:rFonts w:ascii="宋体" w:hAnsi="宋体" w:hint="eastAsia"/>
                <w:szCs w:val="24"/>
              </w:rPr>
              <w:t>浙江永嘉农村商业银行股份有限公司</w:t>
            </w:r>
            <w:r>
              <w:rPr>
                <w:rFonts w:ascii="宋体" w:hAnsi="宋体" w:hint="eastAsia"/>
                <w:szCs w:val="24"/>
              </w:rPr>
              <w:t>:ZYFCG0261A</w:t>
            </w:r>
          </w:p>
          <w:p w14:paraId="140574CE" w14:textId="77777777" w:rsidR="00D8530A" w:rsidRDefault="00000000">
            <w:pPr>
              <w:widowControl/>
              <w:spacing w:line="400" w:lineRule="exact"/>
              <w:jc w:val="left"/>
              <w:textAlignment w:val="center"/>
              <w:rPr>
                <w:rFonts w:ascii="宋体" w:hAnsi="宋体" w:hint="eastAsia"/>
                <w:szCs w:val="24"/>
              </w:rPr>
            </w:pPr>
            <w:r>
              <w:rPr>
                <w:rFonts w:ascii="宋体" w:hAnsi="宋体" w:hint="eastAsia"/>
                <w:szCs w:val="24"/>
              </w:rPr>
              <w:t>宁波北仑农村商业银行股份有限公司</w:t>
            </w:r>
            <w:r>
              <w:rPr>
                <w:rFonts w:ascii="宋体" w:hAnsi="宋体" w:hint="eastAsia"/>
                <w:szCs w:val="24"/>
              </w:rPr>
              <w:t>:ZYFCG0261A</w:t>
            </w:r>
          </w:p>
          <w:p w14:paraId="7312F45E" w14:textId="77777777" w:rsidR="00D8530A" w:rsidRDefault="00000000">
            <w:pPr>
              <w:widowControl/>
              <w:spacing w:line="400" w:lineRule="exact"/>
              <w:jc w:val="left"/>
              <w:textAlignment w:val="center"/>
              <w:rPr>
                <w:rFonts w:ascii="宋体" w:hAnsi="宋体" w:hint="eastAsia"/>
                <w:szCs w:val="24"/>
              </w:rPr>
            </w:pPr>
            <w:r>
              <w:rPr>
                <w:rFonts w:ascii="宋体" w:hAnsi="宋体" w:hint="eastAsia"/>
                <w:szCs w:val="24"/>
              </w:rPr>
              <w:t>浙江青田农村商业银行股份有限公司</w:t>
            </w:r>
            <w:r>
              <w:rPr>
                <w:rFonts w:ascii="宋体" w:hAnsi="宋体" w:hint="eastAsia"/>
                <w:szCs w:val="24"/>
              </w:rPr>
              <w:t>:ZYFCG0261A</w:t>
            </w:r>
          </w:p>
          <w:p w14:paraId="12BC854E" w14:textId="77777777" w:rsidR="00D8530A" w:rsidRDefault="00000000">
            <w:pPr>
              <w:widowControl/>
              <w:spacing w:line="400" w:lineRule="exact"/>
              <w:jc w:val="left"/>
              <w:textAlignment w:val="center"/>
              <w:rPr>
                <w:rFonts w:ascii="宋体" w:hAnsi="宋体" w:hint="eastAsia"/>
                <w:szCs w:val="24"/>
              </w:rPr>
            </w:pPr>
            <w:r>
              <w:rPr>
                <w:rFonts w:ascii="宋体" w:hAnsi="宋体" w:hint="eastAsia"/>
                <w:szCs w:val="24"/>
              </w:rPr>
              <w:t>浙江玉环农村商业银行股份有限公司</w:t>
            </w:r>
            <w:r>
              <w:rPr>
                <w:rFonts w:ascii="宋体" w:hAnsi="宋体" w:hint="eastAsia"/>
                <w:szCs w:val="24"/>
              </w:rPr>
              <w:t>:ZYFCG0261B</w:t>
            </w:r>
          </w:p>
          <w:p w14:paraId="139FE74D" w14:textId="77777777" w:rsidR="00D8530A" w:rsidRDefault="00000000">
            <w:pPr>
              <w:widowControl/>
              <w:spacing w:line="400" w:lineRule="exact"/>
              <w:jc w:val="left"/>
              <w:textAlignment w:val="center"/>
              <w:rPr>
                <w:rFonts w:ascii="宋体" w:hAnsi="宋体" w:hint="eastAsia"/>
                <w:szCs w:val="24"/>
              </w:rPr>
            </w:pPr>
            <w:r>
              <w:rPr>
                <w:rFonts w:ascii="宋体" w:hAnsi="宋体" w:hint="eastAsia"/>
                <w:szCs w:val="24"/>
              </w:rPr>
              <w:t>浙江岱山农村商业银行股份有限公司</w:t>
            </w:r>
            <w:r>
              <w:rPr>
                <w:rFonts w:ascii="宋体" w:hAnsi="宋体" w:hint="eastAsia"/>
                <w:szCs w:val="24"/>
              </w:rPr>
              <w:t>:ZYFCG0261B</w:t>
            </w:r>
          </w:p>
          <w:p w14:paraId="4609E712" w14:textId="77777777" w:rsidR="00D8530A" w:rsidRDefault="00000000">
            <w:pPr>
              <w:widowControl/>
              <w:spacing w:line="400" w:lineRule="exact"/>
              <w:jc w:val="left"/>
              <w:textAlignment w:val="center"/>
              <w:rPr>
                <w:rFonts w:ascii="宋体" w:hAnsi="宋体" w:hint="eastAsia"/>
                <w:szCs w:val="24"/>
              </w:rPr>
            </w:pPr>
            <w:r>
              <w:rPr>
                <w:rFonts w:ascii="宋体" w:hAnsi="宋体" w:hint="eastAsia"/>
                <w:szCs w:val="24"/>
              </w:rPr>
              <w:t>浙江衢州衢江农村商业银行股份有限公司</w:t>
            </w:r>
            <w:r>
              <w:rPr>
                <w:rFonts w:ascii="宋体" w:hAnsi="宋体" w:hint="eastAsia"/>
                <w:szCs w:val="24"/>
              </w:rPr>
              <w:t>:ZYFCG0261B</w:t>
            </w:r>
          </w:p>
          <w:p w14:paraId="68DADF96" w14:textId="77777777" w:rsidR="00D8530A" w:rsidRDefault="00000000">
            <w:pPr>
              <w:widowControl/>
              <w:spacing w:line="400" w:lineRule="exact"/>
              <w:jc w:val="left"/>
              <w:textAlignment w:val="center"/>
              <w:rPr>
                <w:rFonts w:ascii="宋体" w:hAnsi="宋体" w:hint="eastAsia"/>
                <w:szCs w:val="24"/>
              </w:rPr>
            </w:pPr>
            <w:r>
              <w:rPr>
                <w:rFonts w:ascii="宋体" w:hAnsi="宋体" w:hint="eastAsia"/>
                <w:szCs w:val="24"/>
              </w:rPr>
              <w:t>浙江禾城农村商业银行股份有限公司</w:t>
            </w:r>
            <w:r>
              <w:rPr>
                <w:rFonts w:ascii="宋体" w:hAnsi="宋体" w:hint="eastAsia"/>
                <w:szCs w:val="24"/>
              </w:rPr>
              <w:t>:ZYFCG0261B</w:t>
            </w:r>
          </w:p>
          <w:p w14:paraId="6A385C81" w14:textId="77777777" w:rsidR="00D8530A" w:rsidRDefault="00000000">
            <w:pPr>
              <w:widowControl/>
              <w:spacing w:line="400" w:lineRule="exact"/>
              <w:jc w:val="left"/>
              <w:textAlignment w:val="center"/>
              <w:rPr>
                <w:rFonts w:ascii="宋体" w:hAnsi="宋体" w:hint="eastAsia"/>
                <w:szCs w:val="24"/>
              </w:rPr>
            </w:pPr>
            <w:r>
              <w:rPr>
                <w:rFonts w:ascii="宋体" w:hAnsi="宋体" w:hint="eastAsia"/>
                <w:szCs w:val="24"/>
              </w:rPr>
              <w:t>浙江舟山普陀农村商业银行股份有限公司</w:t>
            </w:r>
            <w:r>
              <w:rPr>
                <w:rFonts w:ascii="宋体" w:hAnsi="宋体" w:hint="eastAsia"/>
                <w:szCs w:val="24"/>
              </w:rPr>
              <w:t>:ZYFCG0261B</w:t>
            </w:r>
          </w:p>
          <w:p w14:paraId="7D798D28" w14:textId="77777777" w:rsidR="00D8530A" w:rsidRDefault="00000000">
            <w:pPr>
              <w:widowControl/>
              <w:spacing w:line="400" w:lineRule="exact"/>
              <w:jc w:val="left"/>
              <w:textAlignment w:val="center"/>
              <w:rPr>
                <w:rFonts w:ascii="宋体" w:hAnsi="宋体" w:hint="eastAsia"/>
                <w:szCs w:val="24"/>
              </w:rPr>
            </w:pPr>
            <w:r>
              <w:rPr>
                <w:rFonts w:ascii="宋体" w:hAnsi="宋体" w:hint="eastAsia"/>
                <w:szCs w:val="24"/>
              </w:rPr>
              <w:t>浙江平湖农村商业银行股份有限公司</w:t>
            </w:r>
            <w:r>
              <w:rPr>
                <w:rFonts w:ascii="宋体" w:hAnsi="宋体" w:hint="eastAsia"/>
                <w:szCs w:val="24"/>
              </w:rPr>
              <w:t>:ZYFCG0261B</w:t>
            </w:r>
          </w:p>
          <w:p w14:paraId="7BEF1148" w14:textId="77777777" w:rsidR="00D8530A" w:rsidRDefault="00000000">
            <w:pPr>
              <w:widowControl/>
              <w:spacing w:line="400" w:lineRule="exact"/>
              <w:jc w:val="left"/>
              <w:textAlignment w:val="center"/>
              <w:rPr>
                <w:rFonts w:ascii="宋体" w:hAnsi="宋体" w:hint="eastAsia"/>
                <w:szCs w:val="24"/>
              </w:rPr>
            </w:pPr>
            <w:r>
              <w:rPr>
                <w:rFonts w:ascii="宋体" w:hAnsi="宋体" w:hint="eastAsia"/>
                <w:szCs w:val="24"/>
              </w:rPr>
              <w:t>浙江海盐农村商业银行股份有限公司</w:t>
            </w:r>
            <w:r>
              <w:rPr>
                <w:rFonts w:ascii="宋体" w:hAnsi="宋体" w:hint="eastAsia"/>
                <w:szCs w:val="24"/>
              </w:rPr>
              <w:t>:ZYFCG0261B</w:t>
            </w:r>
          </w:p>
          <w:p w14:paraId="33B30A49" w14:textId="77777777" w:rsidR="00D8530A" w:rsidRDefault="00000000">
            <w:pPr>
              <w:widowControl/>
              <w:spacing w:line="400" w:lineRule="exact"/>
              <w:jc w:val="left"/>
              <w:textAlignment w:val="center"/>
              <w:rPr>
                <w:rFonts w:ascii="宋体" w:hAnsi="宋体" w:hint="eastAsia"/>
                <w:szCs w:val="24"/>
              </w:rPr>
            </w:pPr>
            <w:r>
              <w:rPr>
                <w:rFonts w:ascii="宋体" w:hAnsi="宋体" w:hint="eastAsia"/>
                <w:szCs w:val="24"/>
              </w:rPr>
              <w:t>浙江萧山农村商业银行股份有限公司</w:t>
            </w:r>
            <w:r>
              <w:rPr>
                <w:rFonts w:ascii="宋体" w:hAnsi="宋体" w:hint="eastAsia"/>
                <w:szCs w:val="24"/>
              </w:rPr>
              <w:t>:ZYFCG0261B</w:t>
            </w:r>
          </w:p>
          <w:p w14:paraId="70013D17" w14:textId="77777777" w:rsidR="00D8530A" w:rsidRDefault="00000000">
            <w:pPr>
              <w:widowControl/>
              <w:spacing w:line="400" w:lineRule="exact"/>
              <w:jc w:val="left"/>
              <w:textAlignment w:val="center"/>
              <w:rPr>
                <w:rFonts w:ascii="宋体" w:hAnsi="宋体" w:hint="eastAsia"/>
                <w:szCs w:val="24"/>
              </w:rPr>
            </w:pPr>
            <w:r>
              <w:rPr>
                <w:rFonts w:ascii="宋体" w:hAnsi="宋体" w:hint="eastAsia"/>
                <w:szCs w:val="24"/>
              </w:rPr>
              <w:t>浙江嵊泗农村商业银行股份有限公司</w:t>
            </w:r>
            <w:r>
              <w:rPr>
                <w:rFonts w:ascii="宋体" w:hAnsi="宋体" w:hint="eastAsia"/>
                <w:szCs w:val="24"/>
              </w:rPr>
              <w:t>:ZYFCG0261B</w:t>
            </w:r>
          </w:p>
          <w:p w14:paraId="653DBB3A" w14:textId="77777777" w:rsidR="00D8530A" w:rsidRDefault="00000000">
            <w:pPr>
              <w:widowControl/>
              <w:spacing w:line="400" w:lineRule="exact"/>
              <w:jc w:val="left"/>
              <w:textAlignment w:val="center"/>
              <w:rPr>
                <w:rFonts w:ascii="宋体" w:hAnsi="宋体" w:hint="eastAsia"/>
                <w:szCs w:val="24"/>
              </w:rPr>
            </w:pPr>
            <w:r>
              <w:rPr>
                <w:rFonts w:ascii="宋体" w:hAnsi="宋体" w:hint="eastAsia"/>
                <w:szCs w:val="24"/>
              </w:rPr>
              <w:t>浙江台州椒江农村商业银行股份有限公司</w:t>
            </w:r>
            <w:r>
              <w:rPr>
                <w:rFonts w:ascii="宋体" w:hAnsi="宋体" w:hint="eastAsia"/>
                <w:szCs w:val="24"/>
              </w:rPr>
              <w:t>:ZYFCG0261B</w:t>
            </w:r>
          </w:p>
          <w:p w14:paraId="21B5D5B9" w14:textId="77777777" w:rsidR="00D8530A" w:rsidRDefault="00000000">
            <w:pPr>
              <w:widowControl/>
              <w:spacing w:line="400" w:lineRule="exact"/>
              <w:jc w:val="left"/>
              <w:textAlignment w:val="center"/>
              <w:rPr>
                <w:rFonts w:ascii="宋体" w:hAnsi="宋体" w:hint="eastAsia"/>
                <w:szCs w:val="24"/>
              </w:rPr>
            </w:pPr>
            <w:r>
              <w:rPr>
                <w:rFonts w:ascii="宋体" w:hAnsi="宋体" w:hint="eastAsia"/>
                <w:szCs w:val="24"/>
              </w:rPr>
              <w:lastRenderedPageBreak/>
              <w:t>浙江台州黄岩农村商业银行股份有限公司</w:t>
            </w:r>
            <w:r>
              <w:rPr>
                <w:rFonts w:ascii="宋体" w:hAnsi="宋体" w:hint="eastAsia"/>
                <w:szCs w:val="24"/>
              </w:rPr>
              <w:t>:ZYFCG0261B</w:t>
            </w:r>
          </w:p>
          <w:p w14:paraId="3E68EDF5" w14:textId="77777777" w:rsidR="00D8530A" w:rsidRDefault="00000000">
            <w:pPr>
              <w:widowControl/>
              <w:spacing w:line="400" w:lineRule="exact"/>
              <w:jc w:val="left"/>
              <w:textAlignment w:val="center"/>
              <w:rPr>
                <w:rFonts w:ascii="宋体" w:hAnsi="宋体" w:hint="eastAsia"/>
                <w:szCs w:val="24"/>
              </w:rPr>
            </w:pPr>
            <w:r>
              <w:rPr>
                <w:rFonts w:ascii="宋体" w:hAnsi="宋体" w:hint="eastAsia"/>
                <w:szCs w:val="24"/>
              </w:rPr>
              <w:t>浙江诸暨农村商业银行股份有限公司</w:t>
            </w:r>
            <w:r>
              <w:rPr>
                <w:rFonts w:ascii="宋体" w:hAnsi="宋体" w:hint="eastAsia"/>
                <w:szCs w:val="24"/>
              </w:rPr>
              <w:t>:ZYFCG0261B</w:t>
            </w:r>
          </w:p>
          <w:p w14:paraId="0E40255A" w14:textId="77777777" w:rsidR="00D8530A" w:rsidRDefault="00000000">
            <w:pPr>
              <w:widowControl/>
              <w:spacing w:line="400" w:lineRule="exact"/>
              <w:jc w:val="left"/>
              <w:textAlignment w:val="center"/>
              <w:rPr>
                <w:rFonts w:ascii="宋体" w:hAnsi="宋体" w:hint="eastAsia"/>
                <w:szCs w:val="24"/>
              </w:rPr>
            </w:pPr>
            <w:r>
              <w:rPr>
                <w:rFonts w:ascii="宋体" w:hAnsi="宋体" w:hint="eastAsia"/>
                <w:szCs w:val="24"/>
              </w:rPr>
              <w:t>浙江东阳农村商业银行股份有限公司</w:t>
            </w:r>
            <w:r>
              <w:rPr>
                <w:rFonts w:ascii="宋体" w:hAnsi="宋体" w:hint="eastAsia"/>
                <w:szCs w:val="24"/>
              </w:rPr>
              <w:t>:ZYFCG0261B</w:t>
            </w:r>
          </w:p>
          <w:p w14:paraId="1AF81FD4" w14:textId="77777777" w:rsidR="00D8530A" w:rsidRDefault="00000000">
            <w:pPr>
              <w:widowControl/>
              <w:spacing w:line="400" w:lineRule="exact"/>
              <w:jc w:val="left"/>
              <w:textAlignment w:val="center"/>
              <w:rPr>
                <w:rFonts w:ascii="宋体" w:hAnsi="宋体" w:hint="eastAsia"/>
                <w:szCs w:val="24"/>
              </w:rPr>
            </w:pPr>
            <w:r>
              <w:rPr>
                <w:rFonts w:ascii="宋体" w:hAnsi="宋体" w:hint="eastAsia"/>
                <w:szCs w:val="24"/>
              </w:rPr>
              <w:t>浙江桐庐农村商业银行股份有限公司</w:t>
            </w:r>
            <w:r>
              <w:rPr>
                <w:rFonts w:ascii="宋体" w:hAnsi="宋体" w:hint="eastAsia"/>
                <w:szCs w:val="24"/>
              </w:rPr>
              <w:t>:ZYFCG0261B</w:t>
            </w:r>
          </w:p>
          <w:p w14:paraId="27C56A10" w14:textId="77777777" w:rsidR="00D8530A" w:rsidRDefault="00000000">
            <w:pPr>
              <w:widowControl/>
              <w:spacing w:line="400" w:lineRule="exact"/>
              <w:jc w:val="left"/>
              <w:textAlignment w:val="center"/>
              <w:rPr>
                <w:rFonts w:ascii="宋体" w:hAnsi="宋体" w:hint="eastAsia"/>
                <w:szCs w:val="24"/>
              </w:rPr>
            </w:pPr>
            <w:r>
              <w:rPr>
                <w:rFonts w:ascii="宋体" w:hAnsi="宋体" w:hint="eastAsia"/>
                <w:szCs w:val="24"/>
              </w:rPr>
              <w:t>浙江舟山定海海洋农村商业银行股份有限公司</w:t>
            </w:r>
            <w:r>
              <w:rPr>
                <w:rFonts w:ascii="宋体" w:hAnsi="宋体" w:hint="eastAsia"/>
                <w:szCs w:val="24"/>
              </w:rPr>
              <w:t>:ZYFCG0261B</w:t>
            </w:r>
          </w:p>
          <w:p w14:paraId="76EEDF96" w14:textId="77777777" w:rsidR="00D8530A" w:rsidRDefault="00000000">
            <w:pPr>
              <w:widowControl/>
              <w:spacing w:line="400" w:lineRule="exact"/>
              <w:jc w:val="left"/>
              <w:textAlignment w:val="center"/>
              <w:rPr>
                <w:rFonts w:ascii="宋体" w:hAnsi="宋体" w:hint="eastAsia"/>
                <w:szCs w:val="24"/>
              </w:rPr>
            </w:pPr>
            <w:r>
              <w:rPr>
                <w:rFonts w:ascii="宋体" w:hAnsi="宋体" w:hint="eastAsia"/>
                <w:szCs w:val="24"/>
              </w:rPr>
              <w:t>宁波象山农村商业银行股份有限公司</w:t>
            </w:r>
            <w:r>
              <w:rPr>
                <w:rFonts w:ascii="宋体" w:hAnsi="宋体" w:hint="eastAsia"/>
                <w:szCs w:val="24"/>
              </w:rPr>
              <w:t>:ZYFCG0261B</w:t>
            </w:r>
          </w:p>
          <w:p w14:paraId="54530BE0" w14:textId="77777777" w:rsidR="00D8530A" w:rsidRDefault="00000000">
            <w:pPr>
              <w:widowControl/>
              <w:spacing w:line="400" w:lineRule="exact"/>
              <w:jc w:val="left"/>
              <w:textAlignment w:val="center"/>
              <w:rPr>
                <w:rFonts w:ascii="宋体" w:hAnsi="宋体" w:hint="eastAsia"/>
                <w:szCs w:val="24"/>
              </w:rPr>
            </w:pPr>
            <w:r>
              <w:rPr>
                <w:rFonts w:ascii="宋体" w:hAnsi="宋体" w:hint="eastAsia"/>
                <w:szCs w:val="24"/>
              </w:rPr>
              <w:t>浙江松阳农村商业银行股份有限公司</w:t>
            </w:r>
            <w:r>
              <w:rPr>
                <w:rFonts w:ascii="宋体" w:hAnsi="宋体" w:hint="eastAsia"/>
                <w:szCs w:val="24"/>
              </w:rPr>
              <w:t>:ZYFCG0261C</w:t>
            </w:r>
          </w:p>
          <w:p w14:paraId="016DC4A7" w14:textId="77777777" w:rsidR="00D8530A" w:rsidRDefault="00000000">
            <w:pPr>
              <w:widowControl/>
              <w:spacing w:line="400" w:lineRule="exact"/>
              <w:jc w:val="left"/>
              <w:textAlignment w:val="center"/>
              <w:rPr>
                <w:rFonts w:ascii="宋体" w:hAnsi="宋体" w:hint="eastAsia"/>
                <w:szCs w:val="24"/>
              </w:rPr>
            </w:pPr>
            <w:r>
              <w:rPr>
                <w:rFonts w:ascii="宋体" w:hAnsi="宋体" w:hint="eastAsia"/>
                <w:szCs w:val="24"/>
              </w:rPr>
              <w:t>浙江临安农村商业银行股份有限公司</w:t>
            </w:r>
            <w:r>
              <w:rPr>
                <w:rFonts w:ascii="宋体" w:hAnsi="宋体" w:hint="eastAsia"/>
                <w:szCs w:val="24"/>
              </w:rPr>
              <w:t>:ZYFCG0261C</w:t>
            </w:r>
          </w:p>
          <w:p w14:paraId="0A1EF34F" w14:textId="77777777" w:rsidR="00D8530A" w:rsidRDefault="00000000">
            <w:pPr>
              <w:widowControl/>
              <w:spacing w:line="400" w:lineRule="exact"/>
              <w:jc w:val="left"/>
              <w:textAlignment w:val="center"/>
              <w:rPr>
                <w:rFonts w:ascii="宋体" w:hAnsi="宋体" w:hint="eastAsia"/>
                <w:szCs w:val="24"/>
              </w:rPr>
            </w:pPr>
            <w:r>
              <w:rPr>
                <w:rFonts w:ascii="宋体" w:hAnsi="宋体" w:hint="eastAsia"/>
                <w:szCs w:val="24"/>
              </w:rPr>
              <w:t>浙江三门农村商业银行股份有限公司</w:t>
            </w:r>
            <w:r>
              <w:rPr>
                <w:rFonts w:ascii="宋体" w:hAnsi="宋体" w:hint="eastAsia"/>
                <w:szCs w:val="24"/>
              </w:rPr>
              <w:t>:ZYFCG0261C</w:t>
            </w:r>
          </w:p>
          <w:p w14:paraId="274E823C" w14:textId="77777777" w:rsidR="00D8530A" w:rsidRDefault="00000000">
            <w:pPr>
              <w:widowControl/>
              <w:spacing w:line="400" w:lineRule="exact"/>
              <w:jc w:val="left"/>
              <w:textAlignment w:val="center"/>
              <w:rPr>
                <w:rFonts w:ascii="宋体" w:hAnsi="宋体" w:hint="eastAsia"/>
                <w:szCs w:val="24"/>
              </w:rPr>
            </w:pPr>
            <w:r>
              <w:rPr>
                <w:rFonts w:ascii="宋体" w:hAnsi="宋体" w:hint="eastAsia"/>
                <w:szCs w:val="24"/>
              </w:rPr>
              <w:t>浙江金华成泰农村商业银行股份有限公司</w:t>
            </w:r>
            <w:r>
              <w:rPr>
                <w:rFonts w:ascii="宋体" w:hAnsi="宋体" w:hint="eastAsia"/>
                <w:szCs w:val="24"/>
              </w:rPr>
              <w:t>:ZYFCG0261C</w:t>
            </w:r>
          </w:p>
          <w:p w14:paraId="6AFEA8DE" w14:textId="77777777" w:rsidR="00D8530A" w:rsidRDefault="00000000">
            <w:pPr>
              <w:widowControl/>
              <w:spacing w:line="400" w:lineRule="exact"/>
              <w:jc w:val="left"/>
              <w:textAlignment w:val="center"/>
              <w:rPr>
                <w:rFonts w:ascii="宋体" w:hAnsi="宋体" w:hint="eastAsia"/>
                <w:szCs w:val="24"/>
              </w:rPr>
            </w:pPr>
            <w:r>
              <w:rPr>
                <w:rFonts w:ascii="宋体" w:hAnsi="宋体" w:hint="eastAsia"/>
                <w:szCs w:val="24"/>
              </w:rPr>
              <w:t>浙江温岭农村商业银行股份有限公司</w:t>
            </w:r>
            <w:r>
              <w:rPr>
                <w:rFonts w:ascii="宋体" w:hAnsi="宋体" w:hint="eastAsia"/>
                <w:szCs w:val="24"/>
              </w:rPr>
              <w:t>:ZYFCG0261C</w:t>
            </w:r>
          </w:p>
          <w:p w14:paraId="38F61A72" w14:textId="77777777" w:rsidR="00D8530A" w:rsidRDefault="00000000">
            <w:pPr>
              <w:widowControl/>
              <w:spacing w:line="400" w:lineRule="exact"/>
              <w:jc w:val="left"/>
              <w:textAlignment w:val="center"/>
              <w:rPr>
                <w:rFonts w:ascii="宋体" w:hAnsi="宋体" w:hint="eastAsia"/>
                <w:szCs w:val="24"/>
              </w:rPr>
            </w:pPr>
            <w:r>
              <w:rPr>
                <w:rFonts w:ascii="宋体" w:hAnsi="宋体" w:hint="eastAsia"/>
                <w:szCs w:val="24"/>
              </w:rPr>
              <w:t>浙江新昌农村商业银行股份有限公司</w:t>
            </w:r>
            <w:r>
              <w:rPr>
                <w:rFonts w:ascii="宋体" w:hAnsi="宋体" w:hint="eastAsia"/>
                <w:szCs w:val="24"/>
              </w:rPr>
              <w:t>:ZYFCG0261C</w:t>
            </w:r>
          </w:p>
          <w:p w14:paraId="3DBC0A58" w14:textId="77777777" w:rsidR="00D8530A" w:rsidRDefault="00000000">
            <w:pPr>
              <w:widowControl/>
              <w:spacing w:line="400" w:lineRule="exact"/>
              <w:jc w:val="left"/>
              <w:textAlignment w:val="center"/>
              <w:rPr>
                <w:rFonts w:ascii="宋体" w:hAnsi="宋体" w:hint="eastAsia"/>
                <w:szCs w:val="24"/>
              </w:rPr>
            </w:pPr>
            <w:r>
              <w:rPr>
                <w:rFonts w:ascii="宋体" w:hAnsi="宋体" w:hint="eastAsia"/>
                <w:szCs w:val="24"/>
              </w:rPr>
              <w:t>浙江绍兴恒信农村商业银行股份有限公司</w:t>
            </w:r>
            <w:r>
              <w:rPr>
                <w:rFonts w:ascii="宋体" w:hAnsi="宋体" w:hint="eastAsia"/>
                <w:szCs w:val="24"/>
              </w:rPr>
              <w:t>:ZYFCG0261C</w:t>
            </w:r>
          </w:p>
          <w:p w14:paraId="6E6A29CF" w14:textId="77777777" w:rsidR="00D8530A" w:rsidRDefault="00000000">
            <w:pPr>
              <w:widowControl/>
              <w:spacing w:line="400" w:lineRule="exact"/>
              <w:jc w:val="left"/>
              <w:textAlignment w:val="center"/>
              <w:rPr>
                <w:rFonts w:ascii="宋体" w:hAnsi="宋体" w:hint="eastAsia"/>
                <w:szCs w:val="24"/>
              </w:rPr>
            </w:pPr>
            <w:r>
              <w:rPr>
                <w:rFonts w:ascii="宋体" w:hAnsi="宋体" w:hint="eastAsia"/>
                <w:szCs w:val="24"/>
              </w:rPr>
              <w:t>浙江德清农村商业银行股份有限公司</w:t>
            </w:r>
            <w:r>
              <w:rPr>
                <w:rFonts w:ascii="宋体" w:hAnsi="宋体" w:hint="eastAsia"/>
                <w:szCs w:val="24"/>
              </w:rPr>
              <w:t>:ZYFCG0261C</w:t>
            </w:r>
          </w:p>
          <w:p w14:paraId="528A4C40" w14:textId="77777777" w:rsidR="00D8530A" w:rsidRDefault="00000000">
            <w:pPr>
              <w:widowControl/>
              <w:spacing w:line="400" w:lineRule="exact"/>
              <w:jc w:val="left"/>
              <w:textAlignment w:val="center"/>
              <w:rPr>
                <w:rFonts w:ascii="宋体" w:hAnsi="宋体" w:hint="eastAsia"/>
                <w:szCs w:val="24"/>
              </w:rPr>
            </w:pPr>
            <w:r>
              <w:rPr>
                <w:rFonts w:ascii="宋体" w:hAnsi="宋体" w:hint="eastAsia"/>
                <w:szCs w:val="24"/>
              </w:rPr>
              <w:t>浙江建德农村商业银行股份有限公司</w:t>
            </w:r>
            <w:r>
              <w:rPr>
                <w:rFonts w:ascii="宋体" w:hAnsi="宋体" w:hint="eastAsia"/>
                <w:szCs w:val="24"/>
              </w:rPr>
              <w:t>:ZYFCG0261C</w:t>
            </w:r>
          </w:p>
          <w:p w14:paraId="4672CC56" w14:textId="77777777" w:rsidR="00D8530A" w:rsidRDefault="00000000">
            <w:pPr>
              <w:widowControl/>
              <w:spacing w:line="400" w:lineRule="exact"/>
              <w:jc w:val="left"/>
              <w:textAlignment w:val="center"/>
              <w:rPr>
                <w:rFonts w:ascii="宋体" w:hAnsi="宋体" w:hint="eastAsia"/>
                <w:szCs w:val="24"/>
              </w:rPr>
            </w:pPr>
            <w:r>
              <w:rPr>
                <w:rFonts w:ascii="宋体" w:hAnsi="宋体" w:hint="eastAsia"/>
                <w:szCs w:val="24"/>
              </w:rPr>
              <w:t>浙江上虞农村商业银行股份有限公司</w:t>
            </w:r>
            <w:r>
              <w:rPr>
                <w:rFonts w:ascii="宋体" w:hAnsi="宋体" w:hint="eastAsia"/>
                <w:szCs w:val="24"/>
              </w:rPr>
              <w:t>:ZYFCG0261C</w:t>
            </w:r>
          </w:p>
          <w:p w14:paraId="52B7423A" w14:textId="77777777" w:rsidR="00D8530A" w:rsidRDefault="00000000">
            <w:pPr>
              <w:widowControl/>
              <w:spacing w:line="400" w:lineRule="exact"/>
              <w:jc w:val="left"/>
              <w:textAlignment w:val="center"/>
              <w:rPr>
                <w:rFonts w:ascii="宋体" w:hAnsi="宋体" w:hint="eastAsia"/>
                <w:szCs w:val="24"/>
              </w:rPr>
            </w:pPr>
            <w:r>
              <w:rPr>
                <w:rFonts w:ascii="宋体" w:hAnsi="宋体" w:hint="eastAsia"/>
                <w:szCs w:val="24"/>
              </w:rPr>
              <w:t>中原银行股份有限公司</w:t>
            </w:r>
            <w:r>
              <w:rPr>
                <w:rFonts w:ascii="宋体" w:hAnsi="宋体" w:hint="eastAsia"/>
                <w:szCs w:val="24"/>
              </w:rPr>
              <w:t>:ZYFCG0261C</w:t>
            </w:r>
          </w:p>
          <w:p w14:paraId="4A1596CC" w14:textId="77777777" w:rsidR="00D8530A" w:rsidRDefault="00000000">
            <w:pPr>
              <w:widowControl/>
              <w:spacing w:line="400" w:lineRule="exact"/>
              <w:jc w:val="left"/>
              <w:textAlignment w:val="center"/>
              <w:rPr>
                <w:rFonts w:ascii="宋体" w:hAnsi="宋体" w:hint="eastAsia"/>
                <w:szCs w:val="24"/>
              </w:rPr>
            </w:pPr>
            <w:r>
              <w:rPr>
                <w:rFonts w:ascii="宋体" w:hAnsi="宋体" w:hint="eastAsia"/>
                <w:szCs w:val="24"/>
              </w:rPr>
              <w:t>浙江台州路桥农村商业银行股份有限公司</w:t>
            </w:r>
            <w:r>
              <w:rPr>
                <w:rFonts w:ascii="宋体" w:hAnsi="宋体" w:hint="eastAsia"/>
                <w:szCs w:val="24"/>
              </w:rPr>
              <w:t>:ZYFCG0261C</w:t>
            </w:r>
          </w:p>
          <w:p w14:paraId="03D95C38" w14:textId="77777777" w:rsidR="00D8530A" w:rsidRDefault="00000000">
            <w:pPr>
              <w:widowControl/>
              <w:spacing w:line="400" w:lineRule="exact"/>
              <w:jc w:val="left"/>
              <w:textAlignment w:val="center"/>
              <w:rPr>
                <w:rFonts w:ascii="宋体" w:hAnsi="宋体" w:hint="eastAsia"/>
                <w:szCs w:val="24"/>
              </w:rPr>
            </w:pPr>
            <w:r>
              <w:rPr>
                <w:rFonts w:ascii="宋体" w:hAnsi="宋体" w:hint="eastAsia"/>
                <w:szCs w:val="24"/>
              </w:rPr>
              <w:t>赣州银行股份有限公司</w:t>
            </w:r>
            <w:r>
              <w:rPr>
                <w:rFonts w:ascii="宋体" w:hAnsi="宋体" w:hint="eastAsia"/>
                <w:szCs w:val="24"/>
              </w:rPr>
              <w:t>:ZYFCG0261C</w:t>
            </w:r>
          </w:p>
          <w:p w14:paraId="21BE4E45" w14:textId="77777777" w:rsidR="00D8530A" w:rsidRDefault="00000000">
            <w:pPr>
              <w:widowControl/>
              <w:spacing w:line="400" w:lineRule="exact"/>
              <w:jc w:val="left"/>
              <w:textAlignment w:val="center"/>
              <w:rPr>
                <w:rFonts w:ascii="宋体" w:hAnsi="宋体" w:hint="eastAsia"/>
                <w:szCs w:val="24"/>
              </w:rPr>
            </w:pPr>
            <w:r>
              <w:rPr>
                <w:rFonts w:ascii="宋体" w:hAnsi="宋体" w:hint="eastAsia"/>
                <w:szCs w:val="24"/>
              </w:rPr>
              <w:t>浙江义乌农村商业银行股份有限公司</w:t>
            </w:r>
            <w:r>
              <w:rPr>
                <w:rFonts w:ascii="宋体" w:hAnsi="宋体" w:hint="eastAsia"/>
                <w:szCs w:val="24"/>
              </w:rPr>
              <w:t>:ZYFCG0261C</w:t>
            </w:r>
          </w:p>
          <w:p w14:paraId="3980BD52" w14:textId="77777777" w:rsidR="00D8530A" w:rsidRDefault="00000000">
            <w:pPr>
              <w:widowControl/>
              <w:spacing w:line="400" w:lineRule="exact"/>
              <w:jc w:val="left"/>
              <w:textAlignment w:val="center"/>
              <w:rPr>
                <w:rFonts w:ascii="宋体" w:hAnsi="宋体" w:hint="eastAsia"/>
                <w:szCs w:val="24"/>
              </w:rPr>
            </w:pPr>
            <w:r>
              <w:rPr>
                <w:rFonts w:ascii="宋体" w:hAnsi="宋体" w:hint="eastAsia"/>
                <w:szCs w:val="24"/>
              </w:rPr>
              <w:t>浙江永嘉农村商业银行股份有限公司</w:t>
            </w:r>
            <w:r>
              <w:rPr>
                <w:rFonts w:ascii="宋体" w:hAnsi="宋体" w:hint="eastAsia"/>
                <w:szCs w:val="24"/>
              </w:rPr>
              <w:t>:ZYFCG0261C</w:t>
            </w:r>
          </w:p>
          <w:p w14:paraId="31489073" w14:textId="77777777" w:rsidR="00D8530A" w:rsidRDefault="00000000">
            <w:pPr>
              <w:widowControl/>
              <w:spacing w:line="400" w:lineRule="exact"/>
              <w:jc w:val="left"/>
              <w:textAlignment w:val="center"/>
              <w:rPr>
                <w:rFonts w:ascii="宋体" w:hAnsi="宋体" w:hint="eastAsia"/>
                <w:szCs w:val="24"/>
              </w:rPr>
            </w:pPr>
            <w:r>
              <w:rPr>
                <w:rFonts w:ascii="宋体" w:hAnsi="宋体" w:hint="eastAsia"/>
                <w:szCs w:val="24"/>
              </w:rPr>
              <w:t>浙江衢州柯城农村商业银行股份有限公司</w:t>
            </w:r>
            <w:r>
              <w:rPr>
                <w:rFonts w:ascii="宋体" w:hAnsi="宋体" w:hint="eastAsia"/>
                <w:szCs w:val="24"/>
              </w:rPr>
              <w:t>:ZYFCG0261C</w:t>
            </w:r>
          </w:p>
          <w:p w14:paraId="77DA4E23" w14:textId="77777777" w:rsidR="00D8530A" w:rsidRDefault="00000000">
            <w:pPr>
              <w:widowControl/>
              <w:spacing w:line="400" w:lineRule="exact"/>
              <w:jc w:val="left"/>
              <w:textAlignment w:val="center"/>
              <w:rPr>
                <w:rFonts w:ascii="宋体" w:hAnsi="宋体" w:hint="eastAsia"/>
                <w:szCs w:val="24"/>
              </w:rPr>
            </w:pPr>
            <w:r>
              <w:rPr>
                <w:rFonts w:ascii="宋体" w:hAnsi="宋体" w:hint="eastAsia"/>
                <w:szCs w:val="24"/>
              </w:rPr>
              <w:t>浙江龙泉农村商业银行股份有限公司</w:t>
            </w:r>
            <w:r>
              <w:rPr>
                <w:rFonts w:ascii="宋体" w:hAnsi="宋体" w:hint="eastAsia"/>
                <w:szCs w:val="24"/>
              </w:rPr>
              <w:t>:ZYFCG0261D</w:t>
            </w:r>
          </w:p>
          <w:p w14:paraId="7AC8ED49" w14:textId="77777777" w:rsidR="00D8530A" w:rsidRDefault="00000000">
            <w:pPr>
              <w:widowControl/>
              <w:spacing w:line="400" w:lineRule="exact"/>
              <w:jc w:val="left"/>
              <w:textAlignment w:val="center"/>
              <w:rPr>
                <w:rFonts w:ascii="宋体" w:hAnsi="宋体" w:hint="eastAsia"/>
                <w:szCs w:val="24"/>
              </w:rPr>
            </w:pPr>
            <w:r>
              <w:rPr>
                <w:rFonts w:ascii="宋体" w:hAnsi="宋体" w:hint="eastAsia"/>
                <w:szCs w:val="24"/>
              </w:rPr>
              <w:t>浙江天台农村商业银行股份有限公司</w:t>
            </w:r>
            <w:r>
              <w:rPr>
                <w:rFonts w:ascii="宋体" w:hAnsi="宋体" w:hint="eastAsia"/>
                <w:szCs w:val="24"/>
              </w:rPr>
              <w:t>:ZYFCG0261D</w:t>
            </w:r>
          </w:p>
          <w:p w14:paraId="34996F24" w14:textId="77777777" w:rsidR="00D8530A" w:rsidRDefault="00000000">
            <w:pPr>
              <w:widowControl/>
              <w:spacing w:line="400" w:lineRule="exact"/>
              <w:jc w:val="left"/>
              <w:textAlignment w:val="center"/>
              <w:rPr>
                <w:rFonts w:ascii="宋体" w:hAnsi="宋体" w:hint="eastAsia"/>
                <w:szCs w:val="24"/>
              </w:rPr>
            </w:pPr>
            <w:r>
              <w:rPr>
                <w:rFonts w:ascii="宋体" w:hAnsi="宋体" w:hint="eastAsia"/>
                <w:szCs w:val="24"/>
              </w:rPr>
              <w:t>浙江丽水莲都农村商业银行股份有限公司</w:t>
            </w:r>
            <w:r>
              <w:rPr>
                <w:rFonts w:ascii="宋体" w:hAnsi="宋体" w:hint="eastAsia"/>
                <w:szCs w:val="24"/>
              </w:rPr>
              <w:t>:ZYFCG0261D</w:t>
            </w:r>
          </w:p>
          <w:p w14:paraId="5E7A597D" w14:textId="77777777" w:rsidR="00D8530A" w:rsidRDefault="00000000">
            <w:pPr>
              <w:widowControl/>
              <w:spacing w:line="400" w:lineRule="exact"/>
              <w:jc w:val="left"/>
              <w:textAlignment w:val="center"/>
              <w:rPr>
                <w:rFonts w:ascii="宋体" w:hAnsi="宋体" w:hint="eastAsia"/>
                <w:szCs w:val="24"/>
              </w:rPr>
            </w:pPr>
            <w:r>
              <w:rPr>
                <w:rFonts w:ascii="宋体" w:hAnsi="宋体" w:hint="eastAsia"/>
                <w:szCs w:val="24"/>
              </w:rPr>
              <w:t>宁波奉化农村商业银行股份有限公司</w:t>
            </w:r>
            <w:r>
              <w:rPr>
                <w:rFonts w:ascii="宋体" w:hAnsi="宋体" w:hint="eastAsia"/>
                <w:szCs w:val="24"/>
              </w:rPr>
              <w:t>:ZYFCG0261D</w:t>
            </w:r>
          </w:p>
          <w:p w14:paraId="5ABA973C" w14:textId="77777777" w:rsidR="00D8530A" w:rsidRDefault="00000000">
            <w:pPr>
              <w:widowControl/>
              <w:spacing w:line="400" w:lineRule="exact"/>
              <w:jc w:val="left"/>
              <w:textAlignment w:val="center"/>
              <w:rPr>
                <w:rFonts w:ascii="宋体" w:hAnsi="宋体" w:hint="eastAsia"/>
                <w:szCs w:val="24"/>
              </w:rPr>
            </w:pPr>
            <w:r>
              <w:rPr>
                <w:rFonts w:ascii="宋体" w:hAnsi="宋体" w:hint="eastAsia"/>
                <w:szCs w:val="24"/>
              </w:rPr>
              <w:t>浙江兰溪农村商业银行股份有限公司</w:t>
            </w:r>
            <w:r>
              <w:rPr>
                <w:rFonts w:ascii="宋体" w:hAnsi="宋体" w:hint="eastAsia"/>
                <w:szCs w:val="24"/>
              </w:rPr>
              <w:t>:ZYFCG0261D</w:t>
            </w:r>
          </w:p>
          <w:p w14:paraId="4D8736CD" w14:textId="77777777" w:rsidR="00D8530A" w:rsidRDefault="00000000">
            <w:pPr>
              <w:widowControl/>
              <w:spacing w:line="400" w:lineRule="exact"/>
              <w:jc w:val="left"/>
              <w:textAlignment w:val="center"/>
              <w:rPr>
                <w:rFonts w:ascii="宋体" w:hAnsi="宋体" w:hint="eastAsia"/>
                <w:szCs w:val="24"/>
              </w:rPr>
            </w:pPr>
            <w:r>
              <w:rPr>
                <w:rFonts w:ascii="宋体" w:hAnsi="宋体" w:hint="eastAsia"/>
                <w:szCs w:val="24"/>
              </w:rPr>
              <w:t>宁波甬城农村商业银行股份有限公司</w:t>
            </w:r>
            <w:r>
              <w:rPr>
                <w:rFonts w:ascii="宋体" w:hAnsi="宋体" w:hint="eastAsia"/>
                <w:szCs w:val="24"/>
              </w:rPr>
              <w:t>:ZYFCG0261D</w:t>
            </w:r>
          </w:p>
          <w:p w14:paraId="7738FAB7" w14:textId="77777777" w:rsidR="00D8530A" w:rsidRDefault="00000000">
            <w:pPr>
              <w:widowControl/>
              <w:spacing w:line="400" w:lineRule="exact"/>
              <w:jc w:val="left"/>
              <w:textAlignment w:val="center"/>
              <w:rPr>
                <w:rFonts w:ascii="宋体" w:hAnsi="宋体" w:hint="eastAsia"/>
                <w:szCs w:val="24"/>
              </w:rPr>
            </w:pPr>
            <w:r>
              <w:rPr>
                <w:rFonts w:ascii="宋体" w:hAnsi="宋体" w:hint="eastAsia"/>
                <w:szCs w:val="24"/>
              </w:rPr>
              <w:t>中原银行股份有限公司</w:t>
            </w:r>
            <w:r>
              <w:rPr>
                <w:rFonts w:ascii="宋体" w:hAnsi="宋体" w:hint="eastAsia"/>
                <w:szCs w:val="24"/>
              </w:rPr>
              <w:t>:ZYFCG0261E</w:t>
            </w:r>
          </w:p>
          <w:p w14:paraId="5DC1A0A9" w14:textId="77777777" w:rsidR="00D8530A" w:rsidRDefault="00000000">
            <w:pPr>
              <w:widowControl/>
              <w:spacing w:line="400" w:lineRule="exact"/>
              <w:jc w:val="left"/>
              <w:textAlignment w:val="center"/>
              <w:rPr>
                <w:rFonts w:ascii="宋体" w:hAnsi="宋体" w:hint="eastAsia"/>
                <w:szCs w:val="24"/>
              </w:rPr>
            </w:pPr>
            <w:r>
              <w:rPr>
                <w:rFonts w:ascii="宋体" w:hAnsi="宋体" w:hint="eastAsia"/>
                <w:szCs w:val="24"/>
              </w:rPr>
              <w:t>浙江武义农村商业银行股份有限公司</w:t>
            </w:r>
            <w:r>
              <w:rPr>
                <w:rFonts w:ascii="宋体" w:hAnsi="宋体" w:hint="eastAsia"/>
                <w:szCs w:val="24"/>
              </w:rPr>
              <w:t>:ZYFCG0261E</w:t>
            </w:r>
          </w:p>
          <w:p w14:paraId="17AC468A" w14:textId="77777777" w:rsidR="00D8530A" w:rsidRDefault="00000000">
            <w:pPr>
              <w:widowControl/>
              <w:spacing w:line="400" w:lineRule="exact"/>
              <w:jc w:val="left"/>
              <w:textAlignment w:val="center"/>
              <w:rPr>
                <w:rFonts w:ascii="宋体" w:hAnsi="宋体" w:hint="eastAsia"/>
                <w:szCs w:val="24"/>
              </w:rPr>
            </w:pPr>
            <w:r>
              <w:rPr>
                <w:rFonts w:ascii="宋体" w:hAnsi="宋体" w:hint="eastAsia"/>
                <w:szCs w:val="24"/>
              </w:rPr>
              <w:t>宁波鄞州农村商业银行股份有限公司</w:t>
            </w:r>
            <w:r>
              <w:rPr>
                <w:rFonts w:ascii="宋体" w:hAnsi="宋体" w:hint="eastAsia"/>
                <w:szCs w:val="24"/>
              </w:rPr>
              <w:t>:ZYFCG0261F</w:t>
            </w:r>
          </w:p>
          <w:p w14:paraId="1DE67DC4" w14:textId="77777777" w:rsidR="00D8530A" w:rsidRDefault="00000000">
            <w:pPr>
              <w:widowControl/>
              <w:spacing w:line="400" w:lineRule="exact"/>
              <w:jc w:val="left"/>
              <w:textAlignment w:val="center"/>
              <w:rPr>
                <w:rFonts w:ascii="宋体" w:hAnsi="宋体" w:hint="eastAsia"/>
                <w:szCs w:val="24"/>
              </w:rPr>
            </w:pPr>
            <w:r>
              <w:rPr>
                <w:rFonts w:ascii="宋体" w:hAnsi="宋体" w:hint="eastAsia"/>
                <w:szCs w:val="24"/>
              </w:rPr>
              <w:t>宁波鄞州农村商业银行股份有限公司</w:t>
            </w:r>
            <w:r>
              <w:rPr>
                <w:rFonts w:ascii="宋体" w:hAnsi="宋体" w:hint="eastAsia"/>
                <w:szCs w:val="24"/>
              </w:rPr>
              <w:t>:ZYFCG0261G</w:t>
            </w:r>
          </w:p>
          <w:p w14:paraId="227F4160" w14:textId="77777777" w:rsidR="00D8530A" w:rsidRDefault="00000000">
            <w:pPr>
              <w:widowControl/>
              <w:spacing w:line="400" w:lineRule="exact"/>
              <w:jc w:val="left"/>
              <w:textAlignment w:val="center"/>
              <w:rPr>
                <w:rFonts w:ascii="宋体" w:hAnsi="宋体" w:hint="eastAsia"/>
                <w:szCs w:val="24"/>
              </w:rPr>
            </w:pPr>
            <w:r>
              <w:rPr>
                <w:rFonts w:ascii="宋体" w:hAnsi="宋体" w:hint="eastAsia"/>
                <w:szCs w:val="24"/>
              </w:rPr>
              <w:t>宁波鄞州农村商业银行股份有限公司</w:t>
            </w:r>
            <w:r>
              <w:rPr>
                <w:rFonts w:ascii="宋体" w:hAnsi="宋体" w:hint="eastAsia"/>
                <w:szCs w:val="24"/>
              </w:rPr>
              <w:t>:ZYFCG0261H</w:t>
            </w:r>
          </w:p>
          <w:p w14:paraId="6F59B62F" w14:textId="77777777" w:rsidR="00D8530A" w:rsidRDefault="00000000">
            <w:pPr>
              <w:widowControl/>
              <w:spacing w:line="400" w:lineRule="exact"/>
              <w:jc w:val="left"/>
              <w:textAlignment w:val="center"/>
              <w:rPr>
                <w:rFonts w:ascii="宋体" w:hAnsi="宋体" w:hint="eastAsia"/>
                <w:szCs w:val="24"/>
              </w:rPr>
            </w:pPr>
            <w:r>
              <w:rPr>
                <w:rFonts w:ascii="宋体" w:hAnsi="宋体" w:hint="eastAsia"/>
                <w:szCs w:val="24"/>
              </w:rPr>
              <w:t>后续销售机构如有新增、减少和变更，以产品管理人信息披露为准。</w:t>
            </w:r>
          </w:p>
        </w:tc>
      </w:tr>
      <w:tr w:rsidR="00D8530A" w14:paraId="1F621D2B" w14:textId="77777777">
        <w:trPr>
          <w:trHeight w:val="600"/>
        </w:trPr>
        <w:tc>
          <w:tcPr>
            <w:tcW w:w="2453" w:type="dxa"/>
            <w:tcBorders>
              <w:top w:val="single" w:sz="4" w:space="0" w:color="auto"/>
              <w:left w:val="single" w:sz="4" w:space="0" w:color="auto"/>
              <w:bottom w:val="single" w:sz="4" w:space="0" w:color="auto"/>
              <w:right w:val="single" w:sz="4" w:space="0" w:color="auto"/>
            </w:tcBorders>
            <w:vAlign w:val="center"/>
          </w:tcPr>
          <w:p w14:paraId="2CB23304" w14:textId="77777777" w:rsidR="00D8530A" w:rsidRDefault="00000000">
            <w:pPr>
              <w:widowControl/>
              <w:spacing w:line="400" w:lineRule="exact"/>
              <w:jc w:val="center"/>
              <w:textAlignment w:val="center"/>
              <w:rPr>
                <w:rFonts w:ascii="仿宋_GB2312" w:hAnsi="等线" w:cs="仿宋_GB2312" w:hint="eastAsia"/>
                <w:color w:val="000000" w:themeColor="text1"/>
              </w:rPr>
            </w:pPr>
            <w:r>
              <w:rPr>
                <w:rFonts w:ascii="仿宋_GB2312" w:hAnsi="等线" w:cs="仿宋_GB2312" w:hint="eastAsia"/>
                <w:color w:val="000000" w:themeColor="text1"/>
                <w:kern w:val="0"/>
                <w:lang w:bidi="ar"/>
              </w:rPr>
              <w:lastRenderedPageBreak/>
              <w:t>境内托管机构名称</w:t>
            </w:r>
          </w:p>
        </w:tc>
        <w:tc>
          <w:tcPr>
            <w:tcW w:w="6972" w:type="dxa"/>
            <w:tcBorders>
              <w:top w:val="single" w:sz="4" w:space="0" w:color="auto"/>
              <w:left w:val="single" w:sz="4" w:space="0" w:color="auto"/>
              <w:bottom w:val="single" w:sz="4" w:space="0" w:color="auto"/>
              <w:right w:val="single" w:sz="4" w:space="0" w:color="auto"/>
            </w:tcBorders>
            <w:vAlign w:val="center"/>
          </w:tcPr>
          <w:p w14:paraId="4B5BE4B7" w14:textId="77777777" w:rsidR="00D8530A" w:rsidRDefault="00000000">
            <w:pPr>
              <w:widowControl/>
              <w:spacing w:line="400" w:lineRule="exact"/>
              <w:jc w:val="left"/>
              <w:textAlignment w:val="center"/>
              <w:rPr>
                <w:rFonts w:ascii="仿宋_GB2312" w:hAnsi="等线" w:cs="仿宋_GB2312" w:hint="eastAsia"/>
                <w:bCs/>
                <w:color w:val="000000" w:themeColor="text1"/>
              </w:rPr>
            </w:pPr>
            <w:r>
              <w:rPr>
                <w:rFonts w:ascii="宋体" w:hAnsi="宋体" w:hint="eastAsia"/>
                <w:szCs w:val="24"/>
              </w:rPr>
              <w:t>浙商银行股份有限公司</w:t>
            </w:r>
          </w:p>
        </w:tc>
      </w:tr>
      <w:tr w:rsidR="00D8530A" w14:paraId="6F39D3A4" w14:textId="77777777">
        <w:trPr>
          <w:trHeight w:val="540"/>
        </w:trPr>
        <w:tc>
          <w:tcPr>
            <w:tcW w:w="2453" w:type="dxa"/>
            <w:tcBorders>
              <w:top w:val="single" w:sz="4" w:space="0" w:color="auto"/>
              <w:left w:val="single" w:sz="4" w:space="0" w:color="auto"/>
              <w:bottom w:val="single" w:sz="4" w:space="0" w:color="auto"/>
              <w:right w:val="single" w:sz="4" w:space="0" w:color="auto"/>
            </w:tcBorders>
            <w:vAlign w:val="center"/>
          </w:tcPr>
          <w:p w14:paraId="46454379" w14:textId="77777777" w:rsidR="00D8530A" w:rsidRDefault="00000000">
            <w:pPr>
              <w:widowControl/>
              <w:spacing w:line="400" w:lineRule="exact"/>
              <w:jc w:val="center"/>
              <w:textAlignment w:val="center"/>
              <w:rPr>
                <w:rFonts w:ascii="仿宋_GB2312" w:hAnsi="等线" w:cs="仿宋_GB2312" w:hint="eastAsia"/>
                <w:color w:val="000000" w:themeColor="text1"/>
              </w:rPr>
            </w:pPr>
            <w:r>
              <w:rPr>
                <w:rFonts w:ascii="仿宋_GB2312" w:hAnsi="等线" w:cs="仿宋_GB2312" w:hint="eastAsia"/>
                <w:color w:val="000000" w:themeColor="text1"/>
                <w:kern w:val="0"/>
                <w:lang w:bidi="ar"/>
              </w:rPr>
              <w:t>投资者范围</w:t>
            </w:r>
          </w:p>
        </w:tc>
        <w:tc>
          <w:tcPr>
            <w:tcW w:w="6972" w:type="dxa"/>
            <w:tcBorders>
              <w:top w:val="single" w:sz="4" w:space="0" w:color="auto"/>
              <w:left w:val="single" w:sz="4" w:space="0" w:color="auto"/>
              <w:bottom w:val="single" w:sz="4" w:space="0" w:color="auto"/>
              <w:right w:val="single" w:sz="4" w:space="0" w:color="auto"/>
            </w:tcBorders>
            <w:vAlign w:val="center"/>
          </w:tcPr>
          <w:p w14:paraId="34C5911D" w14:textId="77777777" w:rsidR="00D8530A" w:rsidRDefault="00000000">
            <w:pPr>
              <w:snapToGrid w:val="0"/>
              <w:rPr>
                <w:rFonts w:ascii="宋体" w:hAnsi="宋体" w:hint="eastAsia"/>
                <w:szCs w:val="24"/>
              </w:rPr>
            </w:pPr>
            <w:r>
              <w:rPr>
                <w:rFonts w:ascii="宋体" w:hAnsi="宋体" w:hint="eastAsia"/>
                <w:szCs w:val="24"/>
              </w:rPr>
              <w:t>不特定社会公众（个人、机构投资者）；其中，普通投资者应符合相关法律法规、监管规定，经销售机构评估评定投资者风险承受能力与本产品风险等级相适应。</w:t>
            </w:r>
          </w:p>
          <w:p w14:paraId="1749E41E" w14:textId="77777777" w:rsidR="00D8530A" w:rsidRDefault="00000000">
            <w:pPr>
              <w:widowControl/>
              <w:spacing w:line="400" w:lineRule="exact"/>
              <w:jc w:val="left"/>
              <w:textAlignment w:val="center"/>
              <w:rPr>
                <w:rFonts w:ascii="仿宋_GB2312" w:hAnsi="等线" w:cs="仿宋_GB2312" w:hint="eastAsia"/>
                <w:bCs/>
                <w:color w:val="000000" w:themeColor="text1"/>
              </w:rPr>
            </w:pPr>
            <w:r>
              <w:rPr>
                <w:rFonts w:ascii="宋体" w:hAnsi="宋体" w:hint="eastAsia"/>
                <w:szCs w:val="24"/>
              </w:rPr>
              <w:t>本产品通过销售机构销售的，产品风险等级应当以销售机构最终披露的评级结果为准。</w:t>
            </w:r>
          </w:p>
        </w:tc>
      </w:tr>
      <w:tr w:rsidR="00D8530A" w14:paraId="3EEB386C" w14:textId="77777777">
        <w:trPr>
          <w:trHeight w:val="540"/>
        </w:trPr>
        <w:tc>
          <w:tcPr>
            <w:tcW w:w="2453" w:type="dxa"/>
            <w:tcBorders>
              <w:top w:val="single" w:sz="4" w:space="0" w:color="auto"/>
              <w:left w:val="single" w:sz="4" w:space="0" w:color="auto"/>
              <w:bottom w:val="single" w:sz="4" w:space="0" w:color="auto"/>
              <w:right w:val="single" w:sz="4" w:space="0" w:color="auto"/>
            </w:tcBorders>
            <w:vAlign w:val="center"/>
          </w:tcPr>
          <w:p w14:paraId="5722C1AB" w14:textId="77777777" w:rsidR="00D8530A" w:rsidRDefault="00000000">
            <w:pPr>
              <w:widowControl/>
              <w:spacing w:line="400" w:lineRule="exact"/>
              <w:jc w:val="center"/>
              <w:textAlignment w:val="center"/>
              <w:rPr>
                <w:rFonts w:ascii="仿宋_GB2312" w:hAnsi="等线" w:cs="仿宋_GB2312" w:hint="eastAsia"/>
                <w:color w:val="000000" w:themeColor="text1"/>
              </w:rPr>
            </w:pPr>
            <w:r>
              <w:rPr>
                <w:rFonts w:ascii="仿宋_GB2312" w:hAnsi="等线" w:cs="仿宋_GB2312" w:hint="eastAsia"/>
                <w:color w:val="000000" w:themeColor="text1"/>
                <w:kern w:val="0"/>
                <w:lang w:bidi="ar"/>
              </w:rPr>
              <w:t>销售对象</w:t>
            </w:r>
          </w:p>
        </w:tc>
        <w:tc>
          <w:tcPr>
            <w:tcW w:w="6972" w:type="dxa"/>
            <w:tcBorders>
              <w:top w:val="single" w:sz="4" w:space="0" w:color="auto"/>
              <w:left w:val="single" w:sz="4" w:space="0" w:color="auto"/>
              <w:bottom w:val="single" w:sz="4" w:space="0" w:color="auto"/>
              <w:right w:val="single" w:sz="4" w:space="0" w:color="auto"/>
            </w:tcBorders>
            <w:vAlign w:val="center"/>
          </w:tcPr>
          <w:tbl>
            <w:tblPr>
              <w:tblW w:w="6804" w:type="dxa"/>
              <w:tblLayout w:type="fixed"/>
              <w:tblLook w:val="04A0" w:firstRow="1" w:lastRow="0" w:firstColumn="1" w:lastColumn="0" w:noHBand="0" w:noVBand="1"/>
            </w:tblPr>
            <w:tblGrid>
              <w:gridCol w:w="1852"/>
              <w:gridCol w:w="2684"/>
              <w:gridCol w:w="2268"/>
            </w:tblGrid>
            <w:tr w:rsidR="00D8530A" w14:paraId="6A67BB2E" w14:textId="77777777" w:rsidTr="00654B4D">
              <w:trPr>
                <w:trHeight w:val="270"/>
              </w:trPr>
              <w:tc>
                <w:tcPr>
                  <w:tcW w:w="1852" w:type="dxa"/>
                  <w:tcBorders>
                    <w:top w:val="single" w:sz="4" w:space="0" w:color="000000"/>
                    <w:left w:val="single" w:sz="4" w:space="0" w:color="000000"/>
                    <w:bottom w:val="single" w:sz="4" w:space="0" w:color="000000"/>
                    <w:right w:val="single" w:sz="4" w:space="0" w:color="000000"/>
                  </w:tcBorders>
                  <w:noWrap/>
                  <w:vAlign w:val="center"/>
                </w:tcPr>
                <w:p w14:paraId="40FD48B8" w14:textId="77777777" w:rsidR="00D8530A" w:rsidRDefault="00000000">
                  <w:pPr>
                    <w:widowControl/>
                    <w:jc w:val="center"/>
                    <w:textAlignment w:val="center"/>
                    <w:rPr>
                      <w:rFonts w:ascii="仿宋_GB2312" w:hAnsi="宋体" w:cs="仿宋_GB2312" w:hint="eastAsia"/>
                      <w:color w:val="000000"/>
                      <w:sz w:val="22"/>
                    </w:rPr>
                  </w:pPr>
                  <w:r>
                    <w:rPr>
                      <w:rFonts w:ascii="仿宋_GB2312" w:hAnsi="宋体" w:cs="仿宋_GB2312" w:hint="eastAsia"/>
                      <w:color w:val="000000"/>
                      <w:kern w:val="0"/>
                      <w:sz w:val="22"/>
                      <w:lang w:bidi="ar"/>
                    </w:rPr>
                    <w:t>份额代码</w:t>
                  </w:r>
                </w:p>
              </w:tc>
              <w:tc>
                <w:tcPr>
                  <w:tcW w:w="2684" w:type="dxa"/>
                  <w:tcBorders>
                    <w:top w:val="single" w:sz="4" w:space="0" w:color="000000"/>
                    <w:left w:val="single" w:sz="4" w:space="0" w:color="000000"/>
                    <w:bottom w:val="single" w:sz="4" w:space="0" w:color="000000"/>
                    <w:right w:val="single" w:sz="4" w:space="0" w:color="000000"/>
                  </w:tcBorders>
                  <w:noWrap/>
                  <w:vAlign w:val="center"/>
                </w:tcPr>
                <w:p w14:paraId="27908E8F" w14:textId="77777777" w:rsidR="00D8530A" w:rsidRDefault="00000000">
                  <w:pPr>
                    <w:widowControl/>
                    <w:jc w:val="center"/>
                    <w:textAlignment w:val="center"/>
                    <w:rPr>
                      <w:rFonts w:ascii="仿宋_GB2312" w:hAnsi="宋体" w:cs="仿宋_GB2312" w:hint="eastAsia"/>
                      <w:color w:val="000000"/>
                      <w:sz w:val="22"/>
                    </w:rPr>
                  </w:pPr>
                  <w:r>
                    <w:rPr>
                      <w:rFonts w:ascii="仿宋_GB2312" w:hAnsi="宋体" w:cs="仿宋_GB2312" w:hint="eastAsia"/>
                      <w:color w:val="000000"/>
                      <w:kern w:val="0"/>
                      <w:sz w:val="22"/>
                      <w:lang w:bidi="ar"/>
                    </w:rPr>
                    <w:t>销售机构</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07AC21A0" w14:textId="77777777" w:rsidR="00D8530A" w:rsidRDefault="00000000">
                  <w:pPr>
                    <w:widowControl/>
                    <w:jc w:val="center"/>
                    <w:textAlignment w:val="center"/>
                    <w:rPr>
                      <w:rFonts w:ascii="仿宋_GB2312" w:hAnsi="宋体" w:cs="仿宋_GB2312" w:hint="eastAsia"/>
                      <w:color w:val="000000"/>
                      <w:sz w:val="22"/>
                    </w:rPr>
                  </w:pPr>
                  <w:r>
                    <w:rPr>
                      <w:rFonts w:ascii="仿宋_GB2312" w:hAnsi="宋体" w:cs="仿宋_GB2312" w:hint="eastAsia"/>
                      <w:color w:val="000000"/>
                      <w:kern w:val="0"/>
                      <w:sz w:val="22"/>
                      <w:lang w:bidi="ar"/>
                    </w:rPr>
                    <w:t>销售对象</w:t>
                  </w:r>
                </w:p>
              </w:tc>
            </w:tr>
            <w:tr w:rsidR="00D8530A" w14:paraId="1155EB70" w14:textId="77777777" w:rsidTr="00654B4D">
              <w:trPr>
                <w:trHeight w:val="870"/>
              </w:trPr>
              <w:tc>
                <w:tcPr>
                  <w:tcW w:w="1852" w:type="dxa"/>
                  <w:tcBorders>
                    <w:top w:val="single" w:sz="4" w:space="0" w:color="000000"/>
                    <w:left w:val="single" w:sz="4" w:space="0" w:color="000000"/>
                    <w:bottom w:val="single" w:sz="4" w:space="0" w:color="000000"/>
                    <w:right w:val="single" w:sz="4" w:space="0" w:color="000000"/>
                  </w:tcBorders>
                  <w:noWrap/>
                  <w:vAlign w:val="center"/>
                </w:tcPr>
                <w:p w14:paraId="0E6F0B1A"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ZYFCG0261A</w:t>
                  </w:r>
                </w:p>
              </w:tc>
              <w:tc>
                <w:tcPr>
                  <w:tcW w:w="2684" w:type="dxa"/>
                  <w:tcBorders>
                    <w:top w:val="single" w:sz="4" w:space="0" w:color="000000"/>
                    <w:left w:val="single" w:sz="4" w:space="0" w:color="000000"/>
                    <w:bottom w:val="single" w:sz="4" w:space="0" w:color="000000"/>
                    <w:right w:val="single" w:sz="4" w:space="0" w:color="000000"/>
                  </w:tcBorders>
                  <w:noWrap/>
                  <w:vAlign w:val="center"/>
                </w:tcPr>
                <w:p w14:paraId="64B415F7"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浙江长兴农村商业银行股份有限公司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1F3846E0"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D8530A" w14:paraId="2DC0DCBB" w14:textId="77777777" w:rsidTr="00654B4D">
              <w:trPr>
                <w:trHeight w:val="870"/>
              </w:trPr>
              <w:tc>
                <w:tcPr>
                  <w:tcW w:w="1852" w:type="dxa"/>
                  <w:tcBorders>
                    <w:top w:val="single" w:sz="4" w:space="0" w:color="000000"/>
                    <w:left w:val="single" w:sz="4" w:space="0" w:color="000000"/>
                    <w:bottom w:val="single" w:sz="4" w:space="0" w:color="000000"/>
                    <w:right w:val="single" w:sz="4" w:space="0" w:color="000000"/>
                  </w:tcBorders>
                  <w:noWrap/>
                  <w:vAlign w:val="center"/>
                </w:tcPr>
                <w:p w14:paraId="03E74BE5"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ZYFCG0261A</w:t>
                  </w:r>
                </w:p>
              </w:tc>
              <w:tc>
                <w:tcPr>
                  <w:tcW w:w="2684" w:type="dxa"/>
                  <w:tcBorders>
                    <w:top w:val="single" w:sz="4" w:space="0" w:color="000000"/>
                    <w:left w:val="single" w:sz="4" w:space="0" w:color="000000"/>
                    <w:bottom w:val="single" w:sz="4" w:space="0" w:color="000000"/>
                    <w:right w:val="single" w:sz="4" w:space="0" w:color="000000"/>
                  </w:tcBorders>
                  <w:noWrap/>
                  <w:vAlign w:val="center"/>
                </w:tcPr>
                <w:p w14:paraId="568C4A4E"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嘉兴银行股份有限公司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70FE97F6"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D8530A" w14:paraId="18770A81" w14:textId="77777777" w:rsidTr="00654B4D">
              <w:trPr>
                <w:trHeight w:val="870"/>
              </w:trPr>
              <w:tc>
                <w:tcPr>
                  <w:tcW w:w="1852" w:type="dxa"/>
                  <w:tcBorders>
                    <w:top w:val="single" w:sz="4" w:space="0" w:color="000000"/>
                    <w:left w:val="single" w:sz="4" w:space="0" w:color="000000"/>
                    <w:bottom w:val="single" w:sz="4" w:space="0" w:color="000000"/>
                    <w:right w:val="single" w:sz="4" w:space="0" w:color="000000"/>
                  </w:tcBorders>
                  <w:noWrap/>
                  <w:vAlign w:val="center"/>
                </w:tcPr>
                <w:p w14:paraId="535E0B63"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ZYFCG0261A</w:t>
                  </w:r>
                </w:p>
              </w:tc>
              <w:tc>
                <w:tcPr>
                  <w:tcW w:w="2684" w:type="dxa"/>
                  <w:tcBorders>
                    <w:top w:val="single" w:sz="4" w:space="0" w:color="000000"/>
                    <w:left w:val="single" w:sz="4" w:space="0" w:color="000000"/>
                    <w:bottom w:val="single" w:sz="4" w:space="0" w:color="000000"/>
                    <w:right w:val="single" w:sz="4" w:space="0" w:color="000000"/>
                  </w:tcBorders>
                  <w:noWrap/>
                  <w:vAlign w:val="center"/>
                </w:tcPr>
                <w:p w14:paraId="0396FBC4"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浙江岱山农村商业银行股份有限公司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457D822C"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高净值个人、机构客户</w:t>
                  </w:r>
                </w:p>
              </w:tc>
            </w:tr>
            <w:tr w:rsidR="00D8530A" w14:paraId="3D0AEAB7" w14:textId="77777777" w:rsidTr="00654B4D">
              <w:trPr>
                <w:trHeight w:val="870"/>
              </w:trPr>
              <w:tc>
                <w:tcPr>
                  <w:tcW w:w="1852" w:type="dxa"/>
                  <w:tcBorders>
                    <w:top w:val="single" w:sz="4" w:space="0" w:color="000000"/>
                    <w:left w:val="single" w:sz="4" w:space="0" w:color="000000"/>
                    <w:bottom w:val="single" w:sz="4" w:space="0" w:color="000000"/>
                    <w:right w:val="single" w:sz="4" w:space="0" w:color="000000"/>
                  </w:tcBorders>
                  <w:noWrap/>
                  <w:vAlign w:val="center"/>
                </w:tcPr>
                <w:p w14:paraId="4242D330"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ZYFCG0261A</w:t>
                  </w:r>
                </w:p>
              </w:tc>
              <w:tc>
                <w:tcPr>
                  <w:tcW w:w="2684" w:type="dxa"/>
                  <w:tcBorders>
                    <w:top w:val="single" w:sz="4" w:space="0" w:color="000000"/>
                    <w:left w:val="single" w:sz="4" w:space="0" w:color="000000"/>
                    <w:bottom w:val="single" w:sz="4" w:space="0" w:color="000000"/>
                    <w:right w:val="single" w:sz="4" w:space="0" w:color="000000"/>
                  </w:tcBorders>
                  <w:noWrap/>
                  <w:vAlign w:val="center"/>
                </w:tcPr>
                <w:p w14:paraId="477764AC"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浙江遂昌农村商业银行股份有限公司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155701E3"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D8530A" w14:paraId="6FB04572" w14:textId="77777777" w:rsidTr="00654B4D">
              <w:trPr>
                <w:trHeight w:val="870"/>
              </w:trPr>
              <w:tc>
                <w:tcPr>
                  <w:tcW w:w="1852" w:type="dxa"/>
                  <w:tcBorders>
                    <w:top w:val="single" w:sz="4" w:space="0" w:color="000000"/>
                    <w:left w:val="single" w:sz="4" w:space="0" w:color="000000"/>
                    <w:bottom w:val="single" w:sz="4" w:space="0" w:color="000000"/>
                    <w:right w:val="single" w:sz="4" w:space="0" w:color="000000"/>
                  </w:tcBorders>
                  <w:noWrap/>
                  <w:vAlign w:val="center"/>
                </w:tcPr>
                <w:p w14:paraId="6C8B6F21"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ZYFCG0261A</w:t>
                  </w:r>
                </w:p>
              </w:tc>
              <w:tc>
                <w:tcPr>
                  <w:tcW w:w="2684" w:type="dxa"/>
                  <w:tcBorders>
                    <w:top w:val="single" w:sz="4" w:space="0" w:color="000000"/>
                    <w:left w:val="single" w:sz="4" w:space="0" w:color="000000"/>
                    <w:bottom w:val="single" w:sz="4" w:space="0" w:color="000000"/>
                    <w:right w:val="single" w:sz="4" w:space="0" w:color="000000"/>
                  </w:tcBorders>
                  <w:noWrap/>
                  <w:vAlign w:val="center"/>
                </w:tcPr>
                <w:p w14:paraId="4E77DE22"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浙江台州路桥农村商业银行股份有限公司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68722FE7"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高净值个人、机构客户</w:t>
                  </w:r>
                </w:p>
              </w:tc>
            </w:tr>
            <w:tr w:rsidR="00D8530A" w14:paraId="1312C27C" w14:textId="77777777" w:rsidTr="00654B4D">
              <w:trPr>
                <w:trHeight w:val="870"/>
              </w:trPr>
              <w:tc>
                <w:tcPr>
                  <w:tcW w:w="1852" w:type="dxa"/>
                  <w:tcBorders>
                    <w:top w:val="single" w:sz="4" w:space="0" w:color="000000"/>
                    <w:left w:val="single" w:sz="4" w:space="0" w:color="000000"/>
                    <w:bottom w:val="single" w:sz="4" w:space="0" w:color="000000"/>
                    <w:right w:val="single" w:sz="4" w:space="0" w:color="000000"/>
                  </w:tcBorders>
                  <w:noWrap/>
                  <w:vAlign w:val="center"/>
                </w:tcPr>
                <w:p w14:paraId="6BD002F1"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ZYFCG0261A</w:t>
                  </w:r>
                </w:p>
              </w:tc>
              <w:tc>
                <w:tcPr>
                  <w:tcW w:w="2684" w:type="dxa"/>
                  <w:tcBorders>
                    <w:top w:val="single" w:sz="4" w:space="0" w:color="000000"/>
                    <w:left w:val="single" w:sz="4" w:space="0" w:color="000000"/>
                    <w:bottom w:val="single" w:sz="4" w:space="0" w:color="000000"/>
                    <w:right w:val="single" w:sz="4" w:space="0" w:color="000000"/>
                  </w:tcBorders>
                  <w:noWrap/>
                  <w:vAlign w:val="center"/>
                </w:tcPr>
                <w:p w14:paraId="2DFDC3FF"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浙江临海农村商业银行股份有限公司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266406D9"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D8530A" w14:paraId="7F3C6263" w14:textId="77777777" w:rsidTr="00654B4D">
              <w:trPr>
                <w:trHeight w:val="870"/>
              </w:trPr>
              <w:tc>
                <w:tcPr>
                  <w:tcW w:w="1852" w:type="dxa"/>
                  <w:tcBorders>
                    <w:top w:val="single" w:sz="4" w:space="0" w:color="000000"/>
                    <w:left w:val="single" w:sz="4" w:space="0" w:color="000000"/>
                    <w:bottom w:val="single" w:sz="4" w:space="0" w:color="000000"/>
                    <w:right w:val="single" w:sz="4" w:space="0" w:color="000000"/>
                  </w:tcBorders>
                  <w:noWrap/>
                  <w:vAlign w:val="center"/>
                </w:tcPr>
                <w:p w14:paraId="0E2D3E37"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ZYFCG0261A</w:t>
                  </w:r>
                </w:p>
              </w:tc>
              <w:tc>
                <w:tcPr>
                  <w:tcW w:w="2684" w:type="dxa"/>
                  <w:tcBorders>
                    <w:top w:val="single" w:sz="4" w:space="0" w:color="000000"/>
                    <w:left w:val="single" w:sz="4" w:space="0" w:color="000000"/>
                    <w:bottom w:val="single" w:sz="4" w:space="0" w:color="000000"/>
                    <w:right w:val="single" w:sz="4" w:space="0" w:color="000000"/>
                  </w:tcBorders>
                  <w:vAlign w:val="center"/>
                </w:tcPr>
                <w:p w14:paraId="3AED2075"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浙江龙游农村商业银行股份有限公司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78179E57"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D8530A" w14:paraId="312A93CB" w14:textId="77777777" w:rsidTr="00654B4D">
              <w:trPr>
                <w:trHeight w:val="870"/>
              </w:trPr>
              <w:tc>
                <w:tcPr>
                  <w:tcW w:w="1852" w:type="dxa"/>
                  <w:tcBorders>
                    <w:top w:val="single" w:sz="4" w:space="0" w:color="000000"/>
                    <w:left w:val="single" w:sz="4" w:space="0" w:color="000000"/>
                    <w:bottom w:val="single" w:sz="4" w:space="0" w:color="000000"/>
                    <w:right w:val="single" w:sz="4" w:space="0" w:color="000000"/>
                  </w:tcBorders>
                  <w:noWrap/>
                  <w:vAlign w:val="center"/>
                </w:tcPr>
                <w:p w14:paraId="57850A1F"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ZYFCG0261A</w:t>
                  </w:r>
                </w:p>
              </w:tc>
              <w:tc>
                <w:tcPr>
                  <w:tcW w:w="2684" w:type="dxa"/>
                  <w:tcBorders>
                    <w:top w:val="single" w:sz="4" w:space="0" w:color="000000"/>
                    <w:left w:val="single" w:sz="4" w:space="0" w:color="000000"/>
                    <w:bottom w:val="single" w:sz="4" w:space="0" w:color="000000"/>
                    <w:right w:val="single" w:sz="4" w:space="0" w:color="000000"/>
                  </w:tcBorders>
                  <w:noWrap/>
                  <w:vAlign w:val="center"/>
                </w:tcPr>
                <w:p w14:paraId="53A5AFB9"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浙江天台农村商业银行股份有限公司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43FAB015"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高净值个人、机构客户、新客户（个人客户）</w:t>
                  </w:r>
                </w:p>
              </w:tc>
            </w:tr>
            <w:tr w:rsidR="00D8530A" w14:paraId="631D9D45" w14:textId="77777777" w:rsidTr="00654B4D">
              <w:trPr>
                <w:trHeight w:val="870"/>
              </w:trPr>
              <w:tc>
                <w:tcPr>
                  <w:tcW w:w="1852" w:type="dxa"/>
                  <w:tcBorders>
                    <w:top w:val="single" w:sz="4" w:space="0" w:color="000000"/>
                    <w:left w:val="single" w:sz="4" w:space="0" w:color="000000"/>
                    <w:bottom w:val="single" w:sz="4" w:space="0" w:color="000000"/>
                    <w:right w:val="single" w:sz="4" w:space="0" w:color="000000"/>
                  </w:tcBorders>
                  <w:noWrap/>
                  <w:vAlign w:val="center"/>
                </w:tcPr>
                <w:p w14:paraId="13A36935"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ZYFCG0261A</w:t>
                  </w:r>
                </w:p>
              </w:tc>
              <w:tc>
                <w:tcPr>
                  <w:tcW w:w="2684" w:type="dxa"/>
                  <w:tcBorders>
                    <w:top w:val="single" w:sz="4" w:space="0" w:color="000000"/>
                    <w:left w:val="single" w:sz="4" w:space="0" w:color="000000"/>
                    <w:bottom w:val="single" w:sz="4" w:space="0" w:color="000000"/>
                    <w:right w:val="single" w:sz="4" w:space="0" w:color="000000"/>
                  </w:tcBorders>
                  <w:noWrap/>
                  <w:vAlign w:val="center"/>
                </w:tcPr>
                <w:p w14:paraId="11B637A1"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浙江仙居农村商业银行股份有限公司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437DDCFD"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D8530A" w14:paraId="046171AA" w14:textId="77777777" w:rsidTr="00654B4D">
              <w:trPr>
                <w:trHeight w:val="870"/>
              </w:trPr>
              <w:tc>
                <w:tcPr>
                  <w:tcW w:w="1852" w:type="dxa"/>
                  <w:tcBorders>
                    <w:top w:val="single" w:sz="4" w:space="0" w:color="000000"/>
                    <w:left w:val="single" w:sz="4" w:space="0" w:color="000000"/>
                    <w:bottom w:val="single" w:sz="4" w:space="0" w:color="000000"/>
                    <w:right w:val="single" w:sz="4" w:space="0" w:color="000000"/>
                  </w:tcBorders>
                  <w:noWrap/>
                  <w:vAlign w:val="center"/>
                </w:tcPr>
                <w:p w14:paraId="14078C08"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ZYFCG0261A</w:t>
                  </w:r>
                </w:p>
              </w:tc>
              <w:tc>
                <w:tcPr>
                  <w:tcW w:w="2684" w:type="dxa"/>
                  <w:tcBorders>
                    <w:top w:val="single" w:sz="4" w:space="0" w:color="000000"/>
                    <w:left w:val="single" w:sz="4" w:space="0" w:color="000000"/>
                    <w:bottom w:val="single" w:sz="4" w:space="0" w:color="000000"/>
                    <w:right w:val="single" w:sz="4" w:space="0" w:color="000000"/>
                  </w:tcBorders>
                  <w:noWrap/>
                  <w:vAlign w:val="center"/>
                </w:tcPr>
                <w:p w14:paraId="65220132"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浙江温岭农村商业银行股份有限公司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21D6F446"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高净值个人、机构客户</w:t>
                  </w:r>
                </w:p>
              </w:tc>
            </w:tr>
            <w:tr w:rsidR="00D8530A" w14:paraId="66E9F0C2" w14:textId="77777777" w:rsidTr="00654B4D">
              <w:trPr>
                <w:trHeight w:val="870"/>
              </w:trPr>
              <w:tc>
                <w:tcPr>
                  <w:tcW w:w="1852" w:type="dxa"/>
                  <w:tcBorders>
                    <w:top w:val="single" w:sz="4" w:space="0" w:color="000000"/>
                    <w:left w:val="single" w:sz="4" w:space="0" w:color="000000"/>
                    <w:bottom w:val="single" w:sz="4" w:space="0" w:color="000000"/>
                    <w:right w:val="single" w:sz="4" w:space="0" w:color="000000"/>
                  </w:tcBorders>
                  <w:noWrap/>
                  <w:vAlign w:val="center"/>
                </w:tcPr>
                <w:p w14:paraId="48650C9A"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ZYFCG0261A</w:t>
                  </w:r>
                </w:p>
              </w:tc>
              <w:tc>
                <w:tcPr>
                  <w:tcW w:w="2684" w:type="dxa"/>
                  <w:tcBorders>
                    <w:top w:val="single" w:sz="4" w:space="0" w:color="000000"/>
                    <w:left w:val="single" w:sz="4" w:space="0" w:color="000000"/>
                    <w:bottom w:val="single" w:sz="4" w:space="0" w:color="000000"/>
                    <w:right w:val="single" w:sz="4" w:space="0" w:color="000000"/>
                  </w:tcBorders>
                  <w:noWrap/>
                  <w:vAlign w:val="center"/>
                </w:tcPr>
                <w:p w14:paraId="17383C33"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浙江开化农村商业银行股份有限公司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1B43187C"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D8530A" w14:paraId="46F6C72F" w14:textId="77777777" w:rsidTr="00654B4D">
              <w:trPr>
                <w:trHeight w:val="870"/>
              </w:trPr>
              <w:tc>
                <w:tcPr>
                  <w:tcW w:w="1852" w:type="dxa"/>
                  <w:tcBorders>
                    <w:top w:val="single" w:sz="4" w:space="0" w:color="000000"/>
                    <w:left w:val="single" w:sz="4" w:space="0" w:color="000000"/>
                    <w:bottom w:val="single" w:sz="4" w:space="0" w:color="000000"/>
                    <w:right w:val="single" w:sz="4" w:space="0" w:color="000000"/>
                  </w:tcBorders>
                  <w:noWrap/>
                  <w:vAlign w:val="center"/>
                </w:tcPr>
                <w:p w14:paraId="245A1E69"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ZYFCG0261A</w:t>
                  </w:r>
                </w:p>
              </w:tc>
              <w:tc>
                <w:tcPr>
                  <w:tcW w:w="2684" w:type="dxa"/>
                  <w:tcBorders>
                    <w:top w:val="single" w:sz="4" w:space="0" w:color="000000"/>
                    <w:left w:val="single" w:sz="4" w:space="0" w:color="000000"/>
                    <w:bottom w:val="single" w:sz="4" w:space="0" w:color="000000"/>
                    <w:right w:val="single" w:sz="4" w:space="0" w:color="000000"/>
                  </w:tcBorders>
                  <w:noWrap/>
                  <w:vAlign w:val="center"/>
                </w:tcPr>
                <w:p w14:paraId="305049F5"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浙江杭州余杭农村商业银行股份有限公司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024E5654"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D8530A" w14:paraId="1C90083A" w14:textId="77777777" w:rsidTr="00654B4D">
              <w:trPr>
                <w:trHeight w:val="870"/>
              </w:trPr>
              <w:tc>
                <w:tcPr>
                  <w:tcW w:w="1852" w:type="dxa"/>
                  <w:tcBorders>
                    <w:top w:val="single" w:sz="4" w:space="0" w:color="000000"/>
                    <w:left w:val="single" w:sz="4" w:space="0" w:color="000000"/>
                    <w:bottom w:val="single" w:sz="4" w:space="0" w:color="000000"/>
                    <w:right w:val="single" w:sz="4" w:space="0" w:color="000000"/>
                  </w:tcBorders>
                  <w:noWrap/>
                  <w:vAlign w:val="center"/>
                </w:tcPr>
                <w:p w14:paraId="66C010AC"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lastRenderedPageBreak/>
                    <w:t>ZYFCG0261A</w:t>
                  </w:r>
                </w:p>
              </w:tc>
              <w:tc>
                <w:tcPr>
                  <w:tcW w:w="2684" w:type="dxa"/>
                  <w:tcBorders>
                    <w:top w:val="single" w:sz="4" w:space="0" w:color="000000"/>
                    <w:left w:val="single" w:sz="4" w:space="0" w:color="000000"/>
                    <w:bottom w:val="single" w:sz="4" w:space="0" w:color="000000"/>
                    <w:right w:val="single" w:sz="4" w:space="0" w:color="000000"/>
                  </w:tcBorders>
                  <w:noWrap/>
                  <w:vAlign w:val="center"/>
                </w:tcPr>
                <w:p w14:paraId="4EFB1607"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浙江云和农村商业银行股份有限公司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6ECD6059"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D8530A" w14:paraId="7FCFDDC8" w14:textId="77777777" w:rsidTr="00654B4D">
              <w:trPr>
                <w:trHeight w:val="870"/>
              </w:trPr>
              <w:tc>
                <w:tcPr>
                  <w:tcW w:w="1852" w:type="dxa"/>
                  <w:tcBorders>
                    <w:top w:val="single" w:sz="4" w:space="0" w:color="000000"/>
                    <w:left w:val="single" w:sz="4" w:space="0" w:color="000000"/>
                    <w:bottom w:val="single" w:sz="4" w:space="0" w:color="000000"/>
                    <w:right w:val="single" w:sz="4" w:space="0" w:color="000000"/>
                  </w:tcBorders>
                  <w:noWrap/>
                  <w:vAlign w:val="center"/>
                </w:tcPr>
                <w:p w14:paraId="68B263E1"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ZYFCG0261A</w:t>
                  </w:r>
                </w:p>
              </w:tc>
              <w:tc>
                <w:tcPr>
                  <w:tcW w:w="2684" w:type="dxa"/>
                  <w:tcBorders>
                    <w:top w:val="single" w:sz="4" w:space="0" w:color="000000"/>
                    <w:left w:val="single" w:sz="4" w:space="0" w:color="000000"/>
                    <w:bottom w:val="single" w:sz="4" w:space="0" w:color="000000"/>
                    <w:right w:val="single" w:sz="4" w:space="0" w:color="000000"/>
                  </w:tcBorders>
                  <w:noWrap/>
                  <w:vAlign w:val="center"/>
                </w:tcPr>
                <w:p w14:paraId="47858A59"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浙江富阳农村商业银行股份有限公司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3B5B8919"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D8530A" w14:paraId="5A945E92" w14:textId="77777777" w:rsidTr="00654B4D">
              <w:trPr>
                <w:trHeight w:val="870"/>
              </w:trPr>
              <w:tc>
                <w:tcPr>
                  <w:tcW w:w="1852" w:type="dxa"/>
                  <w:tcBorders>
                    <w:top w:val="single" w:sz="4" w:space="0" w:color="000000"/>
                    <w:left w:val="single" w:sz="4" w:space="0" w:color="000000"/>
                    <w:bottom w:val="single" w:sz="4" w:space="0" w:color="000000"/>
                    <w:right w:val="single" w:sz="4" w:space="0" w:color="000000"/>
                  </w:tcBorders>
                  <w:noWrap/>
                  <w:vAlign w:val="center"/>
                </w:tcPr>
                <w:p w14:paraId="2B35EE65"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ZYFCG0261A</w:t>
                  </w:r>
                </w:p>
              </w:tc>
              <w:tc>
                <w:tcPr>
                  <w:tcW w:w="2684" w:type="dxa"/>
                  <w:tcBorders>
                    <w:top w:val="single" w:sz="4" w:space="0" w:color="000000"/>
                    <w:left w:val="single" w:sz="4" w:space="0" w:color="000000"/>
                    <w:bottom w:val="single" w:sz="4" w:space="0" w:color="000000"/>
                    <w:right w:val="single" w:sz="4" w:space="0" w:color="000000"/>
                  </w:tcBorders>
                  <w:noWrap/>
                  <w:vAlign w:val="center"/>
                </w:tcPr>
                <w:p w14:paraId="01DD6A5D"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浙江嵊州农村商业银行股份有限公司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1707517D"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D8530A" w14:paraId="487C537F" w14:textId="77777777" w:rsidTr="00654B4D">
              <w:trPr>
                <w:trHeight w:val="870"/>
              </w:trPr>
              <w:tc>
                <w:tcPr>
                  <w:tcW w:w="1852" w:type="dxa"/>
                  <w:tcBorders>
                    <w:top w:val="single" w:sz="4" w:space="0" w:color="000000"/>
                    <w:left w:val="single" w:sz="4" w:space="0" w:color="000000"/>
                    <w:bottom w:val="single" w:sz="4" w:space="0" w:color="000000"/>
                    <w:right w:val="single" w:sz="4" w:space="0" w:color="000000"/>
                  </w:tcBorders>
                  <w:noWrap/>
                  <w:vAlign w:val="center"/>
                </w:tcPr>
                <w:p w14:paraId="5DB8D284"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ZYFCG0261A</w:t>
                  </w:r>
                </w:p>
              </w:tc>
              <w:tc>
                <w:tcPr>
                  <w:tcW w:w="2684" w:type="dxa"/>
                  <w:tcBorders>
                    <w:top w:val="single" w:sz="4" w:space="0" w:color="000000"/>
                    <w:left w:val="single" w:sz="4" w:space="0" w:color="000000"/>
                    <w:bottom w:val="single" w:sz="4" w:space="0" w:color="000000"/>
                    <w:right w:val="single" w:sz="4" w:space="0" w:color="000000"/>
                  </w:tcBorders>
                  <w:noWrap/>
                  <w:vAlign w:val="center"/>
                </w:tcPr>
                <w:p w14:paraId="7952029D"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浙江舟山普陀农村商业银行股份有限公司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56F1DBC0"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高净值个人、机构客户</w:t>
                  </w:r>
                </w:p>
              </w:tc>
            </w:tr>
            <w:tr w:rsidR="00D8530A" w14:paraId="19D6FDC2" w14:textId="77777777" w:rsidTr="00654B4D">
              <w:trPr>
                <w:trHeight w:val="870"/>
              </w:trPr>
              <w:tc>
                <w:tcPr>
                  <w:tcW w:w="1852" w:type="dxa"/>
                  <w:tcBorders>
                    <w:top w:val="single" w:sz="4" w:space="0" w:color="000000"/>
                    <w:left w:val="single" w:sz="4" w:space="0" w:color="000000"/>
                    <w:bottom w:val="single" w:sz="4" w:space="0" w:color="000000"/>
                    <w:right w:val="single" w:sz="4" w:space="0" w:color="000000"/>
                  </w:tcBorders>
                  <w:noWrap/>
                  <w:vAlign w:val="center"/>
                </w:tcPr>
                <w:p w14:paraId="42C36BF4"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ZYFCG0261A</w:t>
                  </w:r>
                </w:p>
              </w:tc>
              <w:tc>
                <w:tcPr>
                  <w:tcW w:w="2684" w:type="dxa"/>
                  <w:tcBorders>
                    <w:top w:val="single" w:sz="4" w:space="0" w:color="000000"/>
                    <w:left w:val="single" w:sz="4" w:space="0" w:color="000000"/>
                    <w:bottom w:val="single" w:sz="4" w:space="0" w:color="000000"/>
                    <w:right w:val="single" w:sz="4" w:space="0" w:color="000000"/>
                  </w:tcBorders>
                  <w:noWrap/>
                  <w:vAlign w:val="center"/>
                </w:tcPr>
                <w:p w14:paraId="6FD960C7"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浙江庆元农村商业银行股份有限公司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064CE72C"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D8530A" w14:paraId="0FADE22E" w14:textId="77777777" w:rsidTr="00654B4D">
              <w:trPr>
                <w:trHeight w:val="870"/>
              </w:trPr>
              <w:tc>
                <w:tcPr>
                  <w:tcW w:w="1852" w:type="dxa"/>
                  <w:tcBorders>
                    <w:top w:val="single" w:sz="4" w:space="0" w:color="000000"/>
                    <w:left w:val="single" w:sz="4" w:space="0" w:color="000000"/>
                    <w:bottom w:val="single" w:sz="4" w:space="0" w:color="000000"/>
                    <w:right w:val="single" w:sz="4" w:space="0" w:color="000000"/>
                  </w:tcBorders>
                  <w:noWrap/>
                  <w:vAlign w:val="center"/>
                </w:tcPr>
                <w:p w14:paraId="289CFA87"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ZYFCG0261A</w:t>
                  </w:r>
                </w:p>
              </w:tc>
              <w:tc>
                <w:tcPr>
                  <w:tcW w:w="2684" w:type="dxa"/>
                  <w:tcBorders>
                    <w:top w:val="single" w:sz="4" w:space="0" w:color="000000"/>
                    <w:left w:val="single" w:sz="4" w:space="0" w:color="000000"/>
                    <w:bottom w:val="single" w:sz="4" w:space="0" w:color="000000"/>
                    <w:right w:val="single" w:sz="4" w:space="0" w:color="000000"/>
                  </w:tcBorders>
                  <w:noWrap/>
                  <w:vAlign w:val="center"/>
                </w:tcPr>
                <w:p w14:paraId="13011B25"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浙江永嘉农村商业银行股份有限公司</w:t>
                  </w:r>
                </w:p>
              </w:tc>
              <w:tc>
                <w:tcPr>
                  <w:tcW w:w="2268" w:type="dxa"/>
                  <w:tcBorders>
                    <w:top w:val="single" w:sz="4" w:space="0" w:color="000000"/>
                    <w:left w:val="single" w:sz="4" w:space="0" w:color="000000"/>
                    <w:bottom w:val="single" w:sz="4" w:space="0" w:color="000000"/>
                    <w:right w:val="single" w:sz="4" w:space="0" w:color="000000"/>
                  </w:tcBorders>
                  <w:vAlign w:val="center"/>
                </w:tcPr>
                <w:p w14:paraId="10B2BE9E"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新客户（个人、机构客户）、高净值客户（个人、机构客户）</w:t>
                  </w:r>
                </w:p>
              </w:tc>
            </w:tr>
            <w:tr w:rsidR="00D8530A" w14:paraId="62F2E456" w14:textId="77777777" w:rsidTr="00654B4D">
              <w:trPr>
                <w:trHeight w:val="1155"/>
              </w:trPr>
              <w:tc>
                <w:tcPr>
                  <w:tcW w:w="1852" w:type="dxa"/>
                  <w:tcBorders>
                    <w:top w:val="single" w:sz="4" w:space="0" w:color="000000"/>
                    <w:left w:val="single" w:sz="4" w:space="0" w:color="000000"/>
                    <w:bottom w:val="single" w:sz="4" w:space="0" w:color="000000"/>
                    <w:right w:val="single" w:sz="4" w:space="0" w:color="000000"/>
                  </w:tcBorders>
                  <w:noWrap/>
                  <w:vAlign w:val="center"/>
                </w:tcPr>
                <w:p w14:paraId="0A127FDE"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ZYFCG0261A</w:t>
                  </w:r>
                </w:p>
              </w:tc>
              <w:tc>
                <w:tcPr>
                  <w:tcW w:w="2684" w:type="dxa"/>
                  <w:tcBorders>
                    <w:top w:val="single" w:sz="4" w:space="0" w:color="000000"/>
                    <w:left w:val="single" w:sz="4" w:space="0" w:color="000000"/>
                    <w:bottom w:val="single" w:sz="4" w:space="0" w:color="000000"/>
                    <w:right w:val="single" w:sz="4" w:space="0" w:color="000000"/>
                  </w:tcBorders>
                  <w:noWrap/>
                  <w:vAlign w:val="center"/>
                </w:tcPr>
                <w:p w14:paraId="31BE3DAB"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宁波北仑农村商业银行股份有限公司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00B9569C"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D8530A" w14:paraId="0E16388B" w14:textId="77777777" w:rsidTr="00654B4D">
              <w:trPr>
                <w:trHeight w:val="870"/>
              </w:trPr>
              <w:tc>
                <w:tcPr>
                  <w:tcW w:w="1852" w:type="dxa"/>
                  <w:tcBorders>
                    <w:top w:val="single" w:sz="4" w:space="0" w:color="000000"/>
                    <w:left w:val="single" w:sz="4" w:space="0" w:color="000000"/>
                    <w:bottom w:val="single" w:sz="4" w:space="0" w:color="000000"/>
                    <w:right w:val="single" w:sz="4" w:space="0" w:color="000000"/>
                  </w:tcBorders>
                  <w:noWrap/>
                  <w:vAlign w:val="center"/>
                </w:tcPr>
                <w:p w14:paraId="275C2A12"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ZYFCG0261A</w:t>
                  </w:r>
                </w:p>
              </w:tc>
              <w:tc>
                <w:tcPr>
                  <w:tcW w:w="2684" w:type="dxa"/>
                  <w:tcBorders>
                    <w:top w:val="single" w:sz="4" w:space="0" w:color="000000"/>
                    <w:left w:val="single" w:sz="4" w:space="0" w:color="000000"/>
                    <w:bottom w:val="single" w:sz="4" w:space="0" w:color="000000"/>
                    <w:right w:val="single" w:sz="4" w:space="0" w:color="000000"/>
                  </w:tcBorders>
                  <w:noWrap/>
                  <w:vAlign w:val="center"/>
                </w:tcPr>
                <w:p w14:paraId="3FC6AADC"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浙江青田农村商业银行股份有限公司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255971A9"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D8530A" w14:paraId="2EF6C3C9" w14:textId="77777777" w:rsidTr="00654B4D">
              <w:trPr>
                <w:trHeight w:val="870"/>
              </w:trPr>
              <w:tc>
                <w:tcPr>
                  <w:tcW w:w="1852" w:type="dxa"/>
                  <w:tcBorders>
                    <w:top w:val="single" w:sz="4" w:space="0" w:color="000000"/>
                    <w:left w:val="single" w:sz="4" w:space="0" w:color="000000"/>
                    <w:bottom w:val="single" w:sz="4" w:space="0" w:color="000000"/>
                    <w:right w:val="single" w:sz="4" w:space="0" w:color="000000"/>
                  </w:tcBorders>
                  <w:noWrap/>
                  <w:vAlign w:val="center"/>
                </w:tcPr>
                <w:p w14:paraId="34AB8C57"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ZYFCG0261B</w:t>
                  </w:r>
                </w:p>
              </w:tc>
              <w:tc>
                <w:tcPr>
                  <w:tcW w:w="2684" w:type="dxa"/>
                  <w:tcBorders>
                    <w:top w:val="single" w:sz="4" w:space="0" w:color="000000"/>
                    <w:left w:val="single" w:sz="4" w:space="0" w:color="000000"/>
                    <w:bottom w:val="single" w:sz="4" w:space="0" w:color="000000"/>
                    <w:right w:val="single" w:sz="4" w:space="0" w:color="000000"/>
                  </w:tcBorders>
                  <w:noWrap/>
                  <w:vAlign w:val="center"/>
                </w:tcPr>
                <w:p w14:paraId="613246B3"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浙江玉环农村商业银行股份有限公司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6BFCD4C5"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D8530A" w14:paraId="26C0C953" w14:textId="77777777" w:rsidTr="00654B4D">
              <w:trPr>
                <w:trHeight w:val="870"/>
              </w:trPr>
              <w:tc>
                <w:tcPr>
                  <w:tcW w:w="1852" w:type="dxa"/>
                  <w:tcBorders>
                    <w:top w:val="single" w:sz="4" w:space="0" w:color="000000"/>
                    <w:left w:val="single" w:sz="4" w:space="0" w:color="000000"/>
                    <w:bottom w:val="single" w:sz="4" w:space="0" w:color="000000"/>
                    <w:right w:val="single" w:sz="4" w:space="0" w:color="000000"/>
                  </w:tcBorders>
                  <w:noWrap/>
                  <w:vAlign w:val="center"/>
                </w:tcPr>
                <w:p w14:paraId="354F829D"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ZYFCG0261B</w:t>
                  </w:r>
                </w:p>
              </w:tc>
              <w:tc>
                <w:tcPr>
                  <w:tcW w:w="2684" w:type="dxa"/>
                  <w:tcBorders>
                    <w:top w:val="single" w:sz="4" w:space="0" w:color="000000"/>
                    <w:left w:val="single" w:sz="4" w:space="0" w:color="000000"/>
                    <w:bottom w:val="single" w:sz="4" w:space="0" w:color="000000"/>
                    <w:right w:val="single" w:sz="4" w:space="0" w:color="000000"/>
                  </w:tcBorders>
                  <w:noWrap/>
                  <w:vAlign w:val="center"/>
                </w:tcPr>
                <w:p w14:paraId="0AB724CC"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浙江岱山农村商业银行股份有限公司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6F6D3D3E"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D8530A" w14:paraId="161B4E20" w14:textId="77777777" w:rsidTr="00654B4D">
              <w:trPr>
                <w:trHeight w:val="870"/>
              </w:trPr>
              <w:tc>
                <w:tcPr>
                  <w:tcW w:w="1852" w:type="dxa"/>
                  <w:tcBorders>
                    <w:top w:val="single" w:sz="4" w:space="0" w:color="000000"/>
                    <w:left w:val="single" w:sz="4" w:space="0" w:color="000000"/>
                    <w:bottom w:val="single" w:sz="4" w:space="0" w:color="000000"/>
                    <w:right w:val="single" w:sz="4" w:space="0" w:color="000000"/>
                  </w:tcBorders>
                  <w:noWrap/>
                  <w:vAlign w:val="center"/>
                </w:tcPr>
                <w:p w14:paraId="6C4C2F1E"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ZYFCG0261B</w:t>
                  </w:r>
                </w:p>
              </w:tc>
              <w:tc>
                <w:tcPr>
                  <w:tcW w:w="2684" w:type="dxa"/>
                  <w:tcBorders>
                    <w:top w:val="single" w:sz="4" w:space="0" w:color="000000"/>
                    <w:left w:val="single" w:sz="4" w:space="0" w:color="000000"/>
                    <w:bottom w:val="single" w:sz="4" w:space="0" w:color="000000"/>
                    <w:right w:val="single" w:sz="4" w:space="0" w:color="000000"/>
                  </w:tcBorders>
                  <w:noWrap/>
                  <w:vAlign w:val="center"/>
                </w:tcPr>
                <w:p w14:paraId="7CA2BB36"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浙江衢州衢江农村商业银行股份有限公司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5E2D9297"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D8530A" w14:paraId="1DA63552" w14:textId="77777777" w:rsidTr="00654B4D">
              <w:trPr>
                <w:trHeight w:val="870"/>
              </w:trPr>
              <w:tc>
                <w:tcPr>
                  <w:tcW w:w="1852" w:type="dxa"/>
                  <w:tcBorders>
                    <w:top w:val="single" w:sz="4" w:space="0" w:color="000000"/>
                    <w:left w:val="single" w:sz="4" w:space="0" w:color="000000"/>
                    <w:bottom w:val="single" w:sz="4" w:space="0" w:color="000000"/>
                    <w:right w:val="single" w:sz="4" w:space="0" w:color="000000"/>
                  </w:tcBorders>
                  <w:noWrap/>
                  <w:vAlign w:val="center"/>
                </w:tcPr>
                <w:p w14:paraId="46C32C1B"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ZYFCG0261B</w:t>
                  </w:r>
                </w:p>
              </w:tc>
              <w:tc>
                <w:tcPr>
                  <w:tcW w:w="2684" w:type="dxa"/>
                  <w:tcBorders>
                    <w:top w:val="single" w:sz="4" w:space="0" w:color="000000"/>
                    <w:left w:val="single" w:sz="4" w:space="0" w:color="000000"/>
                    <w:bottom w:val="single" w:sz="4" w:space="0" w:color="000000"/>
                    <w:right w:val="single" w:sz="4" w:space="0" w:color="000000"/>
                  </w:tcBorders>
                  <w:noWrap/>
                  <w:vAlign w:val="center"/>
                </w:tcPr>
                <w:p w14:paraId="1DA89C91"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浙江禾城农村商业银行股份有限公司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214FAAC9"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D8530A" w14:paraId="33C9E339" w14:textId="77777777" w:rsidTr="00654B4D">
              <w:trPr>
                <w:trHeight w:val="870"/>
              </w:trPr>
              <w:tc>
                <w:tcPr>
                  <w:tcW w:w="1852" w:type="dxa"/>
                  <w:tcBorders>
                    <w:top w:val="single" w:sz="4" w:space="0" w:color="000000"/>
                    <w:left w:val="single" w:sz="4" w:space="0" w:color="000000"/>
                    <w:bottom w:val="single" w:sz="4" w:space="0" w:color="000000"/>
                    <w:right w:val="single" w:sz="4" w:space="0" w:color="000000"/>
                  </w:tcBorders>
                  <w:noWrap/>
                  <w:vAlign w:val="center"/>
                </w:tcPr>
                <w:p w14:paraId="027DE6A8"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ZYFCG0261B</w:t>
                  </w:r>
                </w:p>
              </w:tc>
              <w:tc>
                <w:tcPr>
                  <w:tcW w:w="2684" w:type="dxa"/>
                  <w:tcBorders>
                    <w:top w:val="single" w:sz="4" w:space="0" w:color="000000"/>
                    <w:left w:val="single" w:sz="4" w:space="0" w:color="000000"/>
                    <w:bottom w:val="single" w:sz="4" w:space="0" w:color="000000"/>
                    <w:right w:val="single" w:sz="4" w:space="0" w:color="000000"/>
                  </w:tcBorders>
                  <w:noWrap/>
                  <w:vAlign w:val="center"/>
                </w:tcPr>
                <w:p w14:paraId="4059D1C3"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浙江舟山普陀农村商业银行股份有限公司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56DFBE7B"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D8530A" w14:paraId="44A0683C" w14:textId="77777777" w:rsidTr="00654B4D">
              <w:trPr>
                <w:trHeight w:val="870"/>
              </w:trPr>
              <w:tc>
                <w:tcPr>
                  <w:tcW w:w="1852" w:type="dxa"/>
                  <w:tcBorders>
                    <w:top w:val="single" w:sz="4" w:space="0" w:color="000000"/>
                    <w:left w:val="single" w:sz="4" w:space="0" w:color="000000"/>
                    <w:bottom w:val="single" w:sz="4" w:space="0" w:color="000000"/>
                    <w:right w:val="single" w:sz="4" w:space="0" w:color="000000"/>
                  </w:tcBorders>
                  <w:noWrap/>
                  <w:vAlign w:val="center"/>
                </w:tcPr>
                <w:p w14:paraId="6049F934"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ZYFCG0261B</w:t>
                  </w:r>
                </w:p>
              </w:tc>
              <w:tc>
                <w:tcPr>
                  <w:tcW w:w="2684" w:type="dxa"/>
                  <w:tcBorders>
                    <w:top w:val="single" w:sz="4" w:space="0" w:color="000000"/>
                    <w:left w:val="single" w:sz="4" w:space="0" w:color="000000"/>
                    <w:bottom w:val="single" w:sz="4" w:space="0" w:color="000000"/>
                    <w:right w:val="single" w:sz="4" w:space="0" w:color="000000"/>
                  </w:tcBorders>
                  <w:noWrap/>
                  <w:vAlign w:val="center"/>
                </w:tcPr>
                <w:p w14:paraId="306633FA"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浙江平湖农村商业银行股份有限公司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15D31291"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D8530A" w14:paraId="71C16A42" w14:textId="77777777" w:rsidTr="00654B4D">
              <w:trPr>
                <w:trHeight w:val="870"/>
              </w:trPr>
              <w:tc>
                <w:tcPr>
                  <w:tcW w:w="1852" w:type="dxa"/>
                  <w:tcBorders>
                    <w:top w:val="single" w:sz="4" w:space="0" w:color="000000"/>
                    <w:left w:val="single" w:sz="4" w:space="0" w:color="000000"/>
                    <w:bottom w:val="single" w:sz="4" w:space="0" w:color="000000"/>
                    <w:right w:val="single" w:sz="4" w:space="0" w:color="000000"/>
                  </w:tcBorders>
                  <w:noWrap/>
                  <w:vAlign w:val="center"/>
                </w:tcPr>
                <w:p w14:paraId="47B683E6"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ZYFCG0261B</w:t>
                  </w:r>
                </w:p>
              </w:tc>
              <w:tc>
                <w:tcPr>
                  <w:tcW w:w="2684" w:type="dxa"/>
                  <w:tcBorders>
                    <w:top w:val="single" w:sz="4" w:space="0" w:color="000000"/>
                    <w:left w:val="single" w:sz="4" w:space="0" w:color="000000"/>
                    <w:bottom w:val="single" w:sz="4" w:space="0" w:color="000000"/>
                    <w:right w:val="single" w:sz="4" w:space="0" w:color="000000"/>
                  </w:tcBorders>
                  <w:noWrap/>
                  <w:vAlign w:val="center"/>
                </w:tcPr>
                <w:p w14:paraId="40412CDE"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浙江海盐农村商业银行股份有限公司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1CE840DC"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D8530A" w14:paraId="23D6257A" w14:textId="77777777" w:rsidTr="00654B4D">
              <w:trPr>
                <w:trHeight w:val="870"/>
              </w:trPr>
              <w:tc>
                <w:tcPr>
                  <w:tcW w:w="1852" w:type="dxa"/>
                  <w:tcBorders>
                    <w:top w:val="single" w:sz="4" w:space="0" w:color="000000"/>
                    <w:left w:val="single" w:sz="4" w:space="0" w:color="000000"/>
                    <w:bottom w:val="single" w:sz="4" w:space="0" w:color="000000"/>
                    <w:right w:val="single" w:sz="4" w:space="0" w:color="000000"/>
                  </w:tcBorders>
                  <w:noWrap/>
                  <w:vAlign w:val="center"/>
                </w:tcPr>
                <w:p w14:paraId="56DEB98C"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ZYFCG0261B</w:t>
                  </w:r>
                </w:p>
              </w:tc>
              <w:tc>
                <w:tcPr>
                  <w:tcW w:w="2684" w:type="dxa"/>
                  <w:tcBorders>
                    <w:top w:val="single" w:sz="4" w:space="0" w:color="000000"/>
                    <w:left w:val="single" w:sz="4" w:space="0" w:color="000000"/>
                    <w:bottom w:val="single" w:sz="4" w:space="0" w:color="000000"/>
                    <w:right w:val="single" w:sz="4" w:space="0" w:color="000000"/>
                  </w:tcBorders>
                  <w:noWrap/>
                  <w:vAlign w:val="center"/>
                </w:tcPr>
                <w:p w14:paraId="5FCB6A0B"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浙江萧山农村商业银行股份有限公司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269973EA"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D8530A" w14:paraId="361A72E2" w14:textId="77777777" w:rsidTr="00654B4D">
              <w:trPr>
                <w:trHeight w:val="870"/>
              </w:trPr>
              <w:tc>
                <w:tcPr>
                  <w:tcW w:w="1852" w:type="dxa"/>
                  <w:tcBorders>
                    <w:top w:val="single" w:sz="4" w:space="0" w:color="000000"/>
                    <w:left w:val="single" w:sz="4" w:space="0" w:color="000000"/>
                    <w:bottom w:val="single" w:sz="4" w:space="0" w:color="000000"/>
                    <w:right w:val="single" w:sz="4" w:space="0" w:color="000000"/>
                  </w:tcBorders>
                  <w:noWrap/>
                  <w:vAlign w:val="center"/>
                </w:tcPr>
                <w:p w14:paraId="7BF4F649"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lastRenderedPageBreak/>
                    <w:t>ZYFCG0261B</w:t>
                  </w:r>
                </w:p>
              </w:tc>
              <w:tc>
                <w:tcPr>
                  <w:tcW w:w="2684" w:type="dxa"/>
                  <w:tcBorders>
                    <w:top w:val="single" w:sz="4" w:space="0" w:color="000000"/>
                    <w:left w:val="single" w:sz="4" w:space="0" w:color="000000"/>
                    <w:bottom w:val="single" w:sz="4" w:space="0" w:color="000000"/>
                    <w:right w:val="single" w:sz="4" w:space="0" w:color="000000"/>
                  </w:tcBorders>
                  <w:noWrap/>
                  <w:vAlign w:val="center"/>
                </w:tcPr>
                <w:p w14:paraId="40B2230A"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浙江嵊泗农村商业银行股份有限公司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031FCAF7"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D8530A" w14:paraId="5289F178" w14:textId="77777777" w:rsidTr="00654B4D">
              <w:trPr>
                <w:trHeight w:val="870"/>
              </w:trPr>
              <w:tc>
                <w:tcPr>
                  <w:tcW w:w="1852" w:type="dxa"/>
                  <w:tcBorders>
                    <w:top w:val="single" w:sz="4" w:space="0" w:color="000000"/>
                    <w:left w:val="single" w:sz="4" w:space="0" w:color="000000"/>
                    <w:bottom w:val="single" w:sz="4" w:space="0" w:color="000000"/>
                    <w:right w:val="single" w:sz="4" w:space="0" w:color="000000"/>
                  </w:tcBorders>
                  <w:noWrap/>
                  <w:vAlign w:val="center"/>
                </w:tcPr>
                <w:p w14:paraId="6886A967"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ZYFCG0261B</w:t>
                  </w:r>
                </w:p>
              </w:tc>
              <w:tc>
                <w:tcPr>
                  <w:tcW w:w="2684" w:type="dxa"/>
                  <w:tcBorders>
                    <w:top w:val="single" w:sz="4" w:space="0" w:color="000000"/>
                    <w:left w:val="single" w:sz="4" w:space="0" w:color="000000"/>
                    <w:bottom w:val="single" w:sz="4" w:space="0" w:color="000000"/>
                    <w:right w:val="single" w:sz="4" w:space="0" w:color="000000"/>
                  </w:tcBorders>
                  <w:noWrap/>
                  <w:vAlign w:val="center"/>
                </w:tcPr>
                <w:p w14:paraId="60D3BCC1"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浙江台州椒江农村商业银行股份有限公司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7B60C7B0"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D8530A" w14:paraId="073A13C5" w14:textId="77777777" w:rsidTr="00654B4D">
              <w:trPr>
                <w:trHeight w:val="870"/>
              </w:trPr>
              <w:tc>
                <w:tcPr>
                  <w:tcW w:w="1852" w:type="dxa"/>
                  <w:tcBorders>
                    <w:top w:val="single" w:sz="4" w:space="0" w:color="000000"/>
                    <w:left w:val="single" w:sz="4" w:space="0" w:color="000000"/>
                    <w:bottom w:val="single" w:sz="4" w:space="0" w:color="000000"/>
                    <w:right w:val="single" w:sz="4" w:space="0" w:color="000000"/>
                  </w:tcBorders>
                  <w:noWrap/>
                  <w:vAlign w:val="center"/>
                </w:tcPr>
                <w:p w14:paraId="51782B35"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ZYFCG0261B</w:t>
                  </w:r>
                </w:p>
              </w:tc>
              <w:tc>
                <w:tcPr>
                  <w:tcW w:w="2684" w:type="dxa"/>
                  <w:tcBorders>
                    <w:top w:val="single" w:sz="4" w:space="0" w:color="000000"/>
                    <w:left w:val="single" w:sz="4" w:space="0" w:color="000000"/>
                    <w:bottom w:val="single" w:sz="4" w:space="0" w:color="000000"/>
                    <w:right w:val="single" w:sz="4" w:space="0" w:color="000000"/>
                  </w:tcBorders>
                  <w:noWrap/>
                  <w:vAlign w:val="center"/>
                </w:tcPr>
                <w:p w14:paraId="6B6BFC09"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浙江台州黄岩农村商业银行股份有限公司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10F08282"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D8530A" w14:paraId="19765AB8" w14:textId="77777777" w:rsidTr="00654B4D">
              <w:trPr>
                <w:trHeight w:val="870"/>
              </w:trPr>
              <w:tc>
                <w:tcPr>
                  <w:tcW w:w="1852" w:type="dxa"/>
                  <w:tcBorders>
                    <w:top w:val="single" w:sz="4" w:space="0" w:color="000000"/>
                    <w:left w:val="single" w:sz="4" w:space="0" w:color="000000"/>
                    <w:bottom w:val="single" w:sz="4" w:space="0" w:color="000000"/>
                    <w:right w:val="single" w:sz="4" w:space="0" w:color="000000"/>
                  </w:tcBorders>
                  <w:noWrap/>
                  <w:vAlign w:val="center"/>
                </w:tcPr>
                <w:p w14:paraId="39A26014"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ZYFCG0261B</w:t>
                  </w:r>
                </w:p>
              </w:tc>
              <w:tc>
                <w:tcPr>
                  <w:tcW w:w="2684" w:type="dxa"/>
                  <w:tcBorders>
                    <w:top w:val="single" w:sz="4" w:space="0" w:color="000000"/>
                    <w:left w:val="single" w:sz="4" w:space="0" w:color="000000"/>
                    <w:bottom w:val="single" w:sz="4" w:space="0" w:color="000000"/>
                    <w:right w:val="single" w:sz="4" w:space="0" w:color="000000"/>
                  </w:tcBorders>
                  <w:noWrap/>
                  <w:vAlign w:val="center"/>
                </w:tcPr>
                <w:p w14:paraId="2292689F"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浙江诸暨农村商业银行股份有限公司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754A846D"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D8530A" w14:paraId="217D6A39" w14:textId="77777777" w:rsidTr="00654B4D">
              <w:trPr>
                <w:trHeight w:val="870"/>
              </w:trPr>
              <w:tc>
                <w:tcPr>
                  <w:tcW w:w="1852" w:type="dxa"/>
                  <w:tcBorders>
                    <w:top w:val="single" w:sz="4" w:space="0" w:color="000000"/>
                    <w:left w:val="single" w:sz="4" w:space="0" w:color="000000"/>
                    <w:bottom w:val="single" w:sz="4" w:space="0" w:color="000000"/>
                    <w:right w:val="single" w:sz="4" w:space="0" w:color="000000"/>
                  </w:tcBorders>
                  <w:noWrap/>
                  <w:vAlign w:val="center"/>
                </w:tcPr>
                <w:p w14:paraId="0B27D51A"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ZYFCG0261B</w:t>
                  </w:r>
                </w:p>
              </w:tc>
              <w:tc>
                <w:tcPr>
                  <w:tcW w:w="2684" w:type="dxa"/>
                  <w:tcBorders>
                    <w:top w:val="single" w:sz="4" w:space="0" w:color="000000"/>
                    <w:left w:val="single" w:sz="4" w:space="0" w:color="000000"/>
                    <w:bottom w:val="single" w:sz="4" w:space="0" w:color="000000"/>
                    <w:right w:val="single" w:sz="4" w:space="0" w:color="000000"/>
                  </w:tcBorders>
                  <w:noWrap/>
                  <w:vAlign w:val="center"/>
                </w:tcPr>
                <w:p w14:paraId="0226B44E"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浙江东阳农村商业银行股份有限公司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7B9A2AE0"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D8530A" w14:paraId="1187CA6D" w14:textId="77777777" w:rsidTr="00654B4D">
              <w:trPr>
                <w:trHeight w:val="1155"/>
              </w:trPr>
              <w:tc>
                <w:tcPr>
                  <w:tcW w:w="1852" w:type="dxa"/>
                  <w:tcBorders>
                    <w:top w:val="single" w:sz="4" w:space="0" w:color="000000"/>
                    <w:left w:val="single" w:sz="4" w:space="0" w:color="000000"/>
                    <w:bottom w:val="single" w:sz="4" w:space="0" w:color="000000"/>
                    <w:right w:val="single" w:sz="4" w:space="0" w:color="000000"/>
                  </w:tcBorders>
                  <w:noWrap/>
                  <w:vAlign w:val="center"/>
                </w:tcPr>
                <w:p w14:paraId="69BC97D0"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ZYFCG0261B</w:t>
                  </w:r>
                </w:p>
              </w:tc>
              <w:tc>
                <w:tcPr>
                  <w:tcW w:w="2684" w:type="dxa"/>
                  <w:tcBorders>
                    <w:top w:val="single" w:sz="4" w:space="0" w:color="000000"/>
                    <w:left w:val="single" w:sz="4" w:space="0" w:color="000000"/>
                    <w:bottom w:val="single" w:sz="4" w:space="0" w:color="000000"/>
                    <w:right w:val="single" w:sz="4" w:space="0" w:color="000000"/>
                  </w:tcBorders>
                  <w:noWrap/>
                  <w:vAlign w:val="center"/>
                </w:tcPr>
                <w:p w14:paraId="62ACBD1C"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浙江桐庐农村商业银行股份有限公司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7B382672"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D8530A" w14:paraId="5C84EE70" w14:textId="77777777" w:rsidTr="00654B4D">
              <w:trPr>
                <w:trHeight w:val="870"/>
              </w:trPr>
              <w:tc>
                <w:tcPr>
                  <w:tcW w:w="1852" w:type="dxa"/>
                  <w:tcBorders>
                    <w:top w:val="single" w:sz="4" w:space="0" w:color="000000"/>
                    <w:left w:val="single" w:sz="4" w:space="0" w:color="000000"/>
                    <w:bottom w:val="single" w:sz="4" w:space="0" w:color="000000"/>
                    <w:right w:val="single" w:sz="4" w:space="0" w:color="000000"/>
                  </w:tcBorders>
                  <w:noWrap/>
                  <w:vAlign w:val="center"/>
                </w:tcPr>
                <w:p w14:paraId="0C8102F4"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ZYFCG0261B</w:t>
                  </w:r>
                </w:p>
              </w:tc>
              <w:tc>
                <w:tcPr>
                  <w:tcW w:w="2684" w:type="dxa"/>
                  <w:tcBorders>
                    <w:top w:val="single" w:sz="4" w:space="0" w:color="000000"/>
                    <w:left w:val="single" w:sz="4" w:space="0" w:color="000000"/>
                    <w:bottom w:val="single" w:sz="4" w:space="0" w:color="000000"/>
                    <w:right w:val="single" w:sz="4" w:space="0" w:color="000000"/>
                  </w:tcBorders>
                  <w:noWrap/>
                  <w:vAlign w:val="center"/>
                </w:tcPr>
                <w:p w14:paraId="54822B39"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浙江舟山定海海洋农村商业银行股份有限公司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70C89EB9"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D8530A" w14:paraId="6B3DB571" w14:textId="77777777" w:rsidTr="00654B4D">
              <w:trPr>
                <w:trHeight w:val="870"/>
              </w:trPr>
              <w:tc>
                <w:tcPr>
                  <w:tcW w:w="1852" w:type="dxa"/>
                  <w:tcBorders>
                    <w:top w:val="single" w:sz="4" w:space="0" w:color="000000"/>
                    <w:left w:val="single" w:sz="4" w:space="0" w:color="000000"/>
                    <w:bottom w:val="single" w:sz="4" w:space="0" w:color="000000"/>
                    <w:right w:val="single" w:sz="4" w:space="0" w:color="000000"/>
                  </w:tcBorders>
                  <w:noWrap/>
                  <w:vAlign w:val="center"/>
                </w:tcPr>
                <w:p w14:paraId="70CD07E9"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ZYFCG0261B</w:t>
                  </w:r>
                </w:p>
              </w:tc>
              <w:tc>
                <w:tcPr>
                  <w:tcW w:w="2684" w:type="dxa"/>
                  <w:tcBorders>
                    <w:top w:val="single" w:sz="4" w:space="0" w:color="000000"/>
                    <w:left w:val="single" w:sz="4" w:space="0" w:color="000000"/>
                    <w:bottom w:val="single" w:sz="4" w:space="0" w:color="000000"/>
                    <w:right w:val="single" w:sz="4" w:space="0" w:color="000000"/>
                  </w:tcBorders>
                  <w:noWrap/>
                  <w:vAlign w:val="center"/>
                </w:tcPr>
                <w:p w14:paraId="7997C990"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宁波象山农村商业银行股份有限公司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0385946B"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D8530A" w14:paraId="2FE98C93" w14:textId="77777777" w:rsidTr="00654B4D">
              <w:trPr>
                <w:trHeight w:val="870"/>
              </w:trPr>
              <w:tc>
                <w:tcPr>
                  <w:tcW w:w="1852" w:type="dxa"/>
                  <w:tcBorders>
                    <w:top w:val="single" w:sz="4" w:space="0" w:color="000000"/>
                    <w:left w:val="single" w:sz="4" w:space="0" w:color="000000"/>
                    <w:bottom w:val="single" w:sz="4" w:space="0" w:color="000000"/>
                    <w:right w:val="single" w:sz="4" w:space="0" w:color="000000"/>
                  </w:tcBorders>
                  <w:noWrap/>
                  <w:vAlign w:val="center"/>
                </w:tcPr>
                <w:p w14:paraId="24E924A6"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ZYFCG0261C</w:t>
                  </w:r>
                </w:p>
              </w:tc>
              <w:tc>
                <w:tcPr>
                  <w:tcW w:w="2684" w:type="dxa"/>
                  <w:tcBorders>
                    <w:top w:val="single" w:sz="4" w:space="0" w:color="000000"/>
                    <w:left w:val="single" w:sz="4" w:space="0" w:color="000000"/>
                    <w:bottom w:val="single" w:sz="4" w:space="0" w:color="000000"/>
                    <w:right w:val="single" w:sz="4" w:space="0" w:color="000000"/>
                  </w:tcBorders>
                  <w:noWrap/>
                  <w:vAlign w:val="center"/>
                </w:tcPr>
                <w:p w14:paraId="09DF446F"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浙江松阳农村商业银行股份有限公司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6F6E43F3"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D8530A" w14:paraId="7DF65206" w14:textId="77777777" w:rsidTr="00654B4D">
              <w:trPr>
                <w:trHeight w:val="870"/>
              </w:trPr>
              <w:tc>
                <w:tcPr>
                  <w:tcW w:w="1852" w:type="dxa"/>
                  <w:tcBorders>
                    <w:top w:val="single" w:sz="4" w:space="0" w:color="000000"/>
                    <w:left w:val="single" w:sz="4" w:space="0" w:color="000000"/>
                    <w:bottom w:val="single" w:sz="4" w:space="0" w:color="000000"/>
                    <w:right w:val="single" w:sz="4" w:space="0" w:color="000000"/>
                  </w:tcBorders>
                  <w:noWrap/>
                  <w:vAlign w:val="center"/>
                </w:tcPr>
                <w:p w14:paraId="3B7079B7"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ZYFCG0261C</w:t>
                  </w:r>
                </w:p>
              </w:tc>
              <w:tc>
                <w:tcPr>
                  <w:tcW w:w="2684" w:type="dxa"/>
                  <w:tcBorders>
                    <w:top w:val="single" w:sz="4" w:space="0" w:color="000000"/>
                    <w:left w:val="single" w:sz="4" w:space="0" w:color="000000"/>
                    <w:bottom w:val="single" w:sz="4" w:space="0" w:color="000000"/>
                    <w:right w:val="single" w:sz="4" w:space="0" w:color="000000"/>
                  </w:tcBorders>
                  <w:noWrap/>
                  <w:vAlign w:val="center"/>
                </w:tcPr>
                <w:p w14:paraId="5BFCDC88"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浙江临安农村商业银行股份有限公司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36F560DD"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D8530A" w14:paraId="186EE4DD" w14:textId="77777777" w:rsidTr="00654B4D">
              <w:trPr>
                <w:trHeight w:val="870"/>
              </w:trPr>
              <w:tc>
                <w:tcPr>
                  <w:tcW w:w="1852" w:type="dxa"/>
                  <w:tcBorders>
                    <w:top w:val="single" w:sz="4" w:space="0" w:color="000000"/>
                    <w:left w:val="single" w:sz="4" w:space="0" w:color="000000"/>
                    <w:bottom w:val="single" w:sz="4" w:space="0" w:color="000000"/>
                    <w:right w:val="single" w:sz="4" w:space="0" w:color="000000"/>
                  </w:tcBorders>
                  <w:noWrap/>
                  <w:vAlign w:val="center"/>
                </w:tcPr>
                <w:p w14:paraId="4902EB46"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ZYFCG0261C</w:t>
                  </w:r>
                </w:p>
              </w:tc>
              <w:tc>
                <w:tcPr>
                  <w:tcW w:w="2684" w:type="dxa"/>
                  <w:tcBorders>
                    <w:top w:val="single" w:sz="4" w:space="0" w:color="000000"/>
                    <w:left w:val="single" w:sz="4" w:space="0" w:color="000000"/>
                    <w:bottom w:val="single" w:sz="4" w:space="0" w:color="000000"/>
                    <w:right w:val="single" w:sz="4" w:space="0" w:color="000000"/>
                  </w:tcBorders>
                  <w:noWrap/>
                  <w:vAlign w:val="center"/>
                </w:tcPr>
                <w:p w14:paraId="4B1197A9"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浙江三门农村商业银行股份有限公司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7352ECD2"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D8530A" w14:paraId="710DDFD7" w14:textId="77777777" w:rsidTr="00654B4D">
              <w:trPr>
                <w:trHeight w:val="870"/>
              </w:trPr>
              <w:tc>
                <w:tcPr>
                  <w:tcW w:w="1852" w:type="dxa"/>
                  <w:tcBorders>
                    <w:top w:val="single" w:sz="4" w:space="0" w:color="000000"/>
                    <w:left w:val="single" w:sz="4" w:space="0" w:color="000000"/>
                    <w:bottom w:val="single" w:sz="4" w:space="0" w:color="000000"/>
                    <w:right w:val="single" w:sz="4" w:space="0" w:color="000000"/>
                  </w:tcBorders>
                  <w:noWrap/>
                  <w:vAlign w:val="center"/>
                </w:tcPr>
                <w:p w14:paraId="1FF89C05"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ZYFCG0261C</w:t>
                  </w:r>
                </w:p>
              </w:tc>
              <w:tc>
                <w:tcPr>
                  <w:tcW w:w="2684" w:type="dxa"/>
                  <w:tcBorders>
                    <w:top w:val="single" w:sz="4" w:space="0" w:color="000000"/>
                    <w:left w:val="single" w:sz="4" w:space="0" w:color="000000"/>
                    <w:bottom w:val="single" w:sz="4" w:space="0" w:color="000000"/>
                    <w:right w:val="single" w:sz="4" w:space="0" w:color="000000"/>
                  </w:tcBorders>
                  <w:noWrap/>
                  <w:vAlign w:val="center"/>
                </w:tcPr>
                <w:p w14:paraId="28F61A70"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浙江金华成泰农村商业银行股份有限公司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069B0F98"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D8530A" w14:paraId="7A87D911" w14:textId="77777777" w:rsidTr="00654B4D">
              <w:trPr>
                <w:trHeight w:val="870"/>
              </w:trPr>
              <w:tc>
                <w:tcPr>
                  <w:tcW w:w="1852" w:type="dxa"/>
                  <w:tcBorders>
                    <w:top w:val="single" w:sz="4" w:space="0" w:color="000000"/>
                    <w:left w:val="single" w:sz="4" w:space="0" w:color="000000"/>
                    <w:bottom w:val="single" w:sz="4" w:space="0" w:color="000000"/>
                    <w:right w:val="single" w:sz="4" w:space="0" w:color="000000"/>
                  </w:tcBorders>
                  <w:noWrap/>
                  <w:vAlign w:val="center"/>
                </w:tcPr>
                <w:p w14:paraId="00692896"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ZYFCG0261C</w:t>
                  </w:r>
                </w:p>
              </w:tc>
              <w:tc>
                <w:tcPr>
                  <w:tcW w:w="2684" w:type="dxa"/>
                  <w:tcBorders>
                    <w:top w:val="single" w:sz="4" w:space="0" w:color="000000"/>
                    <w:left w:val="single" w:sz="4" w:space="0" w:color="000000"/>
                    <w:bottom w:val="single" w:sz="4" w:space="0" w:color="000000"/>
                    <w:right w:val="single" w:sz="4" w:space="0" w:color="000000"/>
                  </w:tcBorders>
                  <w:noWrap/>
                  <w:vAlign w:val="center"/>
                </w:tcPr>
                <w:p w14:paraId="27A79511"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浙江温岭农村商业银行股份有限公司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3BFB96C4"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D8530A" w14:paraId="1873772E" w14:textId="77777777" w:rsidTr="00654B4D">
              <w:trPr>
                <w:trHeight w:val="870"/>
              </w:trPr>
              <w:tc>
                <w:tcPr>
                  <w:tcW w:w="1852" w:type="dxa"/>
                  <w:tcBorders>
                    <w:top w:val="single" w:sz="4" w:space="0" w:color="000000"/>
                    <w:left w:val="single" w:sz="4" w:space="0" w:color="000000"/>
                    <w:bottom w:val="single" w:sz="4" w:space="0" w:color="000000"/>
                    <w:right w:val="single" w:sz="4" w:space="0" w:color="000000"/>
                  </w:tcBorders>
                  <w:noWrap/>
                  <w:vAlign w:val="center"/>
                </w:tcPr>
                <w:p w14:paraId="4632D15D"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ZYFCG0261C</w:t>
                  </w:r>
                </w:p>
              </w:tc>
              <w:tc>
                <w:tcPr>
                  <w:tcW w:w="2684" w:type="dxa"/>
                  <w:tcBorders>
                    <w:top w:val="single" w:sz="4" w:space="0" w:color="000000"/>
                    <w:left w:val="single" w:sz="4" w:space="0" w:color="000000"/>
                    <w:bottom w:val="single" w:sz="4" w:space="0" w:color="000000"/>
                    <w:right w:val="single" w:sz="4" w:space="0" w:color="000000"/>
                  </w:tcBorders>
                  <w:noWrap/>
                  <w:vAlign w:val="center"/>
                </w:tcPr>
                <w:p w14:paraId="51F42FC3"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浙江新昌农村商业银行股份有限公司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16E16427"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D8530A" w14:paraId="4A37D9E7" w14:textId="77777777" w:rsidTr="00654B4D">
              <w:trPr>
                <w:trHeight w:val="870"/>
              </w:trPr>
              <w:tc>
                <w:tcPr>
                  <w:tcW w:w="1852" w:type="dxa"/>
                  <w:tcBorders>
                    <w:top w:val="single" w:sz="4" w:space="0" w:color="000000"/>
                    <w:left w:val="single" w:sz="4" w:space="0" w:color="000000"/>
                    <w:bottom w:val="single" w:sz="4" w:space="0" w:color="000000"/>
                    <w:right w:val="single" w:sz="4" w:space="0" w:color="000000"/>
                  </w:tcBorders>
                  <w:noWrap/>
                  <w:vAlign w:val="center"/>
                </w:tcPr>
                <w:p w14:paraId="7212AC04"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ZYFCG0261C</w:t>
                  </w:r>
                </w:p>
              </w:tc>
              <w:tc>
                <w:tcPr>
                  <w:tcW w:w="2684" w:type="dxa"/>
                  <w:tcBorders>
                    <w:top w:val="single" w:sz="4" w:space="0" w:color="000000"/>
                    <w:left w:val="single" w:sz="4" w:space="0" w:color="000000"/>
                    <w:bottom w:val="single" w:sz="4" w:space="0" w:color="000000"/>
                    <w:right w:val="single" w:sz="4" w:space="0" w:color="000000"/>
                  </w:tcBorders>
                  <w:noWrap/>
                  <w:vAlign w:val="center"/>
                </w:tcPr>
                <w:p w14:paraId="49D8E070"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浙江绍兴恒信农村商业银行股份有限公司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4069E953"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D8530A" w14:paraId="509183F4" w14:textId="77777777" w:rsidTr="00654B4D">
              <w:trPr>
                <w:trHeight w:val="870"/>
              </w:trPr>
              <w:tc>
                <w:tcPr>
                  <w:tcW w:w="1852" w:type="dxa"/>
                  <w:tcBorders>
                    <w:top w:val="single" w:sz="4" w:space="0" w:color="000000"/>
                    <w:left w:val="single" w:sz="4" w:space="0" w:color="000000"/>
                    <w:bottom w:val="single" w:sz="4" w:space="0" w:color="000000"/>
                    <w:right w:val="single" w:sz="4" w:space="0" w:color="000000"/>
                  </w:tcBorders>
                  <w:noWrap/>
                  <w:vAlign w:val="center"/>
                </w:tcPr>
                <w:p w14:paraId="5A7C9AB0"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ZYFCG0261C</w:t>
                  </w:r>
                </w:p>
              </w:tc>
              <w:tc>
                <w:tcPr>
                  <w:tcW w:w="2684" w:type="dxa"/>
                  <w:tcBorders>
                    <w:top w:val="single" w:sz="4" w:space="0" w:color="000000"/>
                    <w:left w:val="single" w:sz="4" w:space="0" w:color="000000"/>
                    <w:bottom w:val="single" w:sz="4" w:space="0" w:color="000000"/>
                    <w:right w:val="single" w:sz="4" w:space="0" w:color="000000"/>
                  </w:tcBorders>
                  <w:noWrap/>
                  <w:vAlign w:val="center"/>
                </w:tcPr>
                <w:p w14:paraId="59EB24D6"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浙江德清农村商业银行股份有限公司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6E3B72C6"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D8530A" w14:paraId="4EB3EE7F" w14:textId="77777777" w:rsidTr="00654B4D">
              <w:trPr>
                <w:trHeight w:val="870"/>
              </w:trPr>
              <w:tc>
                <w:tcPr>
                  <w:tcW w:w="1852" w:type="dxa"/>
                  <w:tcBorders>
                    <w:top w:val="single" w:sz="4" w:space="0" w:color="000000"/>
                    <w:left w:val="single" w:sz="4" w:space="0" w:color="000000"/>
                    <w:bottom w:val="single" w:sz="4" w:space="0" w:color="000000"/>
                    <w:right w:val="single" w:sz="4" w:space="0" w:color="000000"/>
                  </w:tcBorders>
                  <w:noWrap/>
                  <w:vAlign w:val="center"/>
                </w:tcPr>
                <w:p w14:paraId="5B1F1405"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lastRenderedPageBreak/>
                    <w:t>ZYFCG0261C</w:t>
                  </w:r>
                </w:p>
              </w:tc>
              <w:tc>
                <w:tcPr>
                  <w:tcW w:w="2684" w:type="dxa"/>
                  <w:tcBorders>
                    <w:top w:val="single" w:sz="4" w:space="0" w:color="000000"/>
                    <w:left w:val="single" w:sz="4" w:space="0" w:color="000000"/>
                    <w:bottom w:val="single" w:sz="4" w:space="0" w:color="000000"/>
                    <w:right w:val="single" w:sz="4" w:space="0" w:color="000000"/>
                  </w:tcBorders>
                  <w:noWrap/>
                  <w:vAlign w:val="center"/>
                </w:tcPr>
                <w:p w14:paraId="1597C876"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浙江建德农村商业银行股份有限公司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3B211CA6"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D8530A" w14:paraId="0ED37797" w14:textId="77777777" w:rsidTr="00654B4D">
              <w:trPr>
                <w:trHeight w:val="870"/>
              </w:trPr>
              <w:tc>
                <w:tcPr>
                  <w:tcW w:w="1852" w:type="dxa"/>
                  <w:tcBorders>
                    <w:top w:val="single" w:sz="4" w:space="0" w:color="000000"/>
                    <w:left w:val="single" w:sz="4" w:space="0" w:color="000000"/>
                    <w:bottom w:val="single" w:sz="4" w:space="0" w:color="000000"/>
                    <w:right w:val="single" w:sz="4" w:space="0" w:color="000000"/>
                  </w:tcBorders>
                  <w:noWrap/>
                  <w:vAlign w:val="center"/>
                </w:tcPr>
                <w:p w14:paraId="3879EBAD"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ZYFCG0261C</w:t>
                  </w:r>
                </w:p>
              </w:tc>
              <w:tc>
                <w:tcPr>
                  <w:tcW w:w="2684" w:type="dxa"/>
                  <w:tcBorders>
                    <w:top w:val="single" w:sz="4" w:space="0" w:color="000000"/>
                    <w:left w:val="single" w:sz="4" w:space="0" w:color="000000"/>
                    <w:bottom w:val="single" w:sz="4" w:space="0" w:color="000000"/>
                    <w:right w:val="single" w:sz="4" w:space="0" w:color="000000"/>
                  </w:tcBorders>
                  <w:noWrap/>
                  <w:vAlign w:val="center"/>
                </w:tcPr>
                <w:p w14:paraId="555EE64C"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浙江上虞农村商业银行股份有限公司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2AC2698D"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D8530A" w14:paraId="2213346C" w14:textId="77777777" w:rsidTr="00654B4D">
              <w:trPr>
                <w:trHeight w:val="870"/>
              </w:trPr>
              <w:tc>
                <w:tcPr>
                  <w:tcW w:w="1852" w:type="dxa"/>
                  <w:tcBorders>
                    <w:top w:val="single" w:sz="4" w:space="0" w:color="000000"/>
                    <w:left w:val="single" w:sz="4" w:space="0" w:color="000000"/>
                    <w:bottom w:val="single" w:sz="4" w:space="0" w:color="000000"/>
                    <w:right w:val="single" w:sz="4" w:space="0" w:color="000000"/>
                  </w:tcBorders>
                  <w:noWrap/>
                  <w:vAlign w:val="center"/>
                </w:tcPr>
                <w:p w14:paraId="44751FAE"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ZYFCG0261C</w:t>
                  </w:r>
                </w:p>
              </w:tc>
              <w:tc>
                <w:tcPr>
                  <w:tcW w:w="2684" w:type="dxa"/>
                  <w:tcBorders>
                    <w:top w:val="single" w:sz="4" w:space="0" w:color="000000"/>
                    <w:left w:val="single" w:sz="4" w:space="0" w:color="000000"/>
                    <w:bottom w:val="single" w:sz="4" w:space="0" w:color="000000"/>
                    <w:right w:val="single" w:sz="4" w:space="0" w:color="000000"/>
                  </w:tcBorders>
                  <w:noWrap/>
                  <w:vAlign w:val="center"/>
                </w:tcPr>
                <w:p w14:paraId="54CFD40C"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中原银行股份有限公司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2203F883"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社保卡客户、新客户（个人客户）</w:t>
                  </w:r>
                </w:p>
              </w:tc>
            </w:tr>
            <w:tr w:rsidR="00D8530A" w14:paraId="34C37E60" w14:textId="77777777" w:rsidTr="00654B4D">
              <w:trPr>
                <w:trHeight w:val="870"/>
              </w:trPr>
              <w:tc>
                <w:tcPr>
                  <w:tcW w:w="1852" w:type="dxa"/>
                  <w:tcBorders>
                    <w:top w:val="single" w:sz="4" w:space="0" w:color="000000"/>
                    <w:left w:val="single" w:sz="4" w:space="0" w:color="000000"/>
                    <w:bottom w:val="single" w:sz="4" w:space="0" w:color="000000"/>
                    <w:right w:val="single" w:sz="4" w:space="0" w:color="000000"/>
                  </w:tcBorders>
                  <w:noWrap/>
                  <w:vAlign w:val="center"/>
                </w:tcPr>
                <w:p w14:paraId="132064DD"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ZYFCG0261C</w:t>
                  </w:r>
                </w:p>
              </w:tc>
              <w:tc>
                <w:tcPr>
                  <w:tcW w:w="2684" w:type="dxa"/>
                  <w:tcBorders>
                    <w:top w:val="single" w:sz="4" w:space="0" w:color="000000"/>
                    <w:left w:val="single" w:sz="4" w:space="0" w:color="000000"/>
                    <w:bottom w:val="single" w:sz="4" w:space="0" w:color="000000"/>
                    <w:right w:val="single" w:sz="4" w:space="0" w:color="000000"/>
                  </w:tcBorders>
                  <w:noWrap/>
                  <w:vAlign w:val="center"/>
                </w:tcPr>
                <w:p w14:paraId="1C8EADBB"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浙江台州路桥农村商业银行股份有限公司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661C71D1"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D8530A" w14:paraId="3D5A93B1" w14:textId="77777777" w:rsidTr="00654B4D">
              <w:trPr>
                <w:trHeight w:val="870"/>
              </w:trPr>
              <w:tc>
                <w:tcPr>
                  <w:tcW w:w="1852" w:type="dxa"/>
                  <w:tcBorders>
                    <w:top w:val="single" w:sz="4" w:space="0" w:color="000000"/>
                    <w:left w:val="single" w:sz="4" w:space="0" w:color="000000"/>
                    <w:bottom w:val="single" w:sz="4" w:space="0" w:color="000000"/>
                    <w:right w:val="single" w:sz="4" w:space="0" w:color="000000"/>
                  </w:tcBorders>
                  <w:noWrap/>
                  <w:vAlign w:val="center"/>
                </w:tcPr>
                <w:p w14:paraId="175B21BD"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ZYFCG0261C</w:t>
                  </w:r>
                </w:p>
              </w:tc>
              <w:tc>
                <w:tcPr>
                  <w:tcW w:w="2684" w:type="dxa"/>
                  <w:tcBorders>
                    <w:top w:val="single" w:sz="4" w:space="0" w:color="000000"/>
                    <w:left w:val="single" w:sz="4" w:space="0" w:color="000000"/>
                    <w:bottom w:val="single" w:sz="4" w:space="0" w:color="000000"/>
                    <w:right w:val="single" w:sz="4" w:space="0" w:color="000000"/>
                  </w:tcBorders>
                  <w:noWrap/>
                  <w:vAlign w:val="center"/>
                </w:tcPr>
                <w:p w14:paraId="19E88E6D"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赣州银行股份有限公司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5196B8FA"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D8530A" w14:paraId="1A527C3B" w14:textId="77777777" w:rsidTr="00654B4D">
              <w:trPr>
                <w:trHeight w:val="870"/>
              </w:trPr>
              <w:tc>
                <w:tcPr>
                  <w:tcW w:w="1852" w:type="dxa"/>
                  <w:tcBorders>
                    <w:top w:val="single" w:sz="4" w:space="0" w:color="000000"/>
                    <w:left w:val="single" w:sz="4" w:space="0" w:color="000000"/>
                    <w:bottom w:val="single" w:sz="4" w:space="0" w:color="000000"/>
                    <w:right w:val="single" w:sz="4" w:space="0" w:color="000000"/>
                  </w:tcBorders>
                  <w:noWrap/>
                  <w:vAlign w:val="center"/>
                </w:tcPr>
                <w:p w14:paraId="6AA8F62D"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ZYFCG0261C</w:t>
                  </w:r>
                </w:p>
              </w:tc>
              <w:tc>
                <w:tcPr>
                  <w:tcW w:w="2684" w:type="dxa"/>
                  <w:tcBorders>
                    <w:top w:val="single" w:sz="4" w:space="0" w:color="000000"/>
                    <w:left w:val="single" w:sz="4" w:space="0" w:color="000000"/>
                    <w:bottom w:val="single" w:sz="4" w:space="0" w:color="000000"/>
                    <w:right w:val="single" w:sz="4" w:space="0" w:color="000000"/>
                  </w:tcBorders>
                  <w:noWrap/>
                  <w:vAlign w:val="center"/>
                </w:tcPr>
                <w:p w14:paraId="476F1C94"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浙江义乌农村商业银行股份有限公司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57317C71"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D8530A" w14:paraId="3E172FFB" w14:textId="77777777" w:rsidTr="00654B4D">
              <w:trPr>
                <w:trHeight w:val="870"/>
              </w:trPr>
              <w:tc>
                <w:tcPr>
                  <w:tcW w:w="1852" w:type="dxa"/>
                  <w:tcBorders>
                    <w:top w:val="single" w:sz="4" w:space="0" w:color="000000"/>
                    <w:left w:val="single" w:sz="4" w:space="0" w:color="000000"/>
                    <w:bottom w:val="single" w:sz="4" w:space="0" w:color="000000"/>
                    <w:right w:val="single" w:sz="4" w:space="0" w:color="000000"/>
                  </w:tcBorders>
                  <w:noWrap/>
                  <w:vAlign w:val="center"/>
                </w:tcPr>
                <w:p w14:paraId="7202EEB1"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ZYFCG0261C</w:t>
                  </w:r>
                </w:p>
              </w:tc>
              <w:tc>
                <w:tcPr>
                  <w:tcW w:w="2684" w:type="dxa"/>
                  <w:tcBorders>
                    <w:top w:val="single" w:sz="4" w:space="0" w:color="000000"/>
                    <w:left w:val="single" w:sz="4" w:space="0" w:color="000000"/>
                    <w:bottom w:val="single" w:sz="4" w:space="0" w:color="000000"/>
                    <w:right w:val="single" w:sz="4" w:space="0" w:color="000000"/>
                  </w:tcBorders>
                  <w:noWrap/>
                  <w:vAlign w:val="center"/>
                </w:tcPr>
                <w:p w14:paraId="2DABCA96"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浙江永嘉农村商业银行股份有限公司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6CE5535F"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D8530A" w14:paraId="38DB5FAC" w14:textId="77777777" w:rsidTr="00654B4D">
              <w:trPr>
                <w:trHeight w:val="870"/>
              </w:trPr>
              <w:tc>
                <w:tcPr>
                  <w:tcW w:w="1852" w:type="dxa"/>
                  <w:tcBorders>
                    <w:top w:val="single" w:sz="4" w:space="0" w:color="000000"/>
                    <w:left w:val="single" w:sz="4" w:space="0" w:color="000000"/>
                    <w:bottom w:val="single" w:sz="4" w:space="0" w:color="000000"/>
                    <w:right w:val="single" w:sz="4" w:space="0" w:color="000000"/>
                  </w:tcBorders>
                  <w:noWrap/>
                  <w:vAlign w:val="center"/>
                </w:tcPr>
                <w:p w14:paraId="5DA02067"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ZYFCG0261C</w:t>
                  </w:r>
                </w:p>
              </w:tc>
              <w:tc>
                <w:tcPr>
                  <w:tcW w:w="2684" w:type="dxa"/>
                  <w:tcBorders>
                    <w:top w:val="single" w:sz="4" w:space="0" w:color="000000"/>
                    <w:left w:val="single" w:sz="4" w:space="0" w:color="000000"/>
                    <w:bottom w:val="single" w:sz="4" w:space="0" w:color="000000"/>
                    <w:right w:val="single" w:sz="4" w:space="0" w:color="000000"/>
                  </w:tcBorders>
                  <w:noWrap/>
                  <w:vAlign w:val="center"/>
                </w:tcPr>
                <w:p w14:paraId="6AF029A4"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浙江衢州柯城农村商业银行股份有限公司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1D0C6940"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D8530A" w14:paraId="354DF914" w14:textId="77777777" w:rsidTr="00654B4D">
              <w:trPr>
                <w:trHeight w:val="870"/>
              </w:trPr>
              <w:tc>
                <w:tcPr>
                  <w:tcW w:w="1852" w:type="dxa"/>
                  <w:tcBorders>
                    <w:top w:val="single" w:sz="4" w:space="0" w:color="000000"/>
                    <w:left w:val="single" w:sz="4" w:space="0" w:color="000000"/>
                    <w:bottom w:val="single" w:sz="4" w:space="0" w:color="000000"/>
                    <w:right w:val="single" w:sz="4" w:space="0" w:color="000000"/>
                  </w:tcBorders>
                  <w:noWrap/>
                  <w:vAlign w:val="center"/>
                </w:tcPr>
                <w:p w14:paraId="7B705DD7"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ZYFCG0261D</w:t>
                  </w:r>
                </w:p>
              </w:tc>
              <w:tc>
                <w:tcPr>
                  <w:tcW w:w="2684" w:type="dxa"/>
                  <w:tcBorders>
                    <w:top w:val="single" w:sz="4" w:space="0" w:color="000000"/>
                    <w:left w:val="single" w:sz="4" w:space="0" w:color="000000"/>
                    <w:bottom w:val="single" w:sz="4" w:space="0" w:color="000000"/>
                    <w:right w:val="single" w:sz="4" w:space="0" w:color="000000"/>
                  </w:tcBorders>
                  <w:noWrap/>
                  <w:vAlign w:val="center"/>
                </w:tcPr>
                <w:p w14:paraId="2CF33C4D"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浙江龙泉农村商业银行股份有限公司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5A05E403"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D8530A" w14:paraId="49BEFDDF" w14:textId="77777777" w:rsidTr="00654B4D">
              <w:trPr>
                <w:trHeight w:val="870"/>
              </w:trPr>
              <w:tc>
                <w:tcPr>
                  <w:tcW w:w="1852" w:type="dxa"/>
                  <w:tcBorders>
                    <w:top w:val="single" w:sz="4" w:space="0" w:color="000000"/>
                    <w:left w:val="single" w:sz="4" w:space="0" w:color="000000"/>
                    <w:bottom w:val="single" w:sz="4" w:space="0" w:color="000000"/>
                    <w:right w:val="single" w:sz="4" w:space="0" w:color="000000"/>
                  </w:tcBorders>
                  <w:noWrap/>
                  <w:vAlign w:val="center"/>
                </w:tcPr>
                <w:p w14:paraId="7EAC0962"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ZYFCG0261D</w:t>
                  </w:r>
                </w:p>
              </w:tc>
              <w:tc>
                <w:tcPr>
                  <w:tcW w:w="2684" w:type="dxa"/>
                  <w:tcBorders>
                    <w:top w:val="single" w:sz="4" w:space="0" w:color="000000"/>
                    <w:left w:val="single" w:sz="4" w:space="0" w:color="000000"/>
                    <w:bottom w:val="single" w:sz="4" w:space="0" w:color="000000"/>
                    <w:right w:val="single" w:sz="4" w:space="0" w:color="000000"/>
                  </w:tcBorders>
                  <w:noWrap/>
                  <w:vAlign w:val="center"/>
                </w:tcPr>
                <w:p w14:paraId="5AA98E26"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浙江天台农村商业银行股份有限公司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4298AC0C"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D8530A" w14:paraId="631E3A47" w14:textId="77777777" w:rsidTr="00654B4D">
              <w:trPr>
                <w:trHeight w:val="300"/>
              </w:trPr>
              <w:tc>
                <w:tcPr>
                  <w:tcW w:w="1852" w:type="dxa"/>
                  <w:tcBorders>
                    <w:top w:val="single" w:sz="4" w:space="0" w:color="000000"/>
                    <w:left w:val="single" w:sz="4" w:space="0" w:color="000000"/>
                    <w:bottom w:val="single" w:sz="4" w:space="0" w:color="000000"/>
                    <w:right w:val="single" w:sz="4" w:space="0" w:color="000000"/>
                  </w:tcBorders>
                  <w:noWrap/>
                  <w:vAlign w:val="center"/>
                </w:tcPr>
                <w:p w14:paraId="25C1AB5B"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ZYFCG0261D</w:t>
                  </w:r>
                </w:p>
              </w:tc>
              <w:tc>
                <w:tcPr>
                  <w:tcW w:w="2684" w:type="dxa"/>
                  <w:tcBorders>
                    <w:top w:val="single" w:sz="4" w:space="0" w:color="000000"/>
                    <w:left w:val="single" w:sz="4" w:space="0" w:color="000000"/>
                    <w:bottom w:val="single" w:sz="4" w:space="0" w:color="000000"/>
                    <w:right w:val="single" w:sz="4" w:space="0" w:color="000000"/>
                  </w:tcBorders>
                  <w:noWrap/>
                  <w:vAlign w:val="center"/>
                </w:tcPr>
                <w:p w14:paraId="27BF2851"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浙江丽水莲都农村商业银行股份有限公司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63A8998E"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D8530A" w14:paraId="2DF0CE10" w14:textId="77777777" w:rsidTr="00654B4D">
              <w:trPr>
                <w:trHeight w:val="270"/>
              </w:trPr>
              <w:tc>
                <w:tcPr>
                  <w:tcW w:w="1852" w:type="dxa"/>
                  <w:tcBorders>
                    <w:top w:val="single" w:sz="4" w:space="0" w:color="000000"/>
                    <w:left w:val="single" w:sz="4" w:space="0" w:color="000000"/>
                    <w:bottom w:val="single" w:sz="4" w:space="0" w:color="000000"/>
                    <w:right w:val="single" w:sz="4" w:space="0" w:color="000000"/>
                  </w:tcBorders>
                  <w:noWrap/>
                  <w:vAlign w:val="center"/>
                </w:tcPr>
                <w:p w14:paraId="1B7FD467"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ZYFCG0261D</w:t>
                  </w:r>
                </w:p>
              </w:tc>
              <w:tc>
                <w:tcPr>
                  <w:tcW w:w="2684" w:type="dxa"/>
                  <w:tcBorders>
                    <w:top w:val="single" w:sz="4" w:space="0" w:color="000000"/>
                    <w:left w:val="single" w:sz="4" w:space="0" w:color="000000"/>
                    <w:bottom w:val="single" w:sz="4" w:space="0" w:color="000000"/>
                    <w:right w:val="single" w:sz="4" w:space="0" w:color="000000"/>
                  </w:tcBorders>
                  <w:noWrap/>
                  <w:vAlign w:val="center"/>
                </w:tcPr>
                <w:p w14:paraId="786AC939"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宁波奉化农村商业银行股份有限公司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2D29A7DA"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D8530A" w14:paraId="6D0FABEA" w14:textId="77777777" w:rsidTr="00654B4D">
              <w:trPr>
                <w:trHeight w:val="270"/>
              </w:trPr>
              <w:tc>
                <w:tcPr>
                  <w:tcW w:w="1852" w:type="dxa"/>
                  <w:tcBorders>
                    <w:top w:val="single" w:sz="4" w:space="0" w:color="000000"/>
                    <w:left w:val="single" w:sz="4" w:space="0" w:color="000000"/>
                    <w:bottom w:val="single" w:sz="4" w:space="0" w:color="000000"/>
                    <w:right w:val="single" w:sz="4" w:space="0" w:color="000000"/>
                  </w:tcBorders>
                  <w:noWrap/>
                  <w:vAlign w:val="center"/>
                </w:tcPr>
                <w:p w14:paraId="01FCAC64"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ZYFCG0261D</w:t>
                  </w:r>
                </w:p>
              </w:tc>
              <w:tc>
                <w:tcPr>
                  <w:tcW w:w="2684" w:type="dxa"/>
                  <w:tcBorders>
                    <w:top w:val="single" w:sz="4" w:space="0" w:color="000000"/>
                    <w:left w:val="single" w:sz="4" w:space="0" w:color="000000"/>
                    <w:bottom w:val="single" w:sz="4" w:space="0" w:color="000000"/>
                    <w:right w:val="single" w:sz="4" w:space="0" w:color="000000"/>
                  </w:tcBorders>
                  <w:noWrap/>
                  <w:vAlign w:val="center"/>
                </w:tcPr>
                <w:p w14:paraId="38196D3D"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浙江兰溪农村商业银行股份有限公司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01315ACD"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D8530A" w14:paraId="6A253E65" w14:textId="77777777" w:rsidTr="00654B4D">
              <w:trPr>
                <w:trHeight w:val="270"/>
              </w:trPr>
              <w:tc>
                <w:tcPr>
                  <w:tcW w:w="1852" w:type="dxa"/>
                  <w:tcBorders>
                    <w:top w:val="single" w:sz="4" w:space="0" w:color="000000"/>
                    <w:left w:val="single" w:sz="4" w:space="0" w:color="000000"/>
                    <w:bottom w:val="single" w:sz="4" w:space="0" w:color="000000"/>
                    <w:right w:val="single" w:sz="4" w:space="0" w:color="000000"/>
                  </w:tcBorders>
                  <w:noWrap/>
                  <w:vAlign w:val="center"/>
                </w:tcPr>
                <w:p w14:paraId="07AB329F"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ZYFCG0261D</w:t>
                  </w:r>
                </w:p>
              </w:tc>
              <w:tc>
                <w:tcPr>
                  <w:tcW w:w="2684" w:type="dxa"/>
                  <w:tcBorders>
                    <w:top w:val="single" w:sz="4" w:space="0" w:color="000000"/>
                    <w:left w:val="single" w:sz="4" w:space="0" w:color="000000"/>
                    <w:bottom w:val="single" w:sz="4" w:space="0" w:color="000000"/>
                    <w:right w:val="single" w:sz="4" w:space="0" w:color="000000"/>
                  </w:tcBorders>
                  <w:noWrap/>
                  <w:vAlign w:val="center"/>
                </w:tcPr>
                <w:p w14:paraId="60321DE9"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宁波甬城农村商业银行股份有限公司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6FC41770"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D8530A" w14:paraId="094E4B6B" w14:textId="77777777" w:rsidTr="00654B4D">
              <w:trPr>
                <w:trHeight w:val="270"/>
              </w:trPr>
              <w:tc>
                <w:tcPr>
                  <w:tcW w:w="1852" w:type="dxa"/>
                  <w:tcBorders>
                    <w:top w:val="single" w:sz="4" w:space="0" w:color="000000"/>
                    <w:left w:val="single" w:sz="4" w:space="0" w:color="000000"/>
                    <w:bottom w:val="single" w:sz="4" w:space="0" w:color="000000"/>
                    <w:right w:val="single" w:sz="4" w:space="0" w:color="000000"/>
                  </w:tcBorders>
                  <w:noWrap/>
                  <w:vAlign w:val="center"/>
                </w:tcPr>
                <w:p w14:paraId="68245313"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ZYFCG0261E</w:t>
                  </w:r>
                </w:p>
              </w:tc>
              <w:tc>
                <w:tcPr>
                  <w:tcW w:w="2684" w:type="dxa"/>
                  <w:tcBorders>
                    <w:top w:val="single" w:sz="4" w:space="0" w:color="000000"/>
                    <w:left w:val="single" w:sz="4" w:space="0" w:color="000000"/>
                    <w:bottom w:val="single" w:sz="4" w:space="0" w:color="000000"/>
                    <w:right w:val="single" w:sz="4" w:space="0" w:color="000000"/>
                  </w:tcBorders>
                  <w:noWrap/>
                  <w:vAlign w:val="center"/>
                </w:tcPr>
                <w:p w14:paraId="14300FE8"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中原银行股份有限公司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797AFEE4"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D8530A" w14:paraId="641485C2" w14:textId="77777777" w:rsidTr="00654B4D">
              <w:trPr>
                <w:trHeight w:val="270"/>
              </w:trPr>
              <w:tc>
                <w:tcPr>
                  <w:tcW w:w="1852" w:type="dxa"/>
                  <w:tcBorders>
                    <w:top w:val="single" w:sz="4" w:space="0" w:color="000000"/>
                    <w:left w:val="single" w:sz="4" w:space="0" w:color="000000"/>
                    <w:bottom w:val="single" w:sz="4" w:space="0" w:color="000000"/>
                    <w:right w:val="single" w:sz="4" w:space="0" w:color="000000"/>
                  </w:tcBorders>
                  <w:noWrap/>
                  <w:vAlign w:val="center"/>
                </w:tcPr>
                <w:p w14:paraId="0B1E2C1A"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ZYFCG0261E</w:t>
                  </w:r>
                </w:p>
              </w:tc>
              <w:tc>
                <w:tcPr>
                  <w:tcW w:w="2684" w:type="dxa"/>
                  <w:tcBorders>
                    <w:top w:val="single" w:sz="4" w:space="0" w:color="000000"/>
                    <w:left w:val="single" w:sz="4" w:space="0" w:color="000000"/>
                    <w:bottom w:val="single" w:sz="4" w:space="0" w:color="000000"/>
                    <w:right w:val="single" w:sz="4" w:space="0" w:color="000000"/>
                  </w:tcBorders>
                  <w:noWrap/>
                  <w:vAlign w:val="center"/>
                </w:tcPr>
                <w:p w14:paraId="68B91F1A"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浙江武义农村商业银行股份有限公司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1E29D3A6"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D8530A" w14:paraId="482F0C8E" w14:textId="77777777" w:rsidTr="00654B4D">
              <w:trPr>
                <w:trHeight w:val="270"/>
              </w:trPr>
              <w:tc>
                <w:tcPr>
                  <w:tcW w:w="1852" w:type="dxa"/>
                  <w:tcBorders>
                    <w:top w:val="single" w:sz="4" w:space="0" w:color="000000"/>
                    <w:left w:val="single" w:sz="4" w:space="0" w:color="000000"/>
                    <w:bottom w:val="single" w:sz="4" w:space="0" w:color="000000"/>
                    <w:right w:val="single" w:sz="4" w:space="0" w:color="000000"/>
                  </w:tcBorders>
                  <w:noWrap/>
                  <w:vAlign w:val="center"/>
                </w:tcPr>
                <w:p w14:paraId="61337935"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ZYFCG0261F</w:t>
                  </w:r>
                </w:p>
              </w:tc>
              <w:tc>
                <w:tcPr>
                  <w:tcW w:w="2684" w:type="dxa"/>
                  <w:tcBorders>
                    <w:top w:val="single" w:sz="4" w:space="0" w:color="000000"/>
                    <w:left w:val="single" w:sz="4" w:space="0" w:color="000000"/>
                    <w:bottom w:val="single" w:sz="4" w:space="0" w:color="000000"/>
                    <w:right w:val="single" w:sz="4" w:space="0" w:color="000000"/>
                  </w:tcBorders>
                  <w:noWrap/>
                  <w:vAlign w:val="center"/>
                </w:tcPr>
                <w:p w14:paraId="26869715"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宁波鄞州农村商业银行股份有限公司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49241FAB"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高净值个人、机构客户</w:t>
                  </w:r>
                </w:p>
              </w:tc>
            </w:tr>
            <w:tr w:rsidR="00D8530A" w14:paraId="675EAE27" w14:textId="77777777" w:rsidTr="00654B4D">
              <w:trPr>
                <w:trHeight w:val="270"/>
              </w:trPr>
              <w:tc>
                <w:tcPr>
                  <w:tcW w:w="1852" w:type="dxa"/>
                  <w:tcBorders>
                    <w:top w:val="single" w:sz="4" w:space="0" w:color="000000"/>
                    <w:left w:val="single" w:sz="4" w:space="0" w:color="000000"/>
                    <w:bottom w:val="single" w:sz="4" w:space="0" w:color="000000"/>
                    <w:right w:val="single" w:sz="4" w:space="0" w:color="000000"/>
                  </w:tcBorders>
                  <w:noWrap/>
                  <w:vAlign w:val="center"/>
                </w:tcPr>
                <w:p w14:paraId="05735E88"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ZYFCG0261G</w:t>
                  </w:r>
                </w:p>
              </w:tc>
              <w:tc>
                <w:tcPr>
                  <w:tcW w:w="2684" w:type="dxa"/>
                  <w:tcBorders>
                    <w:top w:val="single" w:sz="4" w:space="0" w:color="000000"/>
                    <w:left w:val="single" w:sz="4" w:space="0" w:color="000000"/>
                    <w:bottom w:val="single" w:sz="4" w:space="0" w:color="000000"/>
                    <w:right w:val="single" w:sz="4" w:space="0" w:color="000000"/>
                  </w:tcBorders>
                  <w:noWrap/>
                  <w:vAlign w:val="center"/>
                </w:tcPr>
                <w:p w14:paraId="31CB2489"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宁波鄞州农村商业银行股份有限公司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0A2B1B7F"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个人、机构客户</w:t>
                  </w:r>
                </w:p>
              </w:tc>
            </w:tr>
            <w:tr w:rsidR="00D8530A" w14:paraId="78B40226" w14:textId="77777777" w:rsidTr="00654B4D">
              <w:trPr>
                <w:trHeight w:val="270"/>
              </w:trPr>
              <w:tc>
                <w:tcPr>
                  <w:tcW w:w="1852" w:type="dxa"/>
                  <w:tcBorders>
                    <w:top w:val="single" w:sz="4" w:space="0" w:color="000000"/>
                    <w:left w:val="single" w:sz="4" w:space="0" w:color="000000"/>
                    <w:bottom w:val="single" w:sz="4" w:space="0" w:color="000000"/>
                    <w:right w:val="single" w:sz="4" w:space="0" w:color="000000"/>
                  </w:tcBorders>
                  <w:noWrap/>
                  <w:vAlign w:val="center"/>
                </w:tcPr>
                <w:p w14:paraId="2BA9AB5A"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ZYFCG0261H</w:t>
                  </w:r>
                </w:p>
              </w:tc>
              <w:tc>
                <w:tcPr>
                  <w:tcW w:w="2684" w:type="dxa"/>
                  <w:tcBorders>
                    <w:top w:val="single" w:sz="4" w:space="0" w:color="000000"/>
                    <w:left w:val="single" w:sz="4" w:space="0" w:color="000000"/>
                    <w:bottom w:val="single" w:sz="4" w:space="0" w:color="000000"/>
                    <w:right w:val="single" w:sz="4" w:space="0" w:color="000000"/>
                  </w:tcBorders>
                  <w:noWrap/>
                  <w:vAlign w:val="center"/>
                </w:tcPr>
                <w:p w14:paraId="673E47C6"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宁波鄞州农村商业银行股份有限公司</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67EED639" w14:textId="77777777" w:rsidR="00D8530A"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新客户（个人、机构客户）</w:t>
                  </w:r>
                </w:p>
              </w:tc>
            </w:tr>
          </w:tbl>
          <w:p w14:paraId="748ED074" w14:textId="77777777" w:rsidR="00D8530A" w:rsidRDefault="00D8530A">
            <w:pPr>
              <w:widowControl/>
              <w:spacing w:line="400" w:lineRule="exact"/>
              <w:jc w:val="left"/>
              <w:textAlignment w:val="center"/>
              <w:rPr>
                <w:b/>
                <w:bCs/>
              </w:rPr>
            </w:pPr>
          </w:p>
        </w:tc>
      </w:tr>
      <w:tr w:rsidR="00D8530A" w14:paraId="17C88C4E" w14:textId="77777777">
        <w:trPr>
          <w:trHeight w:val="380"/>
        </w:trPr>
        <w:tc>
          <w:tcPr>
            <w:tcW w:w="9425" w:type="dxa"/>
            <w:gridSpan w:val="2"/>
            <w:tcBorders>
              <w:top w:val="single" w:sz="4" w:space="0" w:color="auto"/>
              <w:left w:val="single" w:sz="4" w:space="0" w:color="auto"/>
              <w:bottom w:val="single" w:sz="4" w:space="0" w:color="auto"/>
              <w:right w:val="single" w:sz="4" w:space="0" w:color="auto"/>
            </w:tcBorders>
            <w:vAlign w:val="center"/>
          </w:tcPr>
          <w:p w14:paraId="60E04BCB" w14:textId="77777777" w:rsidR="00D8530A" w:rsidRDefault="00000000">
            <w:pPr>
              <w:widowControl/>
              <w:spacing w:line="400" w:lineRule="exact"/>
              <w:jc w:val="center"/>
              <w:textAlignment w:val="center"/>
              <w:rPr>
                <w:rFonts w:ascii="楷体_GB2312" w:eastAsia="楷体_GB2312" w:hAnsi="等线" w:cs="楷体_GB2312" w:hint="eastAsia"/>
                <w:b/>
                <w:bCs/>
                <w:color w:val="000000" w:themeColor="text1"/>
              </w:rPr>
            </w:pPr>
            <w:r>
              <w:rPr>
                <w:rFonts w:ascii="楷体_GB2312" w:eastAsia="楷体_GB2312" w:hAnsi="等线" w:cs="楷体_GB2312" w:hint="eastAsia"/>
                <w:b/>
                <w:bCs/>
                <w:color w:val="000000" w:themeColor="text1"/>
                <w:kern w:val="0"/>
                <w:lang w:bidi="ar"/>
              </w:rPr>
              <w:lastRenderedPageBreak/>
              <w:t>（二）交易规则</w:t>
            </w:r>
          </w:p>
        </w:tc>
      </w:tr>
      <w:tr w:rsidR="00D8530A" w14:paraId="1803476B" w14:textId="77777777">
        <w:trPr>
          <w:trHeight w:val="540"/>
        </w:trPr>
        <w:tc>
          <w:tcPr>
            <w:tcW w:w="2453" w:type="dxa"/>
            <w:tcBorders>
              <w:top w:val="single" w:sz="4" w:space="0" w:color="auto"/>
              <w:left w:val="single" w:sz="4" w:space="0" w:color="auto"/>
              <w:bottom w:val="single" w:sz="4" w:space="0" w:color="auto"/>
              <w:right w:val="single" w:sz="4" w:space="0" w:color="auto"/>
            </w:tcBorders>
            <w:vAlign w:val="center"/>
          </w:tcPr>
          <w:p w14:paraId="03BB52D9" w14:textId="77777777" w:rsidR="00D8530A" w:rsidRDefault="00000000">
            <w:pPr>
              <w:widowControl/>
              <w:spacing w:line="400" w:lineRule="exact"/>
              <w:jc w:val="center"/>
              <w:textAlignment w:val="center"/>
              <w:rPr>
                <w:rFonts w:ascii="仿宋_GB2312" w:hAnsi="等线" w:cs="仿宋_GB2312" w:hint="eastAsia"/>
                <w:color w:val="000000" w:themeColor="text1"/>
              </w:rPr>
            </w:pPr>
            <w:r>
              <w:rPr>
                <w:rFonts w:ascii="仿宋_GB2312" w:hAnsi="等线" w:cs="仿宋_GB2312" w:hint="eastAsia"/>
                <w:color w:val="000000" w:themeColor="text1"/>
                <w:kern w:val="0"/>
                <w:lang w:bidi="ar"/>
              </w:rPr>
              <w:t>募集币种</w:t>
            </w:r>
          </w:p>
        </w:tc>
        <w:tc>
          <w:tcPr>
            <w:tcW w:w="6972" w:type="dxa"/>
            <w:tcBorders>
              <w:top w:val="single" w:sz="4" w:space="0" w:color="auto"/>
              <w:left w:val="single" w:sz="4" w:space="0" w:color="auto"/>
              <w:bottom w:val="single" w:sz="4" w:space="0" w:color="auto"/>
              <w:right w:val="single" w:sz="4" w:space="0" w:color="auto"/>
            </w:tcBorders>
            <w:vAlign w:val="center"/>
          </w:tcPr>
          <w:p w14:paraId="4465FF63" w14:textId="77777777" w:rsidR="00D8530A" w:rsidRDefault="00000000">
            <w:pPr>
              <w:widowControl/>
              <w:spacing w:line="400" w:lineRule="exact"/>
              <w:jc w:val="left"/>
              <w:textAlignment w:val="center"/>
              <w:rPr>
                <w:rFonts w:ascii="仿宋_GB2312" w:hAnsi="等线" w:cs="仿宋_GB2312" w:hint="eastAsia"/>
                <w:bCs/>
                <w:color w:val="000000" w:themeColor="text1"/>
              </w:rPr>
            </w:pPr>
            <w:r>
              <w:rPr>
                <w:rFonts w:ascii="宋体" w:hAnsi="宋体" w:cstheme="minorBidi" w:hint="eastAsia"/>
                <w:szCs w:val="24"/>
                <w:lang w:bidi="ar"/>
              </w:rPr>
              <w:t>人民币</w:t>
            </w:r>
          </w:p>
        </w:tc>
      </w:tr>
      <w:tr w:rsidR="00D8530A" w14:paraId="59692ACD" w14:textId="77777777">
        <w:trPr>
          <w:trHeight w:val="540"/>
        </w:trPr>
        <w:tc>
          <w:tcPr>
            <w:tcW w:w="2453" w:type="dxa"/>
            <w:tcBorders>
              <w:top w:val="single" w:sz="4" w:space="0" w:color="auto"/>
              <w:left w:val="single" w:sz="4" w:space="0" w:color="auto"/>
              <w:bottom w:val="single" w:sz="4" w:space="0" w:color="auto"/>
              <w:right w:val="single" w:sz="4" w:space="0" w:color="auto"/>
            </w:tcBorders>
            <w:vAlign w:val="center"/>
          </w:tcPr>
          <w:p w14:paraId="50D78E2A" w14:textId="77777777" w:rsidR="00D8530A" w:rsidRDefault="00000000">
            <w:pPr>
              <w:widowControl/>
              <w:spacing w:line="400" w:lineRule="exact"/>
              <w:jc w:val="center"/>
              <w:textAlignment w:val="center"/>
              <w:rPr>
                <w:rFonts w:ascii="仿宋_GB2312" w:hAnsi="等线" w:cs="仿宋_GB2312" w:hint="eastAsia"/>
                <w:color w:val="000000" w:themeColor="text1"/>
              </w:rPr>
            </w:pPr>
            <w:r>
              <w:rPr>
                <w:rFonts w:ascii="仿宋_GB2312" w:hAnsi="等线" w:cs="仿宋_GB2312" w:hint="eastAsia"/>
                <w:color w:val="000000" w:themeColor="text1"/>
                <w:kern w:val="0"/>
                <w:lang w:bidi="ar"/>
              </w:rPr>
              <w:t>起点销售金额</w:t>
            </w:r>
          </w:p>
        </w:tc>
        <w:tc>
          <w:tcPr>
            <w:tcW w:w="6972" w:type="dxa"/>
            <w:tcBorders>
              <w:top w:val="single" w:sz="4" w:space="0" w:color="auto"/>
              <w:left w:val="single" w:sz="4" w:space="0" w:color="auto"/>
              <w:bottom w:val="single" w:sz="4" w:space="0" w:color="auto"/>
              <w:right w:val="single" w:sz="4" w:space="0" w:color="auto"/>
            </w:tcBorders>
            <w:vAlign w:val="center"/>
          </w:tcPr>
          <w:p w14:paraId="05CFE530" w14:textId="77777777" w:rsidR="00D8530A" w:rsidRDefault="00000000">
            <w:pPr>
              <w:widowControl/>
              <w:spacing w:line="400" w:lineRule="exact"/>
              <w:jc w:val="left"/>
              <w:textAlignment w:val="center"/>
              <w:rPr>
                <w:rFonts w:ascii="仿宋_GB2312" w:hAnsi="仿宋_GB2312" w:cs="仿宋_GB2312" w:hint="eastAsia"/>
                <w:szCs w:val="24"/>
              </w:rPr>
            </w:pPr>
            <w:r>
              <w:rPr>
                <w:rFonts w:ascii="仿宋_GB2312" w:hAnsi="仿宋_GB2312" w:cs="仿宋_GB2312" w:hint="eastAsia"/>
                <w:szCs w:val="24"/>
              </w:rPr>
              <w:t>ZYFCG0261A:1元</w:t>
            </w:r>
          </w:p>
          <w:p w14:paraId="189FC2A0" w14:textId="77777777" w:rsidR="00D8530A" w:rsidRDefault="00000000">
            <w:pPr>
              <w:widowControl/>
              <w:spacing w:line="400" w:lineRule="exact"/>
              <w:jc w:val="left"/>
              <w:textAlignment w:val="center"/>
              <w:rPr>
                <w:rFonts w:ascii="仿宋_GB2312" w:hAnsi="仿宋_GB2312" w:cs="仿宋_GB2312" w:hint="eastAsia"/>
                <w:szCs w:val="24"/>
              </w:rPr>
            </w:pPr>
            <w:r>
              <w:rPr>
                <w:rFonts w:ascii="仿宋_GB2312" w:hAnsi="仿宋_GB2312" w:cs="仿宋_GB2312" w:hint="eastAsia"/>
                <w:szCs w:val="24"/>
              </w:rPr>
              <w:t>ZYFCG0261B:1元</w:t>
            </w:r>
          </w:p>
          <w:p w14:paraId="10A3DF8F" w14:textId="77777777" w:rsidR="00D8530A" w:rsidRDefault="00000000">
            <w:pPr>
              <w:widowControl/>
              <w:spacing w:line="400" w:lineRule="exact"/>
              <w:jc w:val="left"/>
              <w:textAlignment w:val="center"/>
              <w:rPr>
                <w:rFonts w:ascii="仿宋_GB2312" w:hAnsi="仿宋_GB2312" w:cs="仿宋_GB2312" w:hint="eastAsia"/>
                <w:szCs w:val="24"/>
              </w:rPr>
            </w:pPr>
            <w:r>
              <w:rPr>
                <w:rFonts w:ascii="仿宋_GB2312" w:hAnsi="仿宋_GB2312" w:cs="仿宋_GB2312" w:hint="eastAsia"/>
                <w:szCs w:val="24"/>
              </w:rPr>
              <w:t>ZYFCG0261C:1元</w:t>
            </w:r>
          </w:p>
          <w:p w14:paraId="0801026A" w14:textId="77777777" w:rsidR="00D8530A" w:rsidRDefault="00000000">
            <w:pPr>
              <w:widowControl/>
              <w:spacing w:line="400" w:lineRule="exact"/>
              <w:jc w:val="left"/>
              <w:textAlignment w:val="center"/>
              <w:rPr>
                <w:rFonts w:ascii="仿宋_GB2312" w:hAnsi="仿宋_GB2312" w:cs="仿宋_GB2312" w:hint="eastAsia"/>
                <w:szCs w:val="24"/>
              </w:rPr>
            </w:pPr>
            <w:r>
              <w:rPr>
                <w:rFonts w:ascii="仿宋_GB2312" w:hAnsi="仿宋_GB2312" w:cs="仿宋_GB2312" w:hint="eastAsia"/>
                <w:szCs w:val="24"/>
              </w:rPr>
              <w:t>ZYFCG0261D:1元</w:t>
            </w:r>
          </w:p>
          <w:p w14:paraId="6EF8630C" w14:textId="77777777" w:rsidR="00D8530A" w:rsidRDefault="00000000">
            <w:pPr>
              <w:widowControl/>
              <w:spacing w:line="400" w:lineRule="exact"/>
              <w:jc w:val="left"/>
              <w:textAlignment w:val="center"/>
              <w:rPr>
                <w:rFonts w:ascii="仿宋_GB2312" w:hAnsi="仿宋_GB2312" w:cs="仿宋_GB2312" w:hint="eastAsia"/>
                <w:szCs w:val="24"/>
              </w:rPr>
            </w:pPr>
            <w:r>
              <w:rPr>
                <w:rFonts w:ascii="仿宋_GB2312" w:hAnsi="仿宋_GB2312" w:cs="仿宋_GB2312" w:hint="eastAsia"/>
                <w:szCs w:val="24"/>
              </w:rPr>
              <w:t>ZYFCG0261E:1元</w:t>
            </w:r>
          </w:p>
          <w:p w14:paraId="61DB4F7B" w14:textId="77777777" w:rsidR="00D8530A" w:rsidRDefault="00000000">
            <w:pPr>
              <w:widowControl/>
              <w:spacing w:line="400" w:lineRule="exact"/>
              <w:jc w:val="left"/>
              <w:textAlignment w:val="center"/>
              <w:rPr>
                <w:rFonts w:ascii="仿宋_GB2312" w:hAnsi="仿宋_GB2312" w:cs="仿宋_GB2312" w:hint="eastAsia"/>
                <w:szCs w:val="24"/>
              </w:rPr>
            </w:pPr>
            <w:r>
              <w:rPr>
                <w:rFonts w:ascii="仿宋_GB2312" w:hAnsi="仿宋_GB2312" w:cs="仿宋_GB2312" w:hint="eastAsia"/>
                <w:szCs w:val="24"/>
              </w:rPr>
              <w:t>ZYFCG0261F:1元</w:t>
            </w:r>
          </w:p>
          <w:p w14:paraId="3FCB993A" w14:textId="77777777" w:rsidR="00D8530A" w:rsidRDefault="00000000">
            <w:pPr>
              <w:widowControl/>
              <w:spacing w:line="400" w:lineRule="exact"/>
              <w:jc w:val="left"/>
              <w:textAlignment w:val="center"/>
              <w:rPr>
                <w:rFonts w:ascii="仿宋_GB2312" w:hAnsi="仿宋_GB2312" w:cs="仿宋_GB2312" w:hint="eastAsia"/>
                <w:szCs w:val="24"/>
              </w:rPr>
            </w:pPr>
            <w:r>
              <w:rPr>
                <w:rFonts w:ascii="仿宋_GB2312" w:hAnsi="仿宋_GB2312" w:cs="仿宋_GB2312" w:hint="eastAsia"/>
                <w:szCs w:val="24"/>
              </w:rPr>
              <w:t>ZYFCG0261G:1元</w:t>
            </w:r>
          </w:p>
          <w:p w14:paraId="5170B275" w14:textId="77777777" w:rsidR="00D8530A" w:rsidRDefault="00000000">
            <w:pPr>
              <w:widowControl/>
              <w:spacing w:line="400" w:lineRule="exact"/>
              <w:jc w:val="left"/>
              <w:textAlignment w:val="center"/>
              <w:rPr>
                <w:rFonts w:ascii="仿宋_GB2312" w:hAnsi="仿宋_GB2312" w:cs="仿宋_GB2312" w:hint="eastAsia"/>
                <w:szCs w:val="24"/>
              </w:rPr>
            </w:pPr>
            <w:r>
              <w:rPr>
                <w:rFonts w:ascii="仿宋_GB2312" w:hAnsi="仿宋_GB2312" w:cs="仿宋_GB2312" w:hint="eastAsia"/>
                <w:szCs w:val="24"/>
              </w:rPr>
              <w:t>ZYFCG0261H:1元</w:t>
            </w:r>
          </w:p>
          <w:p w14:paraId="2A542117" w14:textId="77777777" w:rsidR="00D8530A" w:rsidRDefault="00000000">
            <w:pPr>
              <w:widowControl/>
              <w:spacing w:line="400" w:lineRule="exact"/>
              <w:jc w:val="left"/>
              <w:textAlignment w:val="center"/>
              <w:rPr>
                <w:rFonts w:ascii="宋体" w:hAnsi="宋体" w:hint="eastAsia"/>
                <w:szCs w:val="24"/>
              </w:rPr>
            </w:pPr>
            <w:r>
              <w:rPr>
                <w:rFonts w:ascii="宋体" w:hAnsi="宋体" w:hint="eastAsia"/>
                <w:b/>
                <w:szCs w:val="24"/>
              </w:rPr>
              <w:t>管理人有权以公告形式调整投资者起点销售金额。销售机构的认购、申购起点销售金额可能</w:t>
            </w:r>
            <w:r>
              <w:rPr>
                <w:rFonts w:ascii="宋体" w:hAnsi="宋体"/>
                <w:b/>
                <w:szCs w:val="24"/>
              </w:rPr>
              <w:t>与本</w:t>
            </w:r>
            <w:r>
              <w:rPr>
                <w:rFonts w:ascii="宋体" w:hAnsi="宋体" w:hint="eastAsia"/>
                <w:b/>
                <w:szCs w:val="24"/>
              </w:rPr>
              <w:t>产品</w:t>
            </w:r>
            <w:r>
              <w:rPr>
                <w:rFonts w:ascii="宋体" w:hAnsi="宋体"/>
                <w:b/>
                <w:szCs w:val="24"/>
              </w:rPr>
              <w:t>说明书</w:t>
            </w:r>
            <w:r>
              <w:rPr>
                <w:rFonts w:ascii="宋体" w:hAnsi="宋体" w:hint="eastAsia"/>
                <w:b/>
                <w:szCs w:val="24"/>
              </w:rPr>
              <w:t>不一致</w:t>
            </w:r>
            <w:r>
              <w:rPr>
                <w:rFonts w:ascii="宋体" w:hAnsi="宋体"/>
                <w:b/>
                <w:szCs w:val="24"/>
              </w:rPr>
              <w:t>，</w:t>
            </w:r>
            <w:r>
              <w:rPr>
                <w:rFonts w:ascii="宋体" w:hAnsi="宋体" w:hint="eastAsia"/>
                <w:b/>
                <w:szCs w:val="24"/>
              </w:rPr>
              <w:t>通过销售机构认购、申购</w:t>
            </w:r>
            <w:r>
              <w:rPr>
                <w:rFonts w:ascii="宋体" w:hAnsi="宋体"/>
                <w:b/>
                <w:szCs w:val="24"/>
              </w:rPr>
              <w:t>的</w:t>
            </w:r>
            <w:r>
              <w:rPr>
                <w:rFonts w:ascii="宋体" w:hAnsi="宋体" w:hint="eastAsia"/>
                <w:b/>
                <w:szCs w:val="24"/>
              </w:rPr>
              <w:t>具体以销售机构展示为准。销售机构的实际起点销售金额，不得低于本产品说明书约定的起点销售金额。</w:t>
            </w:r>
          </w:p>
        </w:tc>
      </w:tr>
      <w:tr w:rsidR="00D8530A" w14:paraId="502166E2" w14:textId="77777777">
        <w:trPr>
          <w:trHeight w:val="540"/>
        </w:trPr>
        <w:tc>
          <w:tcPr>
            <w:tcW w:w="2453" w:type="dxa"/>
            <w:tcBorders>
              <w:top w:val="single" w:sz="4" w:space="0" w:color="auto"/>
              <w:left w:val="single" w:sz="4" w:space="0" w:color="auto"/>
              <w:bottom w:val="single" w:sz="4" w:space="0" w:color="auto"/>
              <w:right w:val="single" w:sz="4" w:space="0" w:color="auto"/>
            </w:tcBorders>
            <w:vAlign w:val="center"/>
          </w:tcPr>
          <w:p w14:paraId="329BEACB" w14:textId="77777777" w:rsidR="00D8530A" w:rsidRDefault="00000000">
            <w:pPr>
              <w:widowControl/>
              <w:spacing w:line="400" w:lineRule="exact"/>
              <w:jc w:val="center"/>
              <w:textAlignment w:val="center"/>
              <w:rPr>
                <w:rFonts w:ascii="仿宋_GB2312" w:hAnsi="等线" w:cs="仿宋_GB2312" w:hint="eastAsia"/>
                <w:color w:val="000000" w:themeColor="text1"/>
              </w:rPr>
            </w:pPr>
            <w:r>
              <w:rPr>
                <w:rFonts w:ascii="仿宋_GB2312" w:hAnsi="等线" w:cs="仿宋_GB2312" w:hint="eastAsia"/>
                <w:color w:val="000000" w:themeColor="text1"/>
                <w:kern w:val="0"/>
                <w:lang w:bidi="ar"/>
              </w:rPr>
              <w:t>追加递增金额</w:t>
            </w:r>
          </w:p>
        </w:tc>
        <w:tc>
          <w:tcPr>
            <w:tcW w:w="6972" w:type="dxa"/>
            <w:tcBorders>
              <w:top w:val="single" w:sz="4" w:space="0" w:color="auto"/>
              <w:left w:val="single" w:sz="4" w:space="0" w:color="auto"/>
              <w:bottom w:val="single" w:sz="4" w:space="0" w:color="auto"/>
              <w:right w:val="single" w:sz="4" w:space="0" w:color="auto"/>
            </w:tcBorders>
            <w:vAlign w:val="center"/>
          </w:tcPr>
          <w:p w14:paraId="50E7D4F5" w14:textId="77777777" w:rsidR="00D8530A" w:rsidRDefault="00000000">
            <w:pPr>
              <w:widowControl/>
              <w:spacing w:line="400" w:lineRule="exact"/>
              <w:textAlignment w:val="center"/>
              <w:rPr>
                <w:rFonts w:ascii="仿宋_GB2312" w:hAnsi="仿宋_GB2312" w:cs="仿宋_GB2312" w:hint="eastAsia"/>
                <w:szCs w:val="24"/>
              </w:rPr>
            </w:pPr>
            <w:r>
              <w:rPr>
                <w:rFonts w:ascii="仿宋_GB2312" w:hAnsi="仿宋_GB2312" w:cs="仿宋_GB2312" w:hint="eastAsia"/>
                <w:szCs w:val="24"/>
              </w:rPr>
              <w:t>ZYFCG0261A:0.01元</w:t>
            </w:r>
          </w:p>
          <w:p w14:paraId="5AA5738D" w14:textId="77777777" w:rsidR="00D8530A" w:rsidRDefault="00000000">
            <w:pPr>
              <w:widowControl/>
              <w:spacing w:line="400" w:lineRule="exact"/>
              <w:textAlignment w:val="center"/>
              <w:rPr>
                <w:rFonts w:ascii="仿宋_GB2312" w:hAnsi="仿宋_GB2312" w:cs="仿宋_GB2312" w:hint="eastAsia"/>
                <w:szCs w:val="24"/>
              </w:rPr>
            </w:pPr>
            <w:r>
              <w:rPr>
                <w:rFonts w:ascii="仿宋_GB2312" w:hAnsi="仿宋_GB2312" w:cs="仿宋_GB2312" w:hint="eastAsia"/>
                <w:szCs w:val="24"/>
              </w:rPr>
              <w:t>ZYFCG0261B:0.01元</w:t>
            </w:r>
          </w:p>
          <w:p w14:paraId="2FBB1E17" w14:textId="77777777" w:rsidR="00D8530A" w:rsidRDefault="00000000">
            <w:pPr>
              <w:widowControl/>
              <w:spacing w:line="400" w:lineRule="exact"/>
              <w:textAlignment w:val="center"/>
              <w:rPr>
                <w:rFonts w:ascii="仿宋_GB2312" w:hAnsi="仿宋_GB2312" w:cs="仿宋_GB2312" w:hint="eastAsia"/>
                <w:szCs w:val="24"/>
              </w:rPr>
            </w:pPr>
            <w:r>
              <w:rPr>
                <w:rFonts w:ascii="仿宋_GB2312" w:hAnsi="仿宋_GB2312" w:cs="仿宋_GB2312" w:hint="eastAsia"/>
                <w:szCs w:val="24"/>
              </w:rPr>
              <w:t>ZYFCG0261C:0.01元</w:t>
            </w:r>
          </w:p>
          <w:p w14:paraId="69E50EEC" w14:textId="77777777" w:rsidR="00D8530A" w:rsidRDefault="00000000">
            <w:pPr>
              <w:widowControl/>
              <w:spacing w:line="400" w:lineRule="exact"/>
              <w:textAlignment w:val="center"/>
              <w:rPr>
                <w:rFonts w:ascii="仿宋_GB2312" w:hAnsi="仿宋_GB2312" w:cs="仿宋_GB2312" w:hint="eastAsia"/>
                <w:szCs w:val="24"/>
              </w:rPr>
            </w:pPr>
            <w:r>
              <w:rPr>
                <w:rFonts w:ascii="仿宋_GB2312" w:hAnsi="仿宋_GB2312" w:cs="仿宋_GB2312" w:hint="eastAsia"/>
                <w:szCs w:val="24"/>
              </w:rPr>
              <w:t>ZYFCG0261D:0.01元</w:t>
            </w:r>
          </w:p>
          <w:p w14:paraId="3C315AB5" w14:textId="77777777" w:rsidR="00D8530A" w:rsidRDefault="00000000">
            <w:pPr>
              <w:widowControl/>
              <w:spacing w:line="400" w:lineRule="exact"/>
              <w:textAlignment w:val="center"/>
              <w:rPr>
                <w:rFonts w:ascii="仿宋_GB2312" w:hAnsi="仿宋_GB2312" w:cs="仿宋_GB2312" w:hint="eastAsia"/>
                <w:szCs w:val="24"/>
              </w:rPr>
            </w:pPr>
            <w:r>
              <w:rPr>
                <w:rFonts w:ascii="仿宋_GB2312" w:hAnsi="仿宋_GB2312" w:cs="仿宋_GB2312" w:hint="eastAsia"/>
                <w:szCs w:val="24"/>
              </w:rPr>
              <w:t>ZYFCG0261E:0.01元</w:t>
            </w:r>
          </w:p>
          <w:p w14:paraId="7CC10DCA" w14:textId="77777777" w:rsidR="00D8530A" w:rsidRDefault="00000000">
            <w:pPr>
              <w:widowControl/>
              <w:spacing w:line="400" w:lineRule="exact"/>
              <w:textAlignment w:val="center"/>
              <w:rPr>
                <w:rFonts w:ascii="仿宋_GB2312" w:hAnsi="仿宋_GB2312" w:cs="仿宋_GB2312" w:hint="eastAsia"/>
                <w:szCs w:val="24"/>
              </w:rPr>
            </w:pPr>
            <w:r>
              <w:rPr>
                <w:rFonts w:ascii="仿宋_GB2312" w:hAnsi="仿宋_GB2312" w:cs="仿宋_GB2312" w:hint="eastAsia"/>
                <w:szCs w:val="24"/>
              </w:rPr>
              <w:t>ZYFCG0261F:0.01元</w:t>
            </w:r>
          </w:p>
          <w:p w14:paraId="037819D1" w14:textId="77777777" w:rsidR="00D8530A" w:rsidRDefault="00000000">
            <w:pPr>
              <w:widowControl/>
              <w:spacing w:line="400" w:lineRule="exact"/>
              <w:textAlignment w:val="center"/>
              <w:rPr>
                <w:rFonts w:ascii="仿宋_GB2312" w:hAnsi="仿宋_GB2312" w:cs="仿宋_GB2312" w:hint="eastAsia"/>
                <w:szCs w:val="24"/>
              </w:rPr>
            </w:pPr>
            <w:r>
              <w:rPr>
                <w:rFonts w:ascii="仿宋_GB2312" w:hAnsi="仿宋_GB2312" w:cs="仿宋_GB2312" w:hint="eastAsia"/>
                <w:szCs w:val="24"/>
              </w:rPr>
              <w:t>ZYFCG0261G:0.01元</w:t>
            </w:r>
          </w:p>
          <w:p w14:paraId="44AB98E5" w14:textId="77777777" w:rsidR="00D8530A" w:rsidRDefault="00000000">
            <w:pPr>
              <w:widowControl/>
              <w:spacing w:line="400" w:lineRule="exact"/>
              <w:textAlignment w:val="center"/>
              <w:rPr>
                <w:rFonts w:ascii="仿宋_GB2312" w:hAnsi="等线" w:cs="仿宋_GB2312" w:hint="eastAsia"/>
                <w:bCs/>
                <w:color w:val="000000" w:themeColor="text1"/>
              </w:rPr>
            </w:pPr>
            <w:r>
              <w:rPr>
                <w:rFonts w:ascii="仿宋_GB2312" w:hAnsi="仿宋_GB2312" w:cs="仿宋_GB2312" w:hint="eastAsia"/>
                <w:szCs w:val="24"/>
              </w:rPr>
              <w:t>ZYFCG0261H:0.01元</w:t>
            </w:r>
          </w:p>
        </w:tc>
      </w:tr>
      <w:tr w:rsidR="00D8530A" w14:paraId="1DC0AB00" w14:textId="77777777">
        <w:trPr>
          <w:trHeight w:val="540"/>
        </w:trPr>
        <w:tc>
          <w:tcPr>
            <w:tcW w:w="2453" w:type="dxa"/>
            <w:tcBorders>
              <w:top w:val="single" w:sz="4" w:space="0" w:color="auto"/>
              <w:left w:val="single" w:sz="4" w:space="0" w:color="auto"/>
              <w:bottom w:val="single" w:sz="4" w:space="0" w:color="auto"/>
              <w:right w:val="single" w:sz="4" w:space="0" w:color="auto"/>
            </w:tcBorders>
            <w:vAlign w:val="center"/>
          </w:tcPr>
          <w:p w14:paraId="2C74DDFE" w14:textId="77777777" w:rsidR="00D8530A" w:rsidRDefault="00000000">
            <w:pPr>
              <w:widowControl/>
              <w:spacing w:line="400" w:lineRule="exact"/>
              <w:jc w:val="center"/>
              <w:textAlignment w:val="center"/>
              <w:rPr>
                <w:rFonts w:ascii="仿宋_GB2312" w:hAnsi="等线" w:cs="仿宋_GB2312" w:hint="eastAsia"/>
                <w:color w:val="000000" w:themeColor="text1"/>
              </w:rPr>
            </w:pPr>
            <w:r>
              <w:rPr>
                <w:rFonts w:ascii="仿宋_GB2312" w:hAnsi="等线" w:cs="仿宋_GB2312" w:hint="eastAsia"/>
                <w:color w:val="000000" w:themeColor="text1"/>
                <w:kern w:val="0"/>
                <w:lang w:bidi="ar"/>
              </w:rPr>
              <w:t>计划募集金额</w:t>
            </w:r>
          </w:p>
        </w:tc>
        <w:tc>
          <w:tcPr>
            <w:tcW w:w="6972" w:type="dxa"/>
            <w:tcBorders>
              <w:top w:val="single" w:sz="4" w:space="0" w:color="auto"/>
              <w:left w:val="single" w:sz="4" w:space="0" w:color="auto"/>
              <w:bottom w:val="single" w:sz="4" w:space="0" w:color="auto"/>
              <w:right w:val="single" w:sz="4" w:space="0" w:color="auto"/>
            </w:tcBorders>
            <w:vAlign w:val="center"/>
          </w:tcPr>
          <w:p w14:paraId="34C2B5E0" w14:textId="77777777" w:rsidR="00D8530A" w:rsidRDefault="00000000">
            <w:pPr>
              <w:widowControl/>
              <w:spacing w:line="400" w:lineRule="exact"/>
              <w:jc w:val="left"/>
              <w:textAlignment w:val="center"/>
              <w:rPr>
                <w:rFonts w:ascii="仿宋_GB2312" w:hAnsi="仿宋_GB2312" w:cs="仿宋_GB2312" w:hint="eastAsia"/>
                <w:szCs w:val="24"/>
              </w:rPr>
            </w:pPr>
            <w:r>
              <w:rPr>
                <w:rFonts w:ascii="仿宋_GB2312" w:hAnsi="仿宋_GB2312" w:cs="仿宋_GB2312" w:hint="eastAsia"/>
                <w:szCs w:val="24"/>
              </w:rPr>
              <w:t>20亿元。</w:t>
            </w:r>
          </w:p>
          <w:p w14:paraId="4BC4EFCD" w14:textId="77777777" w:rsidR="00D8530A" w:rsidRDefault="00000000">
            <w:pPr>
              <w:widowControl/>
              <w:spacing w:line="400" w:lineRule="exact"/>
              <w:jc w:val="left"/>
              <w:textAlignment w:val="center"/>
              <w:rPr>
                <w:rFonts w:ascii="仿宋_GB2312" w:hAnsi="仿宋_GB2312" w:cs="仿宋_GB2312" w:hint="eastAsia"/>
                <w:szCs w:val="24"/>
              </w:rPr>
            </w:pPr>
            <w:r>
              <w:rPr>
                <w:rFonts w:ascii="仿宋_GB2312" w:hAnsi="仿宋_GB2312" w:cs="仿宋_GB2312" w:hint="eastAsia"/>
                <w:b/>
                <w:bCs/>
                <w:szCs w:val="24"/>
              </w:rPr>
              <w:t>管理人有权根据实际需要调整计划募集金额上限。</w:t>
            </w:r>
          </w:p>
        </w:tc>
      </w:tr>
      <w:tr w:rsidR="00D8530A" w14:paraId="05CDAEA2" w14:textId="77777777">
        <w:trPr>
          <w:trHeight w:val="540"/>
        </w:trPr>
        <w:tc>
          <w:tcPr>
            <w:tcW w:w="2453" w:type="dxa"/>
            <w:tcBorders>
              <w:top w:val="single" w:sz="4" w:space="0" w:color="auto"/>
              <w:left w:val="single" w:sz="4" w:space="0" w:color="auto"/>
              <w:bottom w:val="single" w:sz="4" w:space="0" w:color="auto"/>
              <w:right w:val="single" w:sz="4" w:space="0" w:color="auto"/>
            </w:tcBorders>
            <w:vAlign w:val="center"/>
          </w:tcPr>
          <w:p w14:paraId="792F8030" w14:textId="77777777" w:rsidR="00D8530A" w:rsidRDefault="00000000">
            <w:pPr>
              <w:snapToGrid w:val="0"/>
              <w:ind w:leftChars="-74" w:left="-163" w:hanging="15"/>
              <w:jc w:val="center"/>
              <w:rPr>
                <w:rFonts w:ascii="仿宋_GB2312" w:hAnsi="等线" w:cs="仿宋_GB2312" w:hint="eastAsia"/>
                <w:color w:val="000000" w:themeColor="text1"/>
                <w:kern w:val="0"/>
                <w:lang w:bidi="ar"/>
              </w:rPr>
            </w:pPr>
            <w:r>
              <w:rPr>
                <w:rFonts w:ascii="宋体" w:hAnsi="宋体" w:hint="eastAsia"/>
                <w:szCs w:val="24"/>
              </w:rPr>
              <w:t>产品最低成立规模</w:t>
            </w:r>
          </w:p>
        </w:tc>
        <w:tc>
          <w:tcPr>
            <w:tcW w:w="6972" w:type="dxa"/>
            <w:tcBorders>
              <w:top w:val="single" w:sz="4" w:space="0" w:color="auto"/>
              <w:left w:val="single" w:sz="4" w:space="0" w:color="auto"/>
              <w:bottom w:val="single" w:sz="4" w:space="0" w:color="auto"/>
              <w:right w:val="single" w:sz="4" w:space="0" w:color="auto"/>
            </w:tcBorders>
            <w:vAlign w:val="center"/>
          </w:tcPr>
          <w:p w14:paraId="074303B2" w14:textId="77777777" w:rsidR="00D8530A" w:rsidRDefault="00000000">
            <w:pPr>
              <w:widowControl/>
              <w:jc w:val="left"/>
              <w:rPr>
                <w:rFonts w:ascii="仿宋_GB2312" w:hAnsi="仿宋_GB2312" w:cs="仿宋_GB2312" w:hint="eastAsia"/>
                <w:bCs/>
                <w:szCs w:val="24"/>
              </w:rPr>
            </w:pPr>
            <w:r>
              <w:rPr>
                <w:rFonts w:ascii="仿宋_GB2312" w:hAnsi="仿宋_GB2312" w:cs="仿宋_GB2312" w:hint="eastAsia"/>
                <w:szCs w:val="24"/>
              </w:rPr>
              <w:t>【/】</w:t>
            </w:r>
            <w:r>
              <w:rPr>
                <w:rFonts w:ascii="仿宋_GB2312" w:hAnsi="仿宋_GB2312" w:cs="仿宋_GB2312" w:hint="eastAsia"/>
                <w:bCs/>
                <w:szCs w:val="24"/>
              </w:rPr>
              <w:t>亿元。</w:t>
            </w:r>
          </w:p>
          <w:p w14:paraId="5788D978" w14:textId="77777777" w:rsidR="00D8530A" w:rsidRDefault="00000000">
            <w:pPr>
              <w:widowControl/>
              <w:jc w:val="left"/>
              <w:rPr>
                <w:rFonts w:ascii="仿宋_GB2312" w:hAnsi="仿宋_GB2312" w:cs="仿宋_GB2312" w:hint="eastAsia"/>
                <w:b/>
                <w:bCs/>
                <w:szCs w:val="24"/>
              </w:rPr>
            </w:pPr>
            <w:r>
              <w:rPr>
                <w:rFonts w:ascii="仿宋_GB2312" w:hAnsi="仿宋_GB2312" w:cs="仿宋_GB2312" w:hint="eastAsia"/>
                <w:szCs w:val="24"/>
              </w:rPr>
              <w:t>若认购金额不足【/】</w:t>
            </w:r>
            <w:r>
              <w:rPr>
                <w:rFonts w:ascii="仿宋_GB2312" w:hAnsi="仿宋_GB2312" w:cs="仿宋_GB2312" w:hint="eastAsia"/>
                <w:bCs/>
                <w:szCs w:val="24"/>
              </w:rPr>
              <w:t>亿元</w:t>
            </w:r>
            <w:r>
              <w:rPr>
                <w:rFonts w:ascii="仿宋_GB2312" w:hAnsi="仿宋_GB2312" w:cs="仿宋_GB2312" w:hint="eastAsia"/>
                <w:szCs w:val="24"/>
              </w:rPr>
              <w:t>，</w:t>
            </w:r>
            <w:r>
              <w:rPr>
                <w:rFonts w:ascii="仿宋_GB2312" w:hAnsi="仿宋_GB2312" w:cs="仿宋_GB2312" w:hint="eastAsia"/>
                <w:b/>
                <w:bCs/>
                <w:szCs w:val="24"/>
              </w:rPr>
              <w:t>管理人有权宣布理财产品不成立，亦有权调整产品最低成立规模，具体以管理人公告为准</w:t>
            </w:r>
            <w:r>
              <w:rPr>
                <w:rFonts w:ascii="仿宋_GB2312" w:hAnsi="仿宋_GB2312" w:cs="仿宋_GB2312" w:hint="eastAsia"/>
                <w:szCs w:val="24"/>
              </w:rPr>
              <w:t>。</w:t>
            </w:r>
          </w:p>
        </w:tc>
      </w:tr>
      <w:tr w:rsidR="00D8530A" w14:paraId="49DC1616" w14:textId="77777777">
        <w:trPr>
          <w:trHeight w:val="1280"/>
        </w:trPr>
        <w:tc>
          <w:tcPr>
            <w:tcW w:w="2453" w:type="dxa"/>
            <w:tcBorders>
              <w:top w:val="single" w:sz="4" w:space="0" w:color="auto"/>
              <w:left w:val="single" w:sz="4" w:space="0" w:color="auto"/>
              <w:bottom w:val="single" w:sz="4" w:space="0" w:color="auto"/>
              <w:right w:val="single" w:sz="4" w:space="0" w:color="auto"/>
            </w:tcBorders>
            <w:vAlign w:val="center"/>
          </w:tcPr>
          <w:p w14:paraId="0B294670" w14:textId="77777777" w:rsidR="00D8530A" w:rsidRDefault="00000000">
            <w:pPr>
              <w:snapToGrid w:val="0"/>
              <w:ind w:leftChars="26" w:left="77" w:hanging="15"/>
              <w:jc w:val="center"/>
              <w:rPr>
                <w:rFonts w:ascii="仿宋_GB2312" w:hAnsi="等线" w:cs="仿宋_GB2312" w:hint="eastAsia"/>
                <w:color w:val="000000" w:themeColor="text1"/>
              </w:rPr>
            </w:pPr>
            <w:r>
              <w:rPr>
                <w:rFonts w:ascii="宋体" w:hAnsi="宋体" w:hint="eastAsia"/>
                <w:szCs w:val="24"/>
              </w:rPr>
              <w:t>认购、申购、赎回安排</w:t>
            </w:r>
          </w:p>
        </w:tc>
        <w:tc>
          <w:tcPr>
            <w:tcW w:w="6972" w:type="dxa"/>
            <w:tcBorders>
              <w:top w:val="single" w:sz="4" w:space="0" w:color="auto"/>
              <w:left w:val="single" w:sz="4" w:space="0" w:color="auto"/>
              <w:bottom w:val="single" w:sz="4" w:space="0" w:color="auto"/>
              <w:right w:val="single" w:sz="4" w:space="0" w:color="auto"/>
            </w:tcBorders>
            <w:vAlign w:val="center"/>
          </w:tcPr>
          <w:p w14:paraId="69C88ABE" w14:textId="77777777" w:rsidR="00D8530A" w:rsidRDefault="00000000">
            <w:pPr>
              <w:snapToGrid w:val="0"/>
              <w:jc w:val="left"/>
              <w:rPr>
                <w:rFonts w:ascii="仿宋_GB2312" w:hAnsi="仿宋_GB2312" w:cs="仿宋_GB2312" w:hint="eastAsia"/>
                <w:szCs w:val="24"/>
              </w:rPr>
            </w:pPr>
            <w:r>
              <w:rPr>
                <w:rFonts w:ascii="仿宋_GB2312" w:hAnsi="仿宋_GB2312" w:cs="仿宋_GB2312" w:hint="eastAsia"/>
                <w:szCs w:val="24"/>
              </w:rPr>
              <w:t>1.本理财产品按金额认购。</w:t>
            </w:r>
          </w:p>
          <w:p w14:paraId="06E83A1A" w14:textId="77777777" w:rsidR="00D8530A" w:rsidRDefault="00000000">
            <w:pPr>
              <w:snapToGrid w:val="0"/>
              <w:jc w:val="left"/>
              <w:rPr>
                <w:rFonts w:ascii="仿宋_GB2312" w:hAnsi="仿宋_GB2312" w:cs="仿宋_GB2312" w:hint="eastAsia"/>
                <w:szCs w:val="24"/>
              </w:rPr>
            </w:pPr>
            <w:r>
              <w:rPr>
                <w:rFonts w:ascii="仿宋_GB2312" w:hAnsi="仿宋_GB2312" w:cs="仿宋_GB2312" w:hint="eastAsia"/>
                <w:szCs w:val="24"/>
              </w:rPr>
              <w:t>2.认购份额=认购金额÷产品份额净值，按四舍五入原则，保留2位小数。</w:t>
            </w:r>
          </w:p>
          <w:p w14:paraId="05C71CD8" w14:textId="77777777" w:rsidR="00D8530A" w:rsidRDefault="00000000">
            <w:pPr>
              <w:snapToGrid w:val="0"/>
              <w:rPr>
                <w:rFonts w:ascii="仿宋_GB2312" w:hAnsi="仿宋_GB2312" w:cs="仿宋_GB2312" w:hint="eastAsia"/>
                <w:bCs/>
                <w:color w:val="000000" w:themeColor="text1"/>
              </w:rPr>
            </w:pPr>
            <w:r>
              <w:rPr>
                <w:rFonts w:ascii="仿宋_GB2312" w:hAnsi="仿宋_GB2312" w:cs="仿宋_GB2312" w:hint="eastAsia"/>
                <w:szCs w:val="24"/>
              </w:rPr>
              <w:t>3.本产品存续期内不开放投资者申购或赎回。</w:t>
            </w:r>
          </w:p>
        </w:tc>
      </w:tr>
      <w:tr w:rsidR="00D8530A" w14:paraId="74F80FBA" w14:textId="77777777">
        <w:trPr>
          <w:trHeight w:val="1140"/>
        </w:trPr>
        <w:tc>
          <w:tcPr>
            <w:tcW w:w="2453" w:type="dxa"/>
            <w:tcBorders>
              <w:top w:val="single" w:sz="4" w:space="0" w:color="auto"/>
              <w:left w:val="single" w:sz="4" w:space="0" w:color="auto"/>
              <w:bottom w:val="single" w:sz="4" w:space="0" w:color="auto"/>
              <w:right w:val="single" w:sz="4" w:space="0" w:color="auto"/>
            </w:tcBorders>
            <w:vAlign w:val="center"/>
          </w:tcPr>
          <w:p w14:paraId="6A274B69" w14:textId="77777777" w:rsidR="00D8530A" w:rsidRDefault="00000000">
            <w:pPr>
              <w:snapToGrid w:val="0"/>
              <w:ind w:leftChars="26" w:left="77" w:hanging="15"/>
              <w:jc w:val="center"/>
              <w:rPr>
                <w:rFonts w:ascii="仿宋_GB2312" w:hAnsi="等线" w:cs="仿宋_GB2312" w:hint="eastAsia"/>
                <w:color w:val="000000" w:themeColor="text1"/>
                <w:kern w:val="0"/>
                <w:lang w:bidi="ar"/>
              </w:rPr>
            </w:pPr>
            <w:r>
              <w:rPr>
                <w:rFonts w:ascii="宋体" w:hAnsi="宋体" w:hint="eastAsia"/>
                <w:kern w:val="0"/>
                <w:szCs w:val="24"/>
              </w:rPr>
              <w:lastRenderedPageBreak/>
              <w:t>撤销规则</w:t>
            </w:r>
          </w:p>
        </w:tc>
        <w:tc>
          <w:tcPr>
            <w:tcW w:w="6972" w:type="dxa"/>
            <w:tcBorders>
              <w:top w:val="single" w:sz="4" w:space="0" w:color="auto"/>
              <w:left w:val="single" w:sz="4" w:space="0" w:color="auto"/>
              <w:bottom w:val="single" w:sz="4" w:space="0" w:color="auto"/>
              <w:right w:val="single" w:sz="4" w:space="0" w:color="auto"/>
            </w:tcBorders>
            <w:vAlign w:val="center"/>
          </w:tcPr>
          <w:p w14:paraId="28749AE8" w14:textId="77777777" w:rsidR="00D8530A" w:rsidRDefault="00000000">
            <w:pPr>
              <w:snapToGrid w:val="0"/>
              <w:jc w:val="left"/>
              <w:rPr>
                <w:rFonts w:ascii="仿宋_GB2312" w:hAnsi="仿宋_GB2312" w:cs="仿宋_GB2312" w:hint="eastAsia"/>
                <w:bCs/>
                <w:color w:val="000000" w:themeColor="text1"/>
                <w:kern w:val="0"/>
                <w:lang w:bidi="ar"/>
              </w:rPr>
            </w:pPr>
            <w:r>
              <w:rPr>
                <w:rFonts w:ascii="仿宋_GB2312" w:hAnsi="仿宋_GB2312" w:cs="仿宋_GB2312" w:hint="eastAsia"/>
                <w:szCs w:val="24"/>
              </w:rPr>
              <w:t>投资者可在本理财产品募集期结束前撤销已成功提交的产品认购申请</w:t>
            </w:r>
            <w:r>
              <w:rPr>
                <w:rFonts w:ascii="仿宋_GB2312" w:hAnsi="仿宋_GB2312" w:cs="仿宋_GB2312" w:hint="eastAsia"/>
                <w:kern w:val="0"/>
                <w:szCs w:val="24"/>
              </w:rPr>
              <w:t>。销售机构实际受理撤销申请时间可能与说明书不一致，具体以销售机构通知为准。</w:t>
            </w:r>
          </w:p>
        </w:tc>
      </w:tr>
      <w:tr w:rsidR="00D8530A" w14:paraId="51D1D7D6" w14:textId="77777777">
        <w:trPr>
          <w:trHeight w:val="1140"/>
        </w:trPr>
        <w:tc>
          <w:tcPr>
            <w:tcW w:w="2453" w:type="dxa"/>
            <w:tcBorders>
              <w:top w:val="single" w:sz="4" w:space="0" w:color="auto"/>
              <w:left w:val="single" w:sz="4" w:space="0" w:color="auto"/>
              <w:bottom w:val="single" w:sz="4" w:space="0" w:color="auto"/>
              <w:right w:val="single" w:sz="4" w:space="0" w:color="auto"/>
            </w:tcBorders>
            <w:vAlign w:val="center"/>
          </w:tcPr>
          <w:p w14:paraId="56F67EB4" w14:textId="77777777" w:rsidR="00D8530A" w:rsidRDefault="00000000">
            <w:pPr>
              <w:snapToGrid w:val="0"/>
              <w:ind w:leftChars="26" w:left="77" w:hanging="15"/>
              <w:jc w:val="center"/>
              <w:rPr>
                <w:rFonts w:ascii="仿宋_GB2312" w:hAnsi="等线" w:cs="仿宋_GB2312" w:hint="eastAsia"/>
                <w:color w:val="000000" w:themeColor="text1"/>
                <w:kern w:val="0"/>
                <w:lang w:bidi="ar"/>
              </w:rPr>
            </w:pPr>
            <w:r>
              <w:rPr>
                <w:rFonts w:ascii="宋体" w:hAnsi="宋体" w:hint="eastAsia"/>
                <w:bCs/>
                <w:szCs w:val="24"/>
              </w:rPr>
              <w:t>认</w:t>
            </w:r>
            <w:r>
              <w:rPr>
                <w:rFonts w:ascii="宋体" w:hAnsi="宋体" w:hint="eastAsia"/>
                <w:bCs/>
                <w:szCs w:val="24"/>
              </w:rPr>
              <w:t>/</w:t>
            </w:r>
            <w:r>
              <w:rPr>
                <w:rFonts w:ascii="宋体" w:hAnsi="宋体" w:hint="eastAsia"/>
                <w:bCs/>
                <w:szCs w:val="24"/>
              </w:rPr>
              <w:t>申购数量</w:t>
            </w:r>
            <w:r>
              <w:rPr>
                <w:rFonts w:ascii="宋体" w:hAnsi="宋体"/>
                <w:bCs/>
                <w:szCs w:val="24"/>
              </w:rPr>
              <w:t>限制</w:t>
            </w:r>
          </w:p>
        </w:tc>
        <w:tc>
          <w:tcPr>
            <w:tcW w:w="6972" w:type="dxa"/>
            <w:tcBorders>
              <w:top w:val="single" w:sz="4" w:space="0" w:color="auto"/>
              <w:left w:val="single" w:sz="4" w:space="0" w:color="auto"/>
              <w:bottom w:val="single" w:sz="4" w:space="0" w:color="auto"/>
              <w:right w:val="single" w:sz="4" w:space="0" w:color="auto"/>
            </w:tcBorders>
            <w:vAlign w:val="center"/>
          </w:tcPr>
          <w:p w14:paraId="0C7381AA" w14:textId="77777777" w:rsidR="00D8530A" w:rsidRDefault="00000000">
            <w:pPr>
              <w:widowControl/>
              <w:jc w:val="left"/>
              <w:rPr>
                <w:rFonts w:ascii="宋体" w:hAnsi="宋体" w:hint="eastAsia"/>
                <w:bCs/>
                <w:szCs w:val="24"/>
              </w:rPr>
            </w:pPr>
            <w:r>
              <w:rPr>
                <w:rFonts w:ascii="宋体" w:hAnsi="宋体" w:hint="eastAsia"/>
                <w:bCs/>
                <w:szCs w:val="24"/>
              </w:rPr>
              <w:t>【</w:t>
            </w:r>
            <w:r>
              <w:rPr>
                <w:rFonts w:ascii="宋体" w:hAnsi="宋体" w:hint="eastAsia"/>
                <w:bCs/>
                <w:szCs w:val="24"/>
              </w:rPr>
              <w:t>A</w:t>
            </w:r>
            <w:r>
              <w:rPr>
                <w:rFonts w:ascii="宋体" w:hAnsi="宋体" w:hint="eastAsia"/>
                <w:bCs/>
                <w:szCs w:val="24"/>
              </w:rPr>
              <w:t>类份额】：【单一】投资者认购上限为【</w:t>
            </w:r>
            <w:r>
              <w:rPr>
                <w:rFonts w:ascii="宋体" w:hAnsi="宋体" w:hint="eastAsia"/>
                <w:bCs/>
                <w:szCs w:val="24"/>
              </w:rPr>
              <w:t>/</w:t>
            </w:r>
            <w:r>
              <w:rPr>
                <w:rFonts w:ascii="宋体" w:hAnsi="宋体" w:hint="eastAsia"/>
                <w:bCs/>
                <w:szCs w:val="24"/>
              </w:rPr>
              <w:t>】万元。</w:t>
            </w:r>
          </w:p>
          <w:p w14:paraId="54C71E4B" w14:textId="77777777" w:rsidR="00D8530A" w:rsidRDefault="00000000">
            <w:pPr>
              <w:widowControl/>
              <w:jc w:val="left"/>
              <w:rPr>
                <w:rFonts w:ascii="宋体" w:hAnsi="宋体" w:hint="eastAsia"/>
                <w:bCs/>
                <w:szCs w:val="24"/>
              </w:rPr>
            </w:pPr>
            <w:r>
              <w:rPr>
                <w:rFonts w:ascii="宋体" w:hAnsi="宋体" w:hint="eastAsia"/>
                <w:bCs/>
                <w:szCs w:val="24"/>
              </w:rPr>
              <w:t>【</w:t>
            </w:r>
            <w:r>
              <w:rPr>
                <w:rFonts w:ascii="宋体" w:hAnsi="宋体" w:hint="eastAsia"/>
                <w:bCs/>
                <w:szCs w:val="24"/>
              </w:rPr>
              <w:t>B</w:t>
            </w:r>
            <w:r>
              <w:rPr>
                <w:rFonts w:ascii="宋体" w:hAnsi="宋体" w:hint="eastAsia"/>
                <w:bCs/>
                <w:szCs w:val="24"/>
              </w:rPr>
              <w:t>类份额】：【单一】投资者认购上限为【</w:t>
            </w:r>
            <w:r>
              <w:rPr>
                <w:rFonts w:ascii="宋体" w:hAnsi="宋体" w:hint="eastAsia"/>
                <w:bCs/>
                <w:szCs w:val="24"/>
              </w:rPr>
              <w:t>/</w:t>
            </w:r>
            <w:r>
              <w:rPr>
                <w:rFonts w:ascii="宋体" w:hAnsi="宋体" w:hint="eastAsia"/>
                <w:bCs/>
                <w:szCs w:val="24"/>
              </w:rPr>
              <w:t>】万元。</w:t>
            </w:r>
          </w:p>
          <w:p w14:paraId="128F07EB" w14:textId="77777777" w:rsidR="00D8530A" w:rsidRDefault="00000000">
            <w:pPr>
              <w:widowControl/>
              <w:jc w:val="left"/>
              <w:rPr>
                <w:rFonts w:ascii="宋体" w:hAnsi="宋体" w:hint="eastAsia"/>
                <w:bCs/>
                <w:szCs w:val="24"/>
              </w:rPr>
            </w:pPr>
            <w:r>
              <w:rPr>
                <w:rFonts w:ascii="宋体" w:hAnsi="宋体" w:hint="eastAsia"/>
                <w:bCs/>
                <w:szCs w:val="24"/>
              </w:rPr>
              <w:t>【</w:t>
            </w:r>
            <w:r>
              <w:rPr>
                <w:rFonts w:ascii="宋体" w:hAnsi="宋体" w:hint="eastAsia"/>
                <w:bCs/>
                <w:szCs w:val="24"/>
              </w:rPr>
              <w:t>C</w:t>
            </w:r>
            <w:r>
              <w:rPr>
                <w:rFonts w:ascii="宋体" w:hAnsi="宋体" w:hint="eastAsia"/>
                <w:bCs/>
                <w:szCs w:val="24"/>
              </w:rPr>
              <w:t>类份额】：【单一】投资者认购上限为【</w:t>
            </w:r>
            <w:r>
              <w:rPr>
                <w:rFonts w:ascii="宋体" w:hAnsi="宋体" w:hint="eastAsia"/>
                <w:bCs/>
                <w:szCs w:val="24"/>
              </w:rPr>
              <w:t>/</w:t>
            </w:r>
            <w:r>
              <w:rPr>
                <w:rFonts w:ascii="宋体" w:hAnsi="宋体" w:hint="eastAsia"/>
                <w:bCs/>
                <w:szCs w:val="24"/>
              </w:rPr>
              <w:t>】万元。</w:t>
            </w:r>
          </w:p>
          <w:p w14:paraId="45444B60" w14:textId="77777777" w:rsidR="00D8530A" w:rsidRDefault="00000000">
            <w:pPr>
              <w:widowControl/>
              <w:jc w:val="left"/>
              <w:rPr>
                <w:rFonts w:ascii="宋体" w:hAnsi="宋体" w:hint="eastAsia"/>
                <w:bCs/>
                <w:szCs w:val="24"/>
              </w:rPr>
            </w:pPr>
            <w:r>
              <w:rPr>
                <w:rFonts w:ascii="宋体" w:hAnsi="宋体" w:hint="eastAsia"/>
                <w:bCs/>
                <w:szCs w:val="24"/>
              </w:rPr>
              <w:t>【</w:t>
            </w:r>
            <w:r>
              <w:rPr>
                <w:rFonts w:ascii="宋体" w:hAnsi="宋体" w:hint="eastAsia"/>
                <w:bCs/>
                <w:szCs w:val="24"/>
              </w:rPr>
              <w:t>D</w:t>
            </w:r>
            <w:r>
              <w:rPr>
                <w:rFonts w:ascii="宋体" w:hAnsi="宋体" w:hint="eastAsia"/>
                <w:bCs/>
                <w:szCs w:val="24"/>
              </w:rPr>
              <w:t>类份额】：【单一】投资者认购上限为【</w:t>
            </w:r>
            <w:r>
              <w:rPr>
                <w:rFonts w:ascii="宋体" w:hAnsi="宋体" w:hint="eastAsia"/>
                <w:bCs/>
                <w:szCs w:val="24"/>
              </w:rPr>
              <w:t>/</w:t>
            </w:r>
            <w:r>
              <w:rPr>
                <w:rFonts w:ascii="宋体" w:hAnsi="宋体" w:hint="eastAsia"/>
                <w:bCs/>
                <w:szCs w:val="24"/>
              </w:rPr>
              <w:t>】万元。</w:t>
            </w:r>
          </w:p>
          <w:p w14:paraId="1C3878F5" w14:textId="77777777" w:rsidR="00D8530A" w:rsidRDefault="00000000">
            <w:pPr>
              <w:widowControl/>
              <w:jc w:val="left"/>
              <w:rPr>
                <w:rFonts w:ascii="宋体" w:hAnsi="宋体" w:hint="eastAsia"/>
                <w:bCs/>
                <w:szCs w:val="24"/>
              </w:rPr>
            </w:pPr>
            <w:r>
              <w:rPr>
                <w:rFonts w:ascii="宋体" w:hAnsi="宋体" w:hint="eastAsia"/>
                <w:bCs/>
                <w:szCs w:val="24"/>
              </w:rPr>
              <w:t>【</w:t>
            </w:r>
            <w:r>
              <w:rPr>
                <w:rFonts w:ascii="宋体" w:hAnsi="宋体" w:hint="eastAsia"/>
                <w:bCs/>
                <w:szCs w:val="24"/>
              </w:rPr>
              <w:t>E</w:t>
            </w:r>
            <w:r>
              <w:rPr>
                <w:rFonts w:ascii="宋体" w:hAnsi="宋体" w:hint="eastAsia"/>
                <w:bCs/>
                <w:szCs w:val="24"/>
              </w:rPr>
              <w:t>类份额】：【单一】投资者认购上限为【</w:t>
            </w:r>
            <w:r>
              <w:rPr>
                <w:rFonts w:ascii="宋体" w:hAnsi="宋体" w:hint="eastAsia"/>
                <w:bCs/>
                <w:szCs w:val="24"/>
              </w:rPr>
              <w:t>/</w:t>
            </w:r>
            <w:r>
              <w:rPr>
                <w:rFonts w:ascii="宋体" w:hAnsi="宋体" w:hint="eastAsia"/>
                <w:bCs/>
                <w:szCs w:val="24"/>
              </w:rPr>
              <w:t>】万元。</w:t>
            </w:r>
          </w:p>
          <w:p w14:paraId="74631349" w14:textId="77777777" w:rsidR="00D8530A" w:rsidRDefault="00000000">
            <w:pPr>
              <w:widowControl/>
              <w:jc w:val="left"/>
              <w:rPr>
                <w:rFonts w:ascii="宋体" w:hAnsi="宋体" w:hint="eastAsia"/>
                <w:bCs/>
                <w:szCs w:val="24"/>
              </w:rPr>
            </w:pPr>
            <w:r>
              <w:rPr>
                <w:rFonts w:ascii="宋体" w:hAnsi="宋体" w:hint="eastAsia"/>
                <w:bCs/>
                <w:szCs w:val="24"/>
              </w:rPr>
              <w:t>【</w:t>
            </w:r>
            <w:r>
              <w:rPr>
                <w:rFonts w:ascii="宋体" w:hAnsi="宋体" w:hint="eastAsia"/>
                <w:bCs/>
                <w:szCs w:val="24"/>
              </w:rPr>
              <w:t>F</w:t>
            </w:r>
            <w:r>
              <w:rPr>
                <w:rFonts w:ascii="宋体" w:hAnsi="宋体" w:hint="eastAsia"/>
                <w:bCs/>
                <w:szCs w:val="24"/>
              </w:rPr>
              <w:t>类份额】：【单一】投资者认购上限为【</w:t>
            </w:r>
            <w:r>
              <w:rPr>
                <w:rFonts w:ascii="宋体" w:hAnsi="宋体" w:hint="eastAsia"/>
                <w:bCs/>
                <w:szCs w:val="24"/>
              </w:rPr>
              <w:t>/</w:t>
            </w:r>
            <w:r>
              <w:rPr>
                <w:rFonts w:ascii="宋体" w:hAnsi="宋体" w:hint="eastAsia"/>
                <w:bCs/>
                <w:szCs w:val="24"/>
              </w:rPr>
              <w:t>】万元。</w:t>
            </w:r>
          </w:p>
          <w:p w14:paraId="074FFAF2" w14:textId="77777777" w:rsidR="00D8530A" w:rsidRDefault="00000000">
            <w:pPr>
              <w:widowControl/>
              <w:jc w:val="left"/>
              <w:rPr>
                <w:rFonts w:ascii="宋体" w:hAnsi="宋体" w:hint="eastAsia"/>
                <w:bCs/>
                <w:szCs w:val="24"/>
              </w:rPr>
            </w:pPr>
            <w:r>
              <w:rPr>
                <w:rFonts w:ascii="宋体" w:hAnsi="宋体" w:hint="eastAsia"/>
                <w:bCs/>
                <w:szCs w:val="24"/>
              </w:rPr>
              <w:t>【</w:t>
            </w:r>
            <w:r>
              <w:rPr>
                <w:rFonts w:ascii="宋体" w:hAnsi="宋体" w:hint="eastAsia"/>
                <w:bCs/>
                <w:szCs w:val="24"/>
              </w:rPr>
              <w:t>G</w:t>
            </w:r>
            <w:r>
              <w:rPr>
                <w:rFonts w:ascii="宋体" w:hAnsi="宋体" w:hint="eastAsia"/>
                <w:bCs/>
                <w:szCs w:val="24"/>
              </w:rPr>
              <w:t>类份额】：【单一】投资者认购上限为【</w:t>
            </w:r>
            <w:r>
              <w:rPr>
                <w:rFonts w:ascii="宋体" w:hAnsi="宋体" w:hint="eastAsia"/>
                <w:bCs/>
                <w:szCs w:val="24"/>
              </w:rPr>
              <w:t>/</w:t>
            </w:r>
            <w:r>
              <w:rPr>
                <w:rFonts w:ascii="宋体" w:hAnsi="宋体" w:hint="eastAsia"/>
                <w:bCs/>
                <w:szCs w:val="24"/>
              </w:rPr>
              <w:t>】万元。</w:t>
            </w:r>
          </w:p>
          <w:p w14:paraId="2B508EEB" w14:textId="77777777" w:rsidR="00D8530A" w:rsidRDefault="00000000">
            <w:pPr>
              <w:widowControl/>
              <w:jc w:val="left"/>
              <w:rPr>
                <w:rFonts w:ascii="宋体" w:hAnsi="宋体" w:hint="eastAsia"/>
                <w:bCs/>
                <w:szCs w:val="24"/>
              </w:rPr>
            </w:pPr>
            <w:r>
              <w:rPr>
                <w:rFonts w:ascii="宋体" w:hAnsi="宋体" w:hint="eastAsia"/>
                <w:bCs/>
                <w:szCs w:val="24"/>
              </w:rPr>
              <w:t>【</w:t>
            </w:r>
            <w:r>
              <w:rPr>
                <w:rFonts w:ascii="宋体" w:hAnsi="宋体" w:hint="eastAsia"/>
                <w:bCs/>
                <w:szCs w:val="24"/>
              </w:rPr>
              <w:t>H</w:t>
            </w:r>
            <w:r>
              <w:rPr>
                <w:rFonts w:ascii="宋体" w:hAnsi="宋体" w:hint="eastAsia"/>
                <w:bCs/>
                <w:szCs w:val="24"/>
              </w:rPr>
              <w:t>类份额】：【单一】投资者认购上限为【</w:t>
            </w:r>
            <w:r>
              <w:rPr>
                <w:rFonts w:ascii="宋体" w:hAnsi="宋体" w:hint="eastAsia"/>
                <w:bCs/>
                <w:szCs w:val="24"/>
              </w:rPr>
              <w:t>/</w:t>
            </w:r>
            <w:r>
              <w:rPr>
                <w:rFonts w:ascii="宋体" w:hAnsi="宋体" w:hint="eastAsia"/>
                <w:bCs/>
                <w:szCs w:val="24"/>
              </w:rPr>
              <w:t>】万元。</w:t>
            </w:r>
          </w:p>
          <w:p w14:paraId="4F36C4E1" w14:textId="77777777" w:rsidR="00D8530A" w:rsidRDefault="00000000">
            <w:pPr>
              <w:widowControl/>
              <w:jc w:val="left"/>
              <w:rPr>
                <w:rFonts w:ascii="宋体" w:hAnsi="宋体" w:hint="eastAsia"/>
                <w:bCs/>
                <w:szCs w:val="24"/>
              </w:rPr>
            </w:pPr>
            <w:r>
              <w:rPr>
                <w:rFonts w:ascii="宋体" w:hAnsi="宋体" w:hint="eastAsia"/>
                <w:bCs/>
                <w:szCs w:val="24"/>
              </w:rPr>
              <w:t>在产品运作过程中因收益分配、净值波动等被动超上限的情形除外。管理人有权以公告形式调整投资者累计认</w:t>
            </w:r>
            <w:r>
              <w:rPr>
                <w:rFonts w:ascii="宋体" w:hAnsi="宋体" w:hint="eastAsia"/>
                <w:bCs/>
                <w:szCs w:val="24"/>
              </w:rPr>
              <w:t>/</w:t>
            </w:r>
            <w:r>
              <w:rPr>
                <w:rFonts w:ascii="宋体" w:hAnsi="宋体" w:hint="eastAsia"/>
                <w:bCs/>
                <w:szCs w:val="24"/>
              </w:rPr>
              <w:t>申购上限。</w:t>
            </w:r>
          </w:p>
          <w:p w14:paraId="0B17C2CC" w14:textId="77777777" w:rsidR="00D8530A" w:rsidRDefault="00000000">
            <w:pPr>
              <w:widowControl/>
              <w:jc w:val="left"/>
              <w:rPr>
                <w:rFonts w:ascii="仿宋" w:eastAsia="仿宋" w:hAnsi="仿宋" w:cs="宋体" w:hint="eastAsia"/>
                <w:bCs/>
                <w:color w:val="000000" w:themeColor="text1"/>
                <w:kern w:val="0"/>
                <w:lang w:bidi="ar"/>
              </w:rPr>
            </w:pPr>
            <w:r>
              <w:rPr>
                <w:rFonts w:ascii="宋体" w:hAnsi="宋体" w:hint="eastAsia"/>
                <w:bCs/>
                <w:szCs w:val="24"/>
              </w:rPr>
              <w:t>单一投资者持有份额不得超过本产品总份额【</w:t>
            </w:r>
            <w:r>
              <w:rPr>
                <w:rFonts w:ascii="宋体" w:hAnsi="宋体" w:hint="eastAsia"/>
                <w:bCs/>
                <w:szCs w:val="24"/>
              </w:rPr>
              <w:t>50%</w:t>
            </w:r>
            <w:r>
              <w:rPr>
                <w:rFonts w:ascii="宋体" w:hAnsi="宋体" w:hint="eastAsia"/>
                <w:bCs/>
                <w:szCs w:val="24"/>
              </w:rPr>
              <w:t>】，非因产品管理人主观因素导致突破上述比例限制的，在单一投资者持有比例降至</w:t>
            </w:r>
            <w:r>
              <w:rPr>
                <w:rFonts w:ascii="宋体" w:hAnsi="宋体" w:hint="eastAsia"/>
                <w:bCs/>
                <w:szCs w:val="24"/>
              </w:rPr>
              <w:t>50%</w:t>
            </w:r>
            <w:r>
              <w:rPr>
                <w:rFonts w:ascii="宋体" w:hAnsi="宋体" w:hint="eastAsia"/>
                <w:bCs/>
                <w:szCs w:val="24"/>
              </w:rPr>
              <w:t>以下之前，产品管理人不得再接受投资者对本产品的认购。如投资者认</w:t>
            </w:r>
            <w:r>
              <w:rPr>
                <w:rFonts w:ascii="宋体" w:hAnsi="宋体" w:hint="eastAsia"/>
                <w:bCs/>
                <w:szCs w:val="24"/>
              </w:rPr>
              <w:t>/</w:t>
            </w:r>
            <w:r>
              <w:rPr>
                <w:rFonts w:ascii="宋体" w:hAnsi="宋体" w:hint="eastAsia"/>
                <w:bCs/>
                <w:szCs w:val="24"/>
              </w:rPr>
              <w:t>申购超过上述限额，管理人有权根据实际情况接受、拒绝或确认失败。</w:t>
            </w:r>
          </w:p>
        </w:tc>
      </w:tr>
      <w:tr w:rsidR="00D8530A" w14:paraId="54AA8666" w14:textId="77777777">
        <w:trPr>
          <w:trHeight w:val="1140"/>
        </w:trPr>
        <w:tc>
          <w:tcPr>
            <w:tcW w:w="2453" w:type="dxa"/>
            <w:tcBorders>
              <w:top w:val="single" w:sz="4" w:space="0" w:color="auto"/>
              <w:left w:val="single" w:sz="4" w:space="0" w:color="auto"/>
              <w:bottom w:val="single" w:sz="4" w:space="0" w:color="auto"/>
              <w:right w:val="single" w:sz="4" w:space="0" w:color="auto"/>
            </w:tcBorders>
            <w:vAlign w:val="center"/>
          </w:tcPr>
          <w:p w14:paraId="3B43C0A8" w14:textId="77777777" w:rsidR="00D8530A" w:rsidRDefault="00000000">
            <w:pPr>
              <w:snapToGrid w:val="0"/>
              <w:ind w:leftChars="-74" w:left="-163" w:hanging="15"/>
              <w:jc w:val="center"/>
              <w:rPr>
                <w:rFonts w:ascii="宋体" w:hAnsi="宋体" w:hint="eastAsia"/>
                <w:bCs/>
                <w:szCs w:val="24"/>
              </w:rPr>
            </w:pPr>
            <w:r>
              <w:rPr>
                <w:rFonts w:ascii="宋体" w:hAnsi="宋体" w:hint="eastAsia"/>
                <w:bCs/>
                <w:szCs w:val="24"/>
              </w:rPr>
              <w:t>最高持有限额</w:t>
            </w:r>
          </w:p>
        </w:tc>
        <w:tc>
          <w:tcPr>
            <w:tcW w:w="6972" w:type="dxa"/>
            <w:tcBorders>
              <w:top w:val="single" w:sz="4" w:space="0" w:color="auto"/>
              <w:left w:val="single" w:sz="4" w:space="0" w:color="auto"/>
              <w:bottom w:val="single" w:sz="4" w:space="0" w:color="auto"/>
              <w:right w:val="single" w:sz="4" w:space="0" w:color="auto"/>
            </w:tcBorders>
            <w:vAlign w:val="center"/>
          </w:tcPr>
          <w:p w14:paraId="6100FE01" w14:textId="77777777" w:rsidR="00D8530A" w:rsidRDefault="00000000">
            <w:pPr>
              <w:widowControl/>
              <w:jc w:val="left"/>
              <w:rPr>
                <w:rFonts w:ascii="宋体" w:hAnsi="宋体" w:hint="eastAsia"/>
                <w:b/>
                <w:szCs w:val="24"/>
              </w:rPr>
            </w:pPr>
            <w:r>
              <w:rPr>
                <w:rFonts w:ascii="宋体" w:hAnsi="宋体" w:cstheme="minorBidi" w:hint="eastAsia"/>
                <w:b/>
                <w:szCs w:val="24"/>
                <w:lang w:bidi="ar"/>
              </w:rPr>
              <w:t>单一投资者持有份额不得超过本理财产品总份额的</w:t>
            </w:r>
            <w:r>
              <w:rPr>
                <w:rFonts w:ascii="宋体" w:hAnsi="宋体" w:cstheme="minorBidi" w:hint="eastAsia"/>
                <w:b/>
                <w:szCs w:val="24"/>
                <w:lang w:bidi="ar"/>
              </w:rPr>
              <w:t>50%</w:t>
            </w:r>
            <w:r>
              <w:rPr>
                <w:rFonts w:ascii="宋体" w:hAnsi="宋体" w:cstheme="minorBidi" w:hint="eastAsia"/>
                <w:b/>
                <w:szCs w:val="24"/>
                <w:lang w:bidi="ar"/>
              </w:rPr>
              <w:t>。</w:t>
            </w:r>
          </w:p>
          <w:p w14:paraId="6857EC18" w14:textId="77777777" w:rsidR="00D8530A" w:rsidRDefault="00000000">
            <w:pPr>
              <w:widowControl/>
              <w:numPr>
                <w:ilvl w:val="255"/>
                <w:numId w:val="0"/>
              </w:numPr>
              <w:jc w:val="left"/>
              <w:rPr>
                <w:rFonts w:ascii="宋体" w:hAnsi="宋体" w:hint="eastAsia"/>
                <w:b/>
                <w:szCs w:val="24"/>
              </w:rPr>
            </w:pPr>
            <w:r>
              <w:rPr>
                <w:rFonts w:ascii="宋体" w:hAnsi="宋体" w:hint="eastAsia"/>
                <w:b/>
                <w:szCs w:val="24"/>
              </w:rPr>
              <w:t>如销售机构规定与本规则不一致的，则以各销售机构规定为准，但不得高于最高持有限额。</w:t>
            </w:r>
          </w:p>
        </w:tc>
      </w:tr>
      <w:tr w:rsidR="00D8530A" w14:paraId="469D58A5" w14:textId="77777777">
        <w:trPr>
          <w:trHeight w:val="1140"/>
        </w:trPr>
        <w:tc>
          <w:tcPr>
            <w:tcW w:w="2453" w:type="dxa"/>
            <w:tcBorders>
              <w:top w:val="single" w:sz="4" w:space="0" w:color="auto"/>
              <w:left w:val="single" w:sz="4" w:space="0" w:color="auto"/>
              <w:bottom w:val="single" w:sz="4" w:space="0" w:color="auto"/>
              <w:right w:val="single" w:sz="4" w:space="0" w:color="auto"/>
            </w:tcBorders>
            <w:vAlign w:val="center"/>
          </w:tcPr>
          <w:p w14:paraId="68DE6EE5" w14:textId="77777777" w:rsidR="00D8530A" w:rsidRDefault="00000000">
            <w:pPr>
              <w:snapToGrid w:val="0"/>
              <w:ind w:leftChars="-74" w:left="-163" w:hanging="15"/>
              <w:jc w:val="center"/>
              <w:rPr>
                <w:rFonts w:ascii="仿宋_GB2312" w:hAnsi="等线" w:cs="仿宋_GB2312" w:hint="eastAsia"/>
                <w:color w:val="000000" w:themeColor="text1"/>
                <w:kern w:val="0"/>
                <w:lang w:bidi="ar"/>
              </w:rPr>
            </w:pPr>
            <w:r>
              <w:rPr>
                <w:rFonts w:ascii="宋体" w:hAnsi="宋体" w:hint="eastAsia"/>
                <w:szCs w:val="24"/>
              </w:rPr>
              <w:t>产品份额净值</w:t>
            </w:r>
          </w:p>
        </w:tc>
        <w:tc>
          <w:tcPr>
            <w:tcW w:w="6972" w:type="dxa"/>
            <w:tcBorders>
              <w:top w:val="single" w:sz="4" w:space="0" w:color="auto"/>
              <w:left w:val="single" w:sz="4" w:space="0" w:color="auto"/>
              <w:bottom w:val="single" w:sz="4" w:space="0" w:color="auto"/>
              <w:right w:val="single" w:sz="4" w:space="0" w:color="auto"/>
            </w:tcBorders>
            <w:vAlign w:val="center"/>
          </w:tcPr>
          <w:p w14:paraId="4B7AAA00" w14:textId="77777777" w:rsidR="00D8530A" w:rsidRDefault="00000000">
            <w:pPr>
              <w:snapToGrid w:val="0"/>
              <w:rPr>
                <w:rFonts w:ascii="宋体" w:hAnsi="宋体" w:hint="eastAsia"/>
                <w:szCs w:val="24"/>
              </w:rPr>
            </w:pPr>
            <w:r>
              <w:rPr>
                <w:rFonts w:ascii="宋体" w:hAnsi="宋体" w:hint="eastAsia"/>
                <w:szCs w:val="24"/>
              </w:rPr>
              <w:t>理财产品份额净值是提取相关税费后单位理财产品份额的净值；份额净值随理财产品投资运行情况变化而变化。</w:t>
            </w:r>
          </w:p>
          <w:p w14:paraId="2DFB5020" w14:textId="77777777" w:rsidR="00D8530A" w:rsidRDefault="00000000">
            <w:pPr>
              <w:snapToGrid w:val="0"/>
              <w:rPr>
                <w:rFonts w:ascii="宋体" w:hAnsi="宋体" w:hint="eastAsia"/>
                <w:szCs w:val="24"/>
              </w:rPr>
            </w:pPr>
            <w:r>
              <w:rPr>
                <w:rFonts w:ascii="宋体" w:hAnsi="宋体" w:hint="eastAsia"/>
                <w:szCs w:val="24"/>
              </w:rPr>
              <w:t>本产品募集期内，投资者按份额净值进行认购。</w:t>
            </w:r>
          </w:p>
          <w:p w14:paraId="66D70D2B" w14:textId="77777777" w:rsidR="00D8530A" w:rsidRDefault="00000000">
            <w:pPr>
              <w:snapToGrid w:val="0"/>
              <w:rPr>
                <w:rFonts w:ascii="宋体" w:hAnsi="宋体" w:hint="eastAsia"/>
                <w:b/>
                <w:bCs/>
                <w:szCs w:val="24"/>
              </w:rPr>
            </w:pPr>
            <w:r>
              <w:rPr>
                <w:rFonts w:ascii="宋体" w:hAnsi="宋体" w:hint="eastAsia"/>
                <w:b/>
                <w:bCs/>
                <w:szCs w:val="24"/>
              </w:rPr>
              <w:lastRenderedPageBreak/>
              <w:t>本产品初始份额净值为</w:t>
            </w:r>
            <w:r>
              <w:rPr>
                <w:rFonts w:ascii="宋体" w:hAnsi="宋体" w:hint="eastAsia"/>
                <w:b/>
                <w:bCs/>
                <w:szCs w:val="24"/>
              </w:rPr>
              <w:t>1.000000</w:t>
            </w:r>
            <w:r>
              <w:rPr>
                <w:rFonts w:ascii="宋体" w:hAnsi="宋体" w:hint="eastAsia"/>
                <w:b/>
                <w:bCs/>
                <w:szCs w:val="24"/>
              </w:rPr>
              <w:t>元</w:t>
            </w:r>
            <w:r>
              <w:rPr>
                <w:rFonts w:ascii="宋体" w:hAnsi="宋体" w:hint="eastAsia"/>
                <w:b/>
                <w:bCs/>
                <w:szCs w:val="24"/>
              </w:rPr>
              <w:t>/</w:t>
            </w:r>
            <w:r>
              <w:rPr>
                <w:rFonts w:ascii="宋体" w:hAnsi="宋体" w:hint="eastAsia"/>
                <w:b/>
                <w:bCs/>
                <w:szCs w:val="24"/>
              </w:rPr>
              <w:t>份。</w:t>
            </w:r>
          </w:p>
        </w:tc>
      </w:tr>
      <w:tr w:rsidR="00D8530A" w14:paraId="641558E5" w14:textId="77777777">
        <w:trPr>
          <w:trHeight w:val="643"/>
        </w:trPr>
        <w:tc>
          <w:tcPr>
            <w:tcW w:w="2453" w:type="dxa"/>
            <w:tcBorders>
              <w:top w:val="single" w:sz="4" w:space="0" w:color="auto"/>
              <w:left w:val="single" w:sz="4" w:space="0" w:color="auto"/>
              <w:bottom w:val="single" w:sz="4" w:space="0" w:color="auto"/>
              <w:right w:val="single" w:sz="4" w:space="0" w:color="auto"/>
            </w:tcBorders>
            <w:vAlign w:val="center"/>
          </w:tcPr>
          <w:p w14:paraId="4E6077F5" w14:textId="77777777" w:rsidR="00D8530A" w:rsidRDefault="00000000">
            <w:pPr>
              <w:widowControl/>
              <w:spacing w:line="400" w:lineRule="exact"/>
              <w:jc w:val="center"/>
              <w:textAlignment w:val="center"/>
              <w:rPr>
                <w:rFonts w:ascii="仿宋_GB2312" w:hAnsi="等线" w:cs="仿宋_GB2312" w:hint="eastAsia"/>
                <w:color w:val="000000" w:themeColor="text1"/>
              </w:rPr>
            </w:pPr>
            <w:r>
              <w:rPr>
                <w:rFonts w:ascii="仿宋_GB2312" w:hAnsi="等线" w:cs="仿宋_GB2312" w:hint="eastAsia"/>
                <w:color w:val="000000" w:themeColor="text1"/>
                <w:kern w:val="0"/>
                <w:lang w:bidi="ar"/>
              </w:rPr>
              <w:lastRenderedPageBreak/>
              <w:t>收益分配方式</w:t>
            </w:r>
          </w:p>
        </w:tc>
        <w:tc>
          <w:tcPr>
            <w:tcW w:w="6972" w:type="dxa"/>
            <w:tcBorders>
              <w:top w:val="single" w:sz="4" w:space="0" w:color="auto"/>
              <w:left w:val="single" w:sz="4" w:space="0" w:color="auto"/>
              <w:bottom w:val="single" w:sz="4" w:space="0" w:color="auto"/>
              <w:right w:val="single" w:sz="4" w:space="0" w:color="auto"/>
            </w:tcBorders>
            <w:vAlign w:val="center"/>
          </w:tcPr>
          <w:p w14:paraId="050DF421" w14:textId="77777777" w:rsidR="00D8530A" w:rsidRDefault="00000000">
            <w:pPr>
              <w:widowControl/>
              <w:spacing w:line="400" w:lineRule="exact"/>
              <w:jc w:val="left"/>
              <w:textAlignment w:val="center"/>
              <w:rPr>
                <w:rFonts w:ascii="仿宋_GB2312" w:hAnsi="等线" w:cs="仿宋_GB2312" w:hint="eastAsia"/>
                <w:bCs/>
                <w:color w:val="000000" w:themeColor="text1"/>
              </w:rPr>
            </w:pPr>
            <w:r>
              <w:rPr>
                <w:rFonts w:ascii="仿宋_GB2312" w:hAnsi="等线" w:cs="仿宋_GB2312" w:hint="eastAsia"/>
                <w:bCs/>
                <w:color w:val="000000" w:themeColor="text1"/>
              </w:rPr>
              <w:t>现金分配</w:t>
            </w:r>
          </w:p>
        </w:tc>
      </w:tr>
      <w:tr w:rsidR="00D8530A" w14:paraId="7D3DD9B1" w14:textId="77777777">
        <w:trPr>
          <w:trHeight w:val="270"/>
        </w:trPr>
        <w:tc>
          <w:tcPr>
            <w:tcW w:w="9425" w:type="dxa"/>
            <w:gridSpan w:val="2"/>
            <w:tcBorders>
              <w:top w:val="single" w:sz="4" w:space="0" w:color="auto"/>
              <w:left w:val="single" w:sz="4" w:space="0" w:color="auto"/>
              <w:bottom w:val="single" w:sz="4" w:space="0" w:color="auto"/>
              <w:right w:val="single" w:sz="4" w:space="0" w:color="auto"/>
            </w:tcBorders>
            <w:vAlign w:val="center"/>
          </w:tcPr>
          <w:p w14:paraId="220036AA" w14:textId="77777777" w:rsidR="00D8530A" w:rsidRDefault="00000000">
            <w:pPr>
              <w:widowControl/>
              <w:spacing w:line="400" w:lineRule="exact"/>
              <w:jc w:val="center"/>
              <w:textAlignment w:val="center"/>
              <w:rPr>
                <w:rFonts w:ascii="楷体_GB2312" w:eastAsia="楷体_GB2312" w:hAnsi="等线" w:cs="楷体_GB2312" w:hint="eastAsia"/>
                <w:b/>
                <w:bCs/>
                <w:color w:val="000000" w:themeColor="text1"/>
              </w:rPr>
            </w:pPr>
            <w:r>
              <w:rPr>
                <w:rFonts w:ascii="楷体_GB2312" w:eastAsia="楷体_GB2312" w:hAnsi="等线" w:cs="楷体_GB2312" w:hint="eastAsia"/>
                <w:b/>
                <w:bCs/>
                <w:color w:val="000000" w:themeColor="text1"/>
                <w:kern w:val="0"/>
                <w:lang w:bidi="ar"/>
              </w:rPr>
              <w:t>（三）产品性质与类型</w:t>
            </w:r>
          </w:p>
        </w:tc>
      </w:tr>
      <w:tr w:rsidR="00D8530A" w14:paraId="5E286AC6" w14:textId="77777777">
        <w:trPr>
          <w:trHeight w:val="540"/>
        </w:trPr>
        <w:tc>
          <w:tcPr>
            <w:tcW w:w="2453" w:type="dxa"/>
            <w:tcBorders>
              <w:top w:val="single" w:sz="4" w:space="0" w:color="auto"/>
              <w:left w:val="single" w:sz="4" w:space="0" w:color="auto"/>
              <w:bottom w:val="single" w:sz="4" w:space="0" w:color="auto"/>
              <w:right w:val="single" w:sz="4" w:space="0" w:color="auto"/>
            </w:tcBorders>
            <w:vAlign w:val="center"/>
          </w:tcPr>
          <w:p w14:paraId="48D55582" w14:textId="77777777" w:rsidR="00D8530A" w:rsidRDefault="00000000">
            <w:pPr>
              <w:widowControl/>
              <w:spacing w:line="400" w:lineRule="exact"/>
              <w:jc w:val="center"/>
              <w:textAlignment w:val="center"/>
              <w:rPr>
                <w:rFonts w:ascii="仿宋_GB2312" w:hAnsi="等线" w:cs="仿宋_GB2312" w:hint="eastAsia"/>
                <w:color w:val="000000" w:themeColor="text1"/>
              </w:rPr>
            </w:pPr>
            <w:r>
              <w:rPr>
                <w:rFonts w:ascii="仿宋_GB2312" w:hAnsi="等线" w:cs="仿宋_GB2312" w:hint="eastAsia"/>
                <w:color w:val="000000" w:themeColor="text1"/>
                <w:kern w:val="0"/>
                <w:lang w:bidi="ar"/>
              </w:rPr>
              <w:t>募集方式</w:t>
            </w:r>
          </w:p>
        </w:tc>
        <w:tc>
          <w:tcPr>
            <w:tcW w:w="6972" w:type="dxa"/>
            <w:tcBorders>
              <w:top w:val="single" w:sz="4" w:space="0" w:color="auto"/>
              <w:left w:val="single" w:sz="4" w:space="0" w:color="auto"/>
              <w:bottom w:val="single" w:sz="4" w:space="0" w:color="auto"/>
              <w:right w:val="single" w:sz="4" w:space="0" w:color="auto"/>
            </w:tcBorders>
            <w:vAlign w:val="center"/>
          </w:tcPr>
          <w:p w14:paraId="3B3E3FF5" w14:textId="77777777" w:rsidR="00D8530A" w:rsidRDefault="00000000">
            <w:pPr>
              <w:widowControl/>
              <w:spacing w:line="400" w:lineRule="exact"/>
              <w:jc w:val="left"/>
              <w:textAlignment w:val="center"/>
              <w:rPr>
                <w:rFonts w:ascii="仿宋_GB2312" w:hAnsi="宋体" w:cs="宋体" w:hint="eastAsia"/>
                <w:b/>
                <w:bCs/>
                <w:kern w:val="0"/>
                <w:szCs w:val="24"/>
              </w:rPr>
            </w:pPr>
            <w:r>
              <w:rPr>
                <w:rFonts w:ascii="宋体" w:hAnsi="宋体" w:hint="eastAsia"/>
                <w:b/>
                <w:szCs w:val="24"/>
              </w:rPr>
              <w:t>公募</w:t>
            </w:r>
          </w:p>
        </w:tc>
      </w:tr>
      <w:tr w:rsidR="00D8530A" w14:paraId="536E5649" w14:textId="77777777">
        <w:trPr>
          <w:trHeight w:val="540"/>
        </w:trPr>
        <w:tc>
          <w:tcPr>
            <w:tcW w:w="2453" w:type="dxa"/>
            <w:tcBorders>
              <w:top w:val="single" w:sz="4" w:space="0" w:color="auto"/>
              <w:left w:val="single" w:sz="4" w:space="0" w:color="auto"/>
              <w:bottom w:val="single" w:sz="4" w:space="0" w:color="auto"/>
              <w:right w:val="single" w:sz="4" w:space="0" w:color="auto"/>
            </w:tcBorders>
            <w:vAlign w:val="center"/>
          </w:tcPr>
          <w:p w14:paraId="4F9526CA" w14:textId="77777777" w:rsidR="00D8530A" w:rsidRDefault="00000000">
            <w:pPr>
              <w:widowControl/>
              <w:spacing w:line="400" w:lineRule="exact"/>
              <w:jc w:val="center"/>
              <w:textAlignment w:val="center"/>
              <w:rPr>
                <w:rFonts w:ascii="仿宋_GB2312" w:hAnsi="等线" w:cs="仿宋_GB2312" w:hint="eastAsia"/>
                <w:color w:val="000000" w:themeColor="text1"/>
              </w:rPr>
            </w:pPr>
            <w:r>
              <w:rPr>
                <w:rFonts w:ascii="仿宋_GB2312" w:hAnsi="等线" w:cs="仿宋_GB2312" w:hint="eastAsia"/>
                <w:color w:val="000000" w:themeColor="text1"/>
                <w:kern w:val="0"/>
                <w:lang w:bidi="ar"/>
              </w:rPr>
              <w:t>投资性质</w:t>
            </w:r>
          </w:p>
        </w:tc>
        <w:tc>
          <w:tcPr>
            <w:tcW w:w="6972" w:type="dxa"/>
            <w:tcBorders>
              <w:top w:val="single" w:sz="4" w:space="0" w:color="auto"/>
              <w:left w:val="single" w:sz="4" w:space="0" w:color="auto"/>
              <w:bottom w:val="single" w:sz="4" w:space="0" w:color="auto"/>
              <w:right w:val="single" w:sz="4" w:space="0" w:color="auto"/>
            </w:tcBorders>
            <w:vAlign w:val="center"/>
          </w:tcPr>
          <w:p w14:paraId="27FDECB3" w14:textId="77777777" w:rsidR="00D8530A" w:rsidRDefault="00000000">
            <w:pPr>
              <w:widowControl/>
              <w:spacing w:line="400" w:lineRule="exact"/>
              <w:jc w:val="left"/>
              <w:textAlignment w:val="center"/>
              <w:rPr>
                <w:rFonts w:ascii="仿宋_GB2312" w:hAnsi="宋体" w:cs="宋体" w:hint="eastAsia"/>
                <w:b/>
                <w:bCs/>
                <w:kern w:val="0"/>
                <w:szCs w:val="24"/>
                <w:lang w:bidi="ar"/>
              </w:rPr>
            </w:pPr>
            <w:r>
              <w:rPr>
                <w:rFonts w:ascii="宋体" w:hAnsi="宋体" w:hint="eastAsia"/>
                <w:b/>
                <w:szCs w:val="24"/>
              </w:rPr>
              <w:t>固定收益类</w:t>
            </w:r>
          </w:p>
        </w:tc>
      </w:tr>
      <w:tr w:rsidR="00D8530A" w14:paraId="5E4F05A6" w14:textId="77777777">
        <w:trPr>
          <w:trHeight w:val="540"/>
        </w:trPr>
        <w:tc>
          <w:tcPr>
            <w:tcW w:w="2453" w:type="dxa"/>
            <w:tcBorders>
              <w:top w:val="single" w:sz="4" w:space="0" w:color="auto"/>
              <w:left w:val="single" w:sz="4" w:space="0" w:color="auto"/>
              <w:bottom w:val="single" w:sz="4" w:space="0" w:color="auto"/>
              <w:right w:val="single" w:sz="4" w:space="0" w:color="auto"/>
            </w:tcBorders>
            <w:vAlign w:val="center"/>
          </w:tcPr>
          <w:p w14:paraId="4AF0FE65" w14:textId="77777777" w:rsidR="00D8530A" w:rsidRDefault="00000000">
            <w:pPr>
              <w:widowControl/>
              <w:spacing w:line="400" w:lineRule="exact"/>
              <w:jc w:val="center"/>
              <w:textAlignment w:val="center"/>
              <w:rPr>
                <w:rFonts w:ascii="仿宋_GB2312" w:hAnsi="等线" w:cs="仿宋_GB2312" w:hint="eastAsia"/>
                <w:color w:val="000000" w:themeColor="text1"/>
              </w:rPr>
            </w:pPr>
            <w:r>
              <w:rPr>
                <w:rFonts w:ascii="仿宋_GB2312" w:hAnsi="等线" w:cs="仿宋_GB2312" w:hint="eastAsia"/>
                <w:color w:val="000000" w:themeColor="text1"/>
                <w:kern w:val="0"/>
                <w:lang w:bidi="ar"/>
              </w:rPr>
              <w:t>运作模式</w:t>
            </w:r>
          </w:p>
        </w:tc>
        <w:tc>
          <w:tcPr>
            <w:tcW w:w="6972" w:type="dxa"/>
            <w:tcBorders>
              <w:top w:val="single" w:sz="4" w:space="0" w:color="auto"/>
              <w:left w:val="single" w:sz="4" w:space="0" w:color="auto"/>
              <w:bottom w:val="single" w:sz="4" w:space="0" w:color="auto"/>
              <w:right w:val="single" w:sz="4" w:space="0" w:color="auto"/>
            </w:tcBorders>
            <w:vAlign w:val="center"/>
          </w:tcPr>
          <w:p w14:paraId="1A5C344C" w14:textId="77777777" w:rsidR="00D8530A" w:rsidRDefault="00000000">
            <w:pPr>
              <w:widowControl/>
              <w:spacing w:line="400" w:lineRule="exact"/>
              <w:jc w:val="left"/>
              <w:textAlignment w:val="center"/>
              <w:rPr>
                <w:rFonts w:ascii="仿宋_GB2312" w:hAnsi="宋体" w:cs="宋体" w:hint="eastAsia"/>
                <w:b/>
                <w:bCs/>
                <w:kern w:val="0"/>
                <w:szCs w:val="24"/>
                <w:lang w:bidi="ar"/>
              </w:rPr>
            </w:pPr>
            <w:r>
              <w:rPr>
                <w:rFonts w:ascii="宋体" w:hAnsi="宋体" w:hint="eastAsia"/>
                <w:b/>
                <w:szCs w:val="24"/>
              </w:rPr>
              <w:t>【封闭式】</w:t>
            </w:r>
          </w:p>
        </w:tc>
      </w:tr>
      <w:tr w:rsidR="00D8530A" w14:paraId="5267432C" w14:textId="77777777">
        <w:trPr>
          <w:trHeight w:val="810"/>
        </w:trPr>
        <w:tc>
          <w:tcPr>
            <w:tcW w:w="2453" w:type="dxa"/>
            <w:tcBorders>
              <w:top w:val="single" w:sz="4" w:space="0" w:color="auto"/>
              <w:left w:val="single" w:sz="4" w:space="0" w:color="auto"/>
              <w:bottom w:val="single" w:sz="4" w:space="0" w:color="auto"/>
              <w:right w:val="single" w:sz="4" w:space="0" w:color="auto"/>
            </w:tcBorders>
            <w:vAlign w:val="center"/>
          </w:tcPr>
          <w:p w14:paraId="0A2BC4B1" w14:textId="77777777" w:rsidR="00D8530A" w:rsidRDefault="00000000">
            <w:pPr>
              <w:widowControl/>
              <w:spacing w:line="400" w:lineRule="exact"/>
              <w:jc w:val="center"/>
              <w:textAlignment w:val="center"/>
              <w:rPr>
                <w:rFonts w:ascii="仿宋_GB2312" w:hAnsi="等线" w:cs="仿宋_GB2312" w:hint="eastAsia"/>
                <w:color w:val="000000" w:themeColor="text1"/>
              </w:rPr>
            </w:pPr>
            <w:r>
              <w:rPr>
                <w:rFonts w:ascii="仿宋_GB2312" w:hAnsi="等线" w:cs="仿宋_GB2312" w:hint="eastAsia"/>
                <w:color w:val="000000" w:themeColor="text1"/>
                <w:kern w:val="0"/>
                <w:lang w:bidi="ar"/>
              </w:rPr>
              <w:t>风险等级</w:t>
            </w:r>
          </w:p>
        </w:tc>
        <w:tc>
          <w:tcPr>
            <w:tcW w:w="6972" w:type="dxa"/>
            <w:tcBorders>
              <w:top w:val="single" w:sz="4" w:space="0" w:color="auto"/>
              <w:left w:val="single" w:sz="4" w:space="0" w:color="auto"/>
              <w:bottom w:val="single" w:sz="4" w:space="0" w:color="auto"/>
              <w:right w:val="single" w:sz="4" w:space="0" w:color="auto"/>
            </w:tcBorders>
            <w:vAlign w:val="center"/>
          </w:tcPr>
          <w:p w14:paraId="26CFD4F9" w14:textId="77777777" w:rsidR="00D8530A" w:rsidRDefault="00000000">
            <w:pPr>
              <w:widowControl/>
              <w:tabs>
                <w:tab w:val="left" w:pos="709"/>
              </w:tabs>
              <w:snapToGrid w:val="0"/>
              <w:rPr>
                <w:rFonts w:ascii="宋体" w:hAnsi="宋体" w:hint="eastAsia"/>
                <w:szCs w:val="24"/>
              </w:rPr>
            </w:pPr>
            <w:r>
              <w:rPr>
                <w:rFonts w:ascii="宋体" w:hAnsi="宋体" w:hint="eastAsia"/>
                <w:b/>
                <w:bCs/>
                <w:szCs w:val="24"/>
              </w:rPr>
              <w:t>【</w:t>
            </w:r>
            <w:r>
              <w:rPr>
                <w:rFonts w:ascii="宋体" w:hAnsi="宋体" w:hint="eastAsia"/>
                <w:b/>
                <w:bCs/>
                <w:szCs w:val="24"/>
              </w:rPr>
              <w:t>R2</w:t>
            </w:r>
            <w:r>
              <w:rPr>
                <w:rFonts w:ascii="宋体" w:hAnsi="宋体" w:hint="eastAsia"/>
                <w:b/>
                <w:bCs/>
                <w:szCs w:val="24"/>
              </w:rPr>
              <w:t>】对应风险等级为【中低风险】</w:t>
            </w:r>
            <w:r>
              <w:rPr>
                <w:rFonts w:ascii="仿宋_GB2312" w:hAnsi="等线" w:cs="仿宋_GB2312" w:hint="eastAsia"/>
                <w:b/>
                <w:color w:val="000000" w:themeColor="text1"/>
                <w:kern w:val="0"/>
                <w:lang w:bidi="ar"/>
              </w:rPr>
              <w:br/>
            </w:r>
            <w:r>
              <w:rPr>
                <w:rFonts w:ascii="宋体" w:hAnsi="宋体" w:hint="eastAsia"/>
                <w:szCs w:val="24"/>
              </w:rPr>
              <w:t>本评级为管理人内部测评结果，仅供投资者参考。</w:t>
            </w:r>
            <w:r>
              <w:rPr>
                <w:rFonts w:ascii="宋体" w:hAnsi="宋体" w:hint="eastAsia"/>
                <w:b/>
                <w:szCs w:val="24"/>
              </w:rPr>
              <w:t>本产品通过代理销售机构渠道销售的，理财产品评级应当以代理销售机构最终披露的评级结果为准。</w:t>
            </w:r>
            <w:proofErr w:type="gramStart"/>
            <w:r>
              <w:rPr>
                <w:rFonts w:ascii="宋体" w:hAnsi="宋体"/>
                <w:szCs w:val="24"/>
              </w:rPr>
              <w:t>(</w:t>
            </w:r>
            <w:r>
              <w:rPr>
                <w:rFonts w:ascii="宋体" w:hAnsi="宋体" w:hint="eastAsia"/>
                <w:szCs w:val="24"/>
              </w:rPr>
              <w:t>管理</w:t>
            </w:r>
            <w:r>
              <w:rPr>
                <w:rFonts w:ascii="宋体" w:hAnsi="宋体"/>
                <w:szCs w:val="24"/>
              </w:rPr>
              <w:t>人</w:t>
            </w:r>
            <w:proofErr w:type="gramEnd"/>
            <w:r>
              <w:rPr>
                <w:rFonts w:ascii="宋体" w:hAnsi="宋体"/>
                <w:szCs w:val="24"/>
              </w:rPr>
              <w:t>与</w:t>
            </w:r>
            <w:r>
              <w:rPr>
                <w:rFonts w:ascii="宋体" w:hAnsi="宋体" w:hint="eastAsia"/>
                <w:szCs w:val="24"/>
              </w:rPr>
              <w:t>代理</w:t>
            </w:r>
            <w:r>
              <w:rPr>
                <w:rFonts w:ascii="宋体" w:hAnsi="宋体"/>
                <w:szCs w:val="24"/>
              </w:rPr>
              <w:t>销售机构</w:t>
            </w:r>
            <w:r>
              <w:rPr>
                <w:rFonts w:ascii="宋体" w:hAnsi="宋体" w:hint="eastAsia"/>
                <w:szCs w:val="24"/>
              </w:rPr>
              <w:t>的</w:t>
            </w:r>
            <w:r>
              <w:rPr>
                <w:rFonts w:ascii="宋体" w:hAnsi="宋体"/>
                <w:szCs w:val="24"/>
              </w:rPr>
              <w:t>风险</w:t>
            </w:r>
            <w:r>
              <w:rPr>
                <w:rFonts w:ascii="宋体" w:hAnsi="宋体" w:hint="eastAsia"/>
                <w:szCs w:val="24"/>
              </w:rPr>
              <w:t>等级评估结果</w:t>
            </w:r>
            <w:r>
              <w:rPr>
                <w:rFonts w:ascii="宋体" w:hAnsi="宋体"/>
                <w:szCs w:val="24"/>
              </w:rPr>
              <w:t>不一致的应采用</w:t>
            </w:r>
            <w:r>
              <w:rPr>
                <w:rFonts w:ascii="宋体" w:hAnsi="宋体" w:hint="eastAsia"/>
                <w:szCs w:val="24"/>
              </w:rPr>
              <w:t>对应</w:t>
            </w:r>
            <w:r>
              <w:rPr>
                <w:rFonts w:ascii="宋体" w:hAnsi="宋体"/>
                <w:szCs w:val="24"/>
              </w:rPr>
              <w:t>较高风险</w:t>
            </w:r>
            <w:r>
              <w:rPr>
                <w:rFonts w:ascii="宋体" w:hAnsi="宋体" w:hint="eastAsia"/>
                <w:szCs w:val="24"/>
              </w:rPr>
              <w:t>的</w:t>
            </w:r>
            <w:r>
              <w:rPr>
                <w:rFonts w:ascii="宋体" w:hAnsi="宋体"/>
                <w:szCs w:val="24"/>
              </w:rPr>
              <w:t>评级</w:t>
            </w:r>
            <w:r>
              <w:rPr>
                <w:rFonts w:ascii="宋体" w:hAnsi="宋体" w:hint="eastAsia"/>
                <w:szCs w:val="24"/>
              </w:rPr>
              <w:t>结果</w:t>
            </w:r>
            <w:proofErr w:type="gramStart"/>
            <w:r>
              <w:rPr>
                <w:rFonts w:ascii="宋体" w:hAnsi="宋体" w:hint="eastAsia"/>
                <w:szCs w:val="24"/>
              </w:rPr>
              <w:t>。</w:t>
            </w:r>
            <w:r>
              <w:rPr>
                <w:rFonts w:ascii="宋体" w:hAnsi="宋体"/>
                <w:szCs w:val="24"/>
              </w:rPr>
              <w:t>)</w:t>
            </w:r>
            <w:proofErr w:type="gramEnd"/>
          </w:p>
          <w:p w14:paraId="0798A5F0" w14:textId="77777777" w:rsidR="00D8530A" w:rsidRDefault="00000000">
            <w:pPr>
              <w:widowControl/>
              <w:tabs>
                <w:tab w:val="left" w:pos="709"/>
              </w:tabs>
              <w:snapToGrid w:val="0"/>
              <w:jc w:val="left"/>
              <w:rPr>
                <w:rFonts w:ascii="仿宋_GB2312" w:hAnsi="等线" w:cs="仿宋_GB2312" w:hint="eastAsia"/>
                <w:bCs/>
                <w:color w:val="000000" w:themeColor="text1"/>
              </w:rPr>
            </w:pPr>
            <w:r>
              <w:rPr>
                <w:rFonts w:ascii="宋体" w:hAnsi="宋体" w:hint="eastAsia"/>
                <w:b/>
                <w:bCs/>
                <w:szCs w:val="24"/>
              </w:rPr>
              <w:t>产品管理人在符合监管政策的前提下可对产品风险评级进行动态管理，如产品风险等级发生调整，将提前通过本《产品说明书》“信息披露”约定的方式通知投资者。</w:t>
            </w:r>
          </w:p>
        </w:tc>
      </w:tr>
      <w:tr w:rsidR="00D8530A" w14:paraId="60459D73" w14:textId="77777777">
        <w:trPr>
          <w:trHeight w:val="810"/>
        </w:trPr>
        <w:tc>
          <w:tcPr>
            <w:tcW w:w="2453" w:type="dxa"/>
            <w:tcBorders>
              <w:top w:val="single" w:sz="4" w:space="0" w:color="auto"/>
              <w:left w:val="single" w:sz="4" w:space="0" w:color="auto"/>
              <w:bottom w:val="single" w:sz="4" w:space="0" w:color="auto"/>
              <w:right w:val="single" w:sz="4" w:space="0" w:color="auto"/>
            </w:tcBorders>
            <w:vAlign w:val="center"/>
          </w:tcPr>
          <w:p w14:paraId="5E88CE5E" w14:textId="77777777" w:rsidR="00D8530A" w:rsidRDefault="00000000">
            <w:pPr>
              <w:widowControl/>
              <w:spacing w:line="400" w:lineRule="exact"/>
              <w:jc w:val="center"/>
              <w:textAlignment w:val="center"/>
              <w:rPr>
                <w:rFonts w:ascii="仿宋_GB2312" w:hAnsi="等线" w:cs="仿宋_GB2312" w:hint="eastAsia"/>
                <w:color w:val="000000" w:themeColor="text1"/>
                <w:kern w:val="0"/>
                <w:lang w:bidi="ar"/>
              </w:rPr>
            </w:pPr>
            <w:r>
              <w:rPr>
                <w:rFonts w:ascii="仿宋_GB2312" w:hAnsi="等线" w:cs="仿宋_GB2312" w:hint="eastAsia"/>
                <w:color w:val="000000" w:themeColor="text1"/>
                <w:kern w:val="0"/>
                <w:lang w:bidi="ar"/>
              </w:rPr>
              <w:t>是否为现金管理类产品</w:t>
            </w:r>
          </w:p>
        </w:tc>
        <w:tc>
          <w:tcPr>
            <w:tcW w:w="6972" w:type="dxa"/>
            <w:tcBorders>
              <w:top w:val="single" w:sz="4" w:space="0" w:color="auto"/>
              <w:left w:val="single" w:sz="4" w:space="0" w:color="auto"/>
              <w:bottom w:val="single" w:sz="4" w:space="0" w:color="auto"/>
              <w:right w:val="single" w:sz="4" w:space="0" w:color="auto"/>
            </w:tcBorders>
            <w:vAlign w:val="center"/>
          </w:tcPr>
          <w:p w14:paraId="4161CEC1" w14:textId="77777777" w:rsidR="00D8530A" w:rsidRDefault="00000000">
            <w:pPr>
              <w:widowControl/>
              <w:spacing w:line="400" w:lineRule="exact"/>
              <w:jc w:val="left"/>
              <w:textAlignment w:val="center"/>
              <w:rPr>
                <w:rFonts w:ascii="仿宋_GB2312" w:hAnsi="等线" w:cs="仿宋_GB2312" w:hint="eastAsia"/>
                <w:bCs/>
                <w:color w:val="000000" w:themeColor="text1"/>
                <w:kern w:val="0"/>
                <w:lang w:bidi="ar"/>
              </w:rPr>
            </w:pPr>
            <w:r>
              <w:rPr>
                <w:rFonts w:ascii="仿宋_GB2312" w:hAnsi="等线" w:cs="仿宋_GB2312" w:hint="eastAsia"/>
                <w:bCs/>
                <w:color w:val="000000" w:themeColor="text1"/>
                <w:kern w:val="0"/>
                <w:lang w:bidi="ar"/>
              </w:rPr>
              <w:t>【否】</w:t>
            </w:r>
          </w:p>
        </w:tc>
      </w:tr>
      <w:tr w:rsidR="00D8530A" w14:paraId="5A8869BE" w14:textId="77777777">
        <w:trPr>
          <w:trHeight w:val="810"/>
        </w:trPr>
        <w:tc>
          <w:tcPr>
            <w:tcW w:w="2453" w:type="dxa"/>
            <w:tcBorders>
              <w:top w:val="single" w:sz="4" w:space="0" w:color="auto"/>
              <w:left w:val="single" w:sz="4" w:space="0" w:color="auto"/>
              <w:bottom w:val="single" w:sz="4" w:space="0" w:color="auto"/>
              <w:right w:val="single" w:sz="4" w:space="0" w:color="auto"/>
            </w:tcBorders>
            <w:vAlign w:val="center"/>
          </w:tcPr>
          <w:p w14:paraId="2B4E732E" w14:textId="77777777" w:rsidR="00D8530A" w:rsidRDefault="00000000">
            <w:pPr>
              <w:snapToGrid w:val="0"/>
              <w:ind w:leftChars="-74" w:left="-163" w:hanging="15"/>
              <w:jc w:val="center"/>
              <w:rPr>
                <w:rFonts w:ascii="仿宋_GB2312" w:hAnsi="等线" w:cs="仿宋_GB2312" w:hint="eastAsia"/>
                <w:color w:val="000000" w:themeColor="text1"/>
                <w:kern w:val="0"/>
                <w:lang w:bidi="ar"/>
              </w:rPr>
            </w:pPr>
            <w:r>
              <w:rPr>
                <w:rFonts w:ascii="宋体" w:hAnsi="宋体" w:hint="eastAsia"/>
                <w:szCs w:val="24"/>
              </w:rPr>
              <w:t>本金及收益类型</w:t>
            </w:r>
          </w:p>
        </w:tc>
        <w:tc>
          <w:tcPr>
            <w:tcW w:w="6972" w:type="dxa"/>
            <w:tcBorders>
              <w:top w:val="single" w:sz="4" w:space="0" w:color="auto"/>
              <w:left w:val="single" w:sz="4" w:space="0" w:color="auto"/>
              <w:bottom w:val="single" w:sz="4" w:space="0" w:color="auto"/>
              <w:right w:val="single" w:sz="4" w:space="0" w:color="auto"/>
            </w:tcBorders>
            <w:vAlign w:val="center"/>
          </w:tcPr>
          <w:p w14:paraId="25724E91" w14:textId="77777777" w:rsidR="00D8530A" w:rsidRDefault="00000000">
            <w:pPr>
              <w:snapToGrid w:val="0"/>
              <w:rPr>
                <w:rFonts w:ascii="宋体" w:hAnsi="宋体" w:hint="eastAsia"/>
                <w:szCs w:val="24"/>
              </w:rPr>
            </w:pPr>
            <w:r>
              <w:rPr>
                <w:rFonts w:ascii="宋体" w:hAnsi="宋体" w:hint="eastAsia"/>
                <w:szCs w:val="24"/>
              </w:rPr>
              <w:t>非保本浮动收益。本产品不保证理财本金且不保证收益。本产品的收益随投资收益浮动，投资者可能会因市场变动而蒙受损失。</w:t>
            </w:r>
          </w:p>
          <w:p w14:paraId="0844A60B" w14:textId="77777777" w:rsidR="00D8530A" w:rsidRDefault="00000000">
            <w:pPr>
              <w:snapToGrid w:val="0"/>
              <w:rPr>
                <w:rFonts w:ascii="仿宋_GB2312" w:hAnsi="等线" w:cs="仿宋_GB2312" w:hint="eastAsia"/>
                <w:bCs/>
                <w:color w:val="000000" w:themeColor="text1"/>
                <w:kern w:val="0"/>
                <w:lang w:bidi="ar"/>
              </w:rPr>
            </w:pPr>
            <w:r>
              <w:rPr>
                <w:rFonts w:ascii="宋体" w:hAnsi="宋体" w:hint="eastAsia"/>
                <w:szCs w:val="24"/>
              </w:rPr>
              <w:t>理财产品管理人对本产品的本金并不提供保证，也不承诺任何固定收益。</w:t>
            </w:r>
          </w:p>
        </w:tc>
      </w:tr>
      <w:tr w:rsidR="00D8530A" w14:paraId="0D2B6945" w14:textId="77777777">
        <w:trPr>
          <w:trHeight w:val="270"/>
        </w:trPr>
        <w:tc>
          <w:tcPr>
            <w:tcW w:w="9425" w:type="dxa"/>
            <w:gridSpan w:val="2"/>
            <w:tcBorders>
              <w:top w:val="single" w:sz="4" w:space="0" w:color="auto"/>
              <w:left w:val="single" w:sz="4" w:space="0" w:color="auto"/>
              <w:bottom w:val="single" w:sz="4" w:space="0" w:color="auto"/>
              <w:right w:val="single" w:sz="4" w:space="0" w:color="auto"/>
            </w:tcBorders>
            <w:vAlign w:val="center"/>
          </w:tcPr>
          <w:p w14:paraId="69B62EB9" w14:textId="77777777" w:rsidR="00D8530A" w:rsidRDefault="00000000">
            <w:pPr>
              <w:widowControl/>
              <w:spacing w:line="400" w:lineRule="exact"/>
              <w:jc w:val="center"/>
              <w:textAlignment w:val="center"/>
              <w:rPr>
                <w:rFonts w:ascii="楷体_GB2312" w:eastAsia="楷体_GB2312" w:hAnsi="等线" w:cs="楷体_GB2312" w:hint="eastAsia"/>
                <w:bCs/>
                <w:color w:val="000000" w:themeColor="text1"/>
              </w:rPr>
            </w:pPr>
            <w:r>
              <w:rPr>
                <w:rFonts w:ascii="楷体_GB2312" w:eastAsia="楷体_GB2312" w:hAnsi="等线" w:cs="楷体_GB2312" w:hint="eastAsia"/>
                <w:b/>
                <w:color w:val="000000" w:themeColor="text1"/>
                <w:kern w:val="0"/>
                <w:lang w:bidi="ar"/>
              </w:rPr>
              <w:t>（四）产品期限</w:t>
            </w:r>
          </w:p>
        </w:tc>
      </w:tr>
      <w:tr w:rsidR="00D8530A" w14:paraId="3829C006" w14:textId="77777777">
        <w:trPr>
          <w:trHeight w:val="540"/>
        </w:trPr>
        <w:tc>
          <w:tcPr>
            <w:tcW w:w="2453" w:type="dxa"/>
            <w:tcBorders>
              <w:top w:val="single" w:sz="4" w:space="0" w:color="auto"/>
              <w:left w:val="single" w:sz="4" w:space="0" w:color="auto"/>
              <w:bottom w:val="single" w:sz="4" w:space="0" w:color="auto"/>
              <w:right w:val="single" w:sz="4" w:space="0" w:color="auto"/>
            </w:tcBorders>
            <w:vAlign w:val="center"/>
          </w:tcPr>
          <w:p w14:paraId="55722B6C" w14:textId="77777777" w:rsidR="00D8530A" w:rsidRDefault="00000000">
            <w:pPr>
              <w:widowControl/>
              <w:spacing w:line="400" w:lineRule="exact"/>
              <w:jc w:val="center"/>
              <w:textAlignment w:val="center"/>
              <w:rPr>
                <w:rFonts w:ascii="仿宋_GB2312" w:hAnsi="等线" w:cs="仿宋_GB2312" w:hint="eastAsia"/>
                <w:color w:val="000000" w:themeColor="text1"/>
              </w:rPr>
            </w:pPr>
            <w:r>
              <w:rPr>
                <w:rFonts w:ascii="仿宋_GB2312" w:hAnsi="等线" w:cs="仿宋_GB2312" w:hint="eastAsia"/>
                <w:color w:val="000000" w:themeColor="text1"/>
                <w:kern w:val="0"/>
                <w:lang w:bidi="ar"/>
              </w:rPr>
              <w:t>募集起始日期</w:t>
            </w:r>
          </w:p>
        </w:tc>
        <w:tc>
          <w:tcPr>
            <w:tcW w:w="6972" w:type="dxa"/>
            <w:tcBorders>
              <w:top w:val="single" w:sz="4" w:space="0" w:color="auto"/>
              <w:left w:val="single" w:sz="4" w:space="0" w:color="auto"/>
              <w:bottom w:val="single" w:sz="4" w:space="0" w:color="auto"/>
              <w:right w:val="single" w:sz="4" w:space="0" w:color="auto"/>
            </w:tcBorders>
            <w:vAlign w:val="center"/>
          </w:tcPr>
          <w:p w14:paraId="45C0B2AF" w14:textId="77777777" w:rsidR="00D8530A" w:rsidRDefault="00000000">
            <w:pPr>
              <w:widowControl/>
              <w:autoSpaceDE w:val="0"/>
              <w:autoSpaceDN w:val="0"/>
              <w:adjustRightInd w:val="0"/>
              <w:snapToGrid w:val="0"/>
              <w:jc w:val="left"/>
              <w:rPr>
                <w:rFonts w:ascii="仿宋_GB2312" w:hAnsi="等线" w:cs="仿宋_GB2312" w:hint="eastAsia"/>
                <w:bCs/>
                <w:color w:val="000000" w:themeColor="text1"/>
              </w:rPr>
            </w:pPr>
            <w:r>
              <w:rPr>
                <w:rFonts w:ascii="宋体" w:hAnsi="宋体" w:hint="eastAsia"/>
                <w:szCs w:val="24"/>
              </w:rPr>
              <w:t>【</w:t>
            </w:r>
            <w:r>
              <w:rPr>
                <w:rFonts w:ascii="宋体" w:hAnsi="宋体" w:hint="eastAsia"/>
                <w:b/>
                <w:szCs w:val="24"/>
              </w:rPr>
              <w:t>2026</w:t>
            </w:r>
            <w:r>
              <w:rPr>
                <w:rFonts w:ascii="宋体" w:hAnsi="宋体" w:hint="eastAsia"/>
                <w:b/>
                <w:szCs w:val="24"/>
              </w:rPr>
              <w:t>】年【</w:t>
            </w:r>
            <w:r>
              <w:rPr>
                <w:rFonts w:ascii="宋体" w:hAnsi="宋体" w:hint="eastAsia"/>
                <w:b/>
                <w:szCs w:val="24"/>
              </w:rPr>
              <w:t>9</w:t>
            </w:r>
            <w:r>
              <w:rPr>
                <w:rFonts w:ascii="宋体" w:hAnsi="宋体" w:hint="eastAsia"/>
                <w:b/>
                <w:szCs w:val="24"/>
              </w:rPr>
              <w:t>】月【</w:t>
            </w:r>
            <w:r>
              <w:rPr>
                <w:rFonts w:ascii="宋体" w:hAnsi="宋体" w:hint="eastAsia"/>
                <w:b/>
                <w:szCs w:val="24"/>
              </w:rPr>
              <w:t>18</w:t>
            </w:r>
            <w:r>
              <w:rPr>
                <w:rFonts w:ascii="宋体" w:hAnsi="宋体" w:hint="eastAsia"/>
                <w:b/>
                <w:szCs w:val="24"/>
              </w:rPr>
              <w:t>】日【</w:t>
            </w:r>
            <w:r>
              <w:rPr>
                <w:rFonts w:ascii="宋体" w:hAnsi="宋体" w:hint="eastAsia"/>
                <w:b/>
                <w:szCs w:val="24"/>
              </w:rPr>
              <w:t>9:00</w:t>
            </w:r>
            <w:r>
              <w:rPr>
                <w:rFonts w:ascii="宋体" w:hAnsi="宋体" w:hint="eastAsia"/>
                <w:b/>
                <w:szCs w:val="24"/>
              </w:rPr>
              <w:t>】</w:t>
            </w:r>
          </w:p>
        </w:tc>
      </w:tr>
      <w:tr w:rsidR="00D8530A" w14:paraId="607DACD5" w14:textId="77777777">
        <w:trPr>
          <w:trHeight w:val="540"/>
        </w:trPr>
        <w:tc>
          <w:tcPr>
            <w:tcW w:w="2453" w:type="dxa"/>
            <w:tcBorders>
              <w:top w:val="single" w:sz="4" w:space="0" w:color="auto"/>
              <w:left w:val="single" w:sz="4" w:space="0" w:color="auto"/>
              <w:bottom w:val="single" w:sz="4" w:space="0" w:color="auto"/>
              <w:right w:val="single" w:sz="4" w:space="0" w:color="auto"/>
            </w:tcBorders>
            <w:vAlign w:val="center"/>
          </w:tcPr>
          <w:p w14:paraId="34B8862A" w14:textId="77777777" w:rsidR="00D8530A" w:rsidRDefault="00000000">
            <w:pPr>
              <w:widowControl/>
              <w:spacing w:line="400" w:lineRule="exact"/>
              <w:jc w:val="center"/>
              <w:textAlignment w:val="center"/>
              <w:rPr>
                <w:rFonts w:ascii="仿宋_GB2312" w:hAnsi="等线" w:cs="仿宋_GB2312" w:hint="eastAsia"/>
                <w:color w:val="000000" w:themeColor="text1"/>
              </w:rPr>
            </w:pPr>
            <w:r>
              <w:rPr>
                <w:rFonts w:ascii="仿宋_GB2312" w:hAnsi="等线" w:cs="仿宋_GB2312" w:hint="eastAsia"/>
                <w:color w:val="000000" w:themeColor="text1"/>
                <w:kern w:val="0"/>
                <w:lang w:bidi="ar"/>
              </w:rPr>
              <w:t>募集结束日期</w:t>
            </w:r>
          </w:p>
        </w:tc>
        <w:tc>
          <w:tcPr>
            <w:tcW w:w="6972" w:type="dxa"/>
            <w:tcBorders>
              <w:top w:val="single" w:sz="4" w:space="0" w:color="auto"/>
              <w:left w:val="single" w:sz="4" w:space="0" w:color="auto"/>
              <w:bottom w:val="single" w:sz="4" w:space="0" w:color="auto"/>
              <w:right w:val="single" w:sz="4" w:space="0" w:color="auto"/>
            </w:tcBorders>
            <w:vAlign w:val="center"/>
          </w:tcPr>
          <w:p w14:paraId="1E026C0F" w14:textId="77777777" w:rsidR="00D8530A" w:rsidRDefault="00000000">
            <w:pPr>
              <w:widowControl/>
              <w:autoSpaceDE w:val="0"/>
              <w:autoSpaceDN w:val="0"/>
              <w:adjustRightInd w:val="0"/>
              <w:snapToGrid w:val="0"/>
              <w:jc w:val="left"/>
              <w:rPr>
                <w:rFonts w:ascii="宋体" w:hAnsi="宋体" w:hint="eastAsia"/>
                <w:b/>
                <w:szCs w:val="24"/>
              </w:rPr>
            </w:pPr>
            <w:r>
              <w:rPr>
                <w:rFonts w:ascii="宋体" w:hAnsi="宋体" w:hint="eastAsia"/>
                <w:szCs w:val="24"/>
              </w:rPr>
              <w:t>【</w:t>
            </w:r>
            <w:r>
              <w:rPr>
                <w:rFonts w:ascii="宋体" w:hAnsi="宋体" w:hint="eastAsia"/>
                <w:b/>
                <w:szCs w:val="24"/>
              </w:rPr>
              <w:t>2026</w:t>
            </w:r>
            <w:r>
              <w:rPr>
                <w:rFonts w:ascii="宋体" w:hAnsi="宋体" w:hint="eastAsia"/>
                <w:b/>
                <w:szCs w:val="24"/>
              </w:rPr>
              <w:t>】年【</w:t>
            </w:r>
            <w:r>
              <w:rPr>
                <w:rFonts w:ascii="宋体" w:hAnsi="宋体" w:hint="eastAsia"/>
                <w:b/>
                <w:szCs w:val="24"/>
              </w:rPr>
              <w:t>9</w:t>
            </w:r>
            <w:r>
              <w:rPr>
                <w:rFonts w:ascii="宋体" w:hAnsi="宋体" w:hint="eastAsia"/>
                <w:b/>
                <w:szCs w:val="24"/>
              </w:rPr>
              <w:t>】月【</w:t>
            </w:r>
            <w:r>
              <w:rPr>
                <w:rFonts w:ascii="宋体" w:hAnsi="宋体" w:hint="eastAsia"/>
                <w:b/>
                <w:szCs w:val="24"/>
              </w:rPr>
              <w:t>23</w:t>
            </w:r>
            <w:r>
              <w:rPr>
                <w:rFonts w:ascii="宋体" w:hAnsi="宋体" w:hint="eastAsia"/>
                <w:b/>
                <w:szCs w:val="24"/>
              </w:rPr>
              <w:t>】日【</w:t>
            </w:r>
            <w:r>
              <w:rPr>
                <w:rFonts w:ascii="宋体" w:hAnsi="宋体" w:hint="eastAsia"/>
                <w:b/>
                <w:szCs w:val="24"/>
              </w:rPr>
              <w:t>15:30</w:t>
            </w:r>
            <w:r>
              <w:rPr>
                <w:rFonts w:ascii="宋体" w:hAnsi="宋体" w:hint="eastAsia"/>
                <w:b/>
                <w:szCs w:val="24"/>
              </w:rPr>
              <w:t>】</w:t>
            </w:r>
          </w:p>
          <w:p w14:paraId="66B673A6" w14:textId="77777777" w:rsidR="00D8530A" w:rsidRDefault="00000000">
            <w:pPr>
              <w:widowControl/>
              <w:autoSpaceDE w:val="0"/>
              <w:autoSpaceDN w:val="0"/>
              <w:adjustRightInd w:val="0"/>
              <w:snapToGrid w:val="0"/>
              <w:jc w:val="left"/>
              <w:rPr>
                <w:rFonts w:ascii="仿宋_GB2312" w:hAnsi="等线" w:cs="仿宋_GB2312" w:hint="eastAsia"/>
                <w:bCs/>
                <w:color w:val="000000" w:themeColor="text1"/>
              </w:rPr>
            </w:pPr>
            <w:r>
              <w:rPr>
                <w:rFonts w:hint="eastAsia"/>
                <w:szCs w:val="24"/>
              </w:rPr>
              <w:t>销售机构实际受理时间可能与说明书不一致，具体以销售机构通知为准。</w:t>
            </w:r>
            <w:r>
              <w:rPr>
                <w:rFonts w:ascii="宋体" w:hAnsi="宋体" w:hint="eastAsia"/>
                <w:b/>
                <w:szCs w:val="24"/>
              </w:rPr>
              <w:t>管理人有权提前结束募集并提前成立理财产品或延长募集期，具体以管理人或销售机构公告为准。</w:t>
            </w:r>
          </w:p>
        </w:tc>
      </w:tr>
      <w:tr w:rsidR="00D8530A" w14:paraId="569390E0" w14:textId="77777777">
        <w:trPr>
          <w:trHeight w:val="674"/>
        </w:trPr>
        <w:tc>
          <w:tcPr>
            <w:tcW w:w="2453" w:type="dxa"/>
            <w:tcBorders>
              <w:top w:val="single" w:sz="4" w:space="0" w:color="auto"/>
              <w:left w:val="single" w:sz="4" w:space="0" w:color="auto"/>
              <w:bottom w:val="single" w:sz="4" w:space="0" w:color="auto"/>
              <w:right w:val="single" w:sz="4" w:space="0" w:color="auto"/>
            </w:tcBorders>
            <w:vAlign w:val="center"/>
          </w:tcPr>
          <w:p w14:paraId="3DAEDFA0" w14:textId="77777777" w:rsidR="00D8530A" w:rsidRDefault="00000000">
            <w:pPr>
              <w:autoSpaceDE w:val="0"/>
              <w:autoSpaceDN w:val="0"/>
              <w:adjustRightInd w:val="0"/>
              <w:snapToGrid w:val="0"/>
              <w:ind w:leftChars="26" w:left="77" w:hanging="15"/>
              <w:jc w:val="center"/>
              <w:rPr>
                <w:rFonts w:ascii="仿宋_GB2312" w:hAnsi="等线" w:cs="仿宋_GB2312" w:hint="eastAsia"/>
                <w:color w:val="000000" w:themeColor="text1"/>
                <w:kern w:val="0"/>
                <w:lang w:bidi="ar"/>
              </w:rPr>
            </w:pPr>
            <w:r>
              <w:rPr>
                <w:rFonts w:ascii="宋体" w:hAnsi="宋体" w:hint="eastAsia"/>
                <w:szCs w:val="24"/>
              </w:rPr>
              <w:t>投资冷静期</w:t>
            </w:r>
          </w:p>
        </w:tc>
        <w:tc>
          <w:tcPr>
            <w:tcW w:w="6972" w:type="dxa"/>
            <w:tcBorders>
              <w:top w:val="single" w:sz="4" w:space="0" w:color="auto"/>
              <w:left w:val="single" w:sz="4" w:space="0" w:color="auto"/>
              <w:bottom w:val="single" w:sz="4" w:space="0" w:color="auto"/>
              <w:right w:val="single" w:sz="4" w:space="0" w:color="auto"/>
            </w:tcBorders>
            <w:vAlign w:val="center"/>
          </w:tcPr>
          <w:p w14:paraId="5E242347" w14:textId="77777777" w:rsidR="00D8530A" w:rsidRDefault="00000000">
            <w:pPr>
              <w:autoSpaceDE w:val="0"/>
              <w:autoSpaceDN w:val="0"/>
              <w:adjustRightInd w:val="0"/>
              <w:snapToGrid w:val="0"/>
              <w:rPr>
                <w:rFonts w:ascii="宋体" w:hAnsi="宋体" w:hint="eastAsia"/>
                <w:szCs w:val="24"/>
              </w:rPr>
            </w:pPr>
            <w:r>
              <w:rPr>
                <w:rFonts w:ascii="宋体" w:hAnsi="宋体" w:hint="eastAsia"/>
                <w:szCs w:val="24"/>
              </w:rPr>
              <w:t>公募</w:t>
            </w:r>
            <w:r>
              <w:rPr>
                <w:rFonts w:ascii="宋体" w:hAnsi="宋体"/>
                <w:szCs w:val="24"/>
              </w:rPr>
              <w:t>：</w:t>
            </w:r>
            <w:r>
              <w:rPr>
                <w:rFonts w:ascii="宋体" w:hAnsi="宋体" w:hint="eastAsia"/>
                <w:szCs w:val="24"/>
              </w:rPr>
              <w:t>本产品为公募理财产品，无投资冷静期设置。</w:t>
            </w:r>
          </w:p>
        </w:tc>
      </w:tr>
      <w:tr w:rsidR="00D8530A" w14:paraId="235593F7" w14:textId="77777777">
        <w:trPr>
          <w:trHeight w:val="888"/>
        </w:trPr>
        <w:tc>
          <w:tcPr>
            <w:tcW w:w="2453" w:type="dxa"/>
            <w:tcBorders>
              <w:top w:val="single" w:sz="4" w:space="0" w:color="auto"/>
              <w:left w:val="single" w:sz="4" w:space="0" w:color="auto"/>
              <w:bottom w:val="single" w:sz="4" w:space="0" w:color="auto"/>
              <w:right w:val="single" w:sz="4" w:space="0" w:color="auto"/>
            </w:tcBorders>
            <w:vAlign w:val="center"/>
          </w:tcPr>
          <w:p w14:paraId="505C5453" w14:textId="77777777" w:rsidR="00D8530A" w:rsidRDefault="00000000">
            <w:pPr>
              <w:widowControl/>
              <w:spacing w:line="400" w:lineRule="exact"/>
              <w:jc w:val="center"/>
              <w:textAlignment w:val="center"/>
              <w:rPr>
                <w:rFonts w:ascii="仿宋_GB2312" w:hAnsi="等线" w:cs="仿宋_GB2312" w:hint="eastAsia"/>
                <w:color w:val="000000" w:themeColor="text1"/>
              </w:rPr>
            </w:pPr>
            <w:r>
              <w:rPr>
                <w:rFonts w:ascii="仿宋_GB2312" w:hAnsi="等线" w:cs="仿宋_GB2312" w:hint="eastAsia"/>
                <w:color w:val="000000" w:themeColor="text1"/>
                <w:kern w:val="0"/>
                <w:lang w:bidi="ar"/>
              </w:rPr>
              <w:t>产品成立日期</w:t>
            </w:r>
          </w:p>
        </w:tc>
        <w:tc>
          <w:tcPr>
            <w:tcW w:w="6972" w:type="dxa"/>
            <w:tcBorders>
              <w:top w:val="single" w:sz="4" w:space="0" w:color="auto"/>
              <w:left w:val="single" w:sz="4" w:space="0" w:color="auto"/>
              <w:bottom w:val="single" w:sz="4" w:space="0" w:color="auto"/>
              <w:right w:val="single" w:sz="4" w:space="0" w:color="auto"/>
            </w:tcBorders>
            <w:vAlign w:val="center"/>
          </w:tcPr>
          <w:p w14:paraId="36013E46" w14:textId="77777777" w:rsidR="00D8530A" w:rsidRDefault="00000000">
            <w:pPr>
              <w:snapToGrid w:val="0"/>
              <w:rPr>
                <w:rFonts w:ascii="宋体" w:hAnsi="宋体" w:hint="eastAsia"/>
                <w:b/>
                <w:szCs w:val="24"/>
              </w:rPr>
            </w:pPr>
            <w:r>
              <w:rPr>
                <w:rFonts w:ascii="宋体" w:hAnsi="宋体" w:hint="eastAsia"/>
                <w:szCs w:val="24"/>
              </w:rPr>
              <w:t>【</w:t>
            </w:r>
            <w:r>
              <w:rPr>
                <w:rFonts w:ascii="宋体" w:hAnsi="宋体" w:hint="eastAsia"/>
                <w:b/>
                <w:szCs w:val="24"/>
              </w:rPr>
              <w:t>2026</w:t>
            </w:r>
            <w:r>
              <w:rPr>
                <w:rFonts w:ascii="宋体" w:hAnsi="宋体" w:hint="eastAsia"/>
                <w:b/>
                <w:szCs w:val="24"/>
              </w:rPr>
              <w:t>】年【</w:t>
            </w:r>
            <w:r>
              <w:rPr>
                <w:rFonts w:ascii="宋体" w:hAnsi="宋体" w:hint="eastAsia"/>
                <w:b/>
                <w:szCs w:val="24"/>
              </w:rPr>
              <w:t>9</w:t>
            </w:r>
            <w:r>
              <w:rPr>
                <w:rFonts w:ascii="宋体" w:hAnsi="宋体" w:hint="eastAsia"/>
                <w:b/>
                <w:szCs w:val="24"/>
              </w:rPr>
              <w:t>】月【</w:t>
            </w:r>
            <w:r>
              <w:rPr>
                <w:rFonts w:ascii="宋体" w:hAnsi="宋体" w:hint="eastAsia"/>
                <w:b/>
                <w:szCs w:val="24"/>
              </w:rPr>
              <w:t>24</w:t>
            </w:r>
            <w:r>
              <w:rPr>
                <w:rFonts w:ascii="宋体" w:hAnsi="宋体" w:hint="eastAsia"/>
                <w:b/>
                <w:szCs w:val="24"/>
              </w:rPr>
              <w:t>】日</w:t>
            </w:r>
          </w:p>
          <w:p w14:paraId="31C6CB6C" w14:textId="77777777" w:rsidR="00D8530A" w:rsidRDefault="00000000">
            <w:pPr>
              <w:snapToGrid w:val="0"/>
              <w:rPr>
                <w:rFonts w:ascii="宋体" w:hAnsi="宋体" w:hint="eastAsia"/>
                <w:b/>
                <w:szCs w:val="24"/>
              </w:rPr>
            </w:pPr>
            <w:r>
              <w:rPr>
                <w:rFonts w:ascii="宋体" w:hAnsi="宋体" w:hint="eastAsia"/>
                <w:b/>
                <w:szCs w:val="24"/>
              </w:rPr>
              <w:t>如遇非工作日则顺延至下一工作日。</w:t>
            </w:r>
          </w:p>
          <w:p w14:paraId="53A65BEF" w14:textId="77777777" w:rsidR="00D8530A" w:rsidRDefault="00000000">
            <w:pPr>
              <w:widowControl/>
              <w:spacing w:line="400" w:lineRule="exact"/>
              <w:jc w:val="left"/>
              <w:textAlignment w:val="center"/>
              <w:rPr>
                <w:rFonts w:ascii="宋体" w:hAnsi="宋体" w:hint="eastAsia"/>
                <w:szCs w:val="24"/>
              </w:rPr>
            </w:pPr>
            <w:r>
              <w:rPr>
                <w:rFonts w:ascii="宋体" w:hAnsi="宋体" w:hint="eastAsia"/>
                <w:szCs w:val="24"/>
              </w:rPr>
              <w:lastRenderedPageBreak/>
              <w:t>管理人有权根据实际情况提前终止本产品或延长本产品存续期，并及时公告。如产品提前终止或延期终止，除有特别约定外，实际终止日为到期日。</w:t>
            </w:r>
          </w:p>
        </w:tc>
      </w:tr>
      <w:tr w:rsidR="00D8530A" w14:paraId="1CDF531E" w14:textId="77777777">
        <w:trPr>
          <w:trHeight w:val="540"/>
        </w:trPr>
        <w:tc>
          <w:tcPr>
            <w:tcW w:w="2453" w:type="dxa"/>
            <w:tcBorders>
              <w:top w:val="single" w:sz="4" w:space="0" w:color="auto"/>
              <w:left w:val="single" w:sz="4" w:space="0" w:color="auto"/>
              <w:bottom w:val="single" w:sz="4" w:space="0" w:color="auto"/>
              <w:right w:val="single" w:sz="4" w:space="0" w:color="auto"/>
            </w:tcBorders>
            <w:vAlign w:val="center"/>
          </w:tcPr>
          <w:p w14:paraId="069A9299" w14:textId="77777777" w:rsidR="00D8530A" w:rsidRDefault="00000000">
            <w:pPr>
              <w:autoSpaceDE w:val="0"/>
              <w:autoSpaceDN w:val="0"/>
              <w:adjustRightInd w:val="0"/>
              <w:snapToGrid w:val="0"/>
              <w:ind w:leftChars="26" w:left="77" w:hanging="15"/>
              <w:jc w:val="center"/>
              <w:rPr>
                <w:rFonts w:ascii="仿宋_GB2312" w:hAnsi="等线" w:cs="仿宋_GB2312" w:hint="eastAsia"/>
                <w:color w:val="000000" w:themeColor="text1"/>
                <w:kern w:val="0"/>
                <w:lang w:bidi="ar"/>
              </w:rPr>
            </w:pPr>
            <w:r>
              <w:rPr>
                <w:rFonts w:ascii="宋体" w:hAnsi="宋体" w:hint="eastAsia"/>
                <w:szCs w:val="24"/>
              </w:rPr>
              <w:lastRenderedPageBreak/>
              <w:t>产品期限</w:t>
            </w:r>
          </w:p>
        </w:tc>
        <w:tc>
          <w:tcPr>
            <w:tcW w:w="6972" w:type="dxa"/>
            <w:tcBorders>
              <w:top w:val="single" w:sz="4" w:space="0" w:color="auto"/>
              <w:left w:val="single" w:sz="4" w:space="0" w:color="auto"/>
              <w:bottom w:val="single" w:sz="4" w:space="0" w:color="auto"/>
              <w:right w:val="single" w:sz="4" w:space="0" w:color="auto"/>
            </w:tcBorders>
            <w:vAlign w:val="center"/>
          </w:tcPr>
          <w:p w14:paraId="41E92AF9" w14:textId="77777777" w:rsidR="00D8530A" w:rsidRDefault="00000000">
            <w:pPr>
              <w:autoSpaceDE w:val="0"/>
              <w:autoSpaceDN w:val="0"/>
              <w:adjustRightInd w:val="0"/>
              <w:snapToGrid w:val="0"/>
              <w:rPr>
                <w:rFonts w:ascii="宋体" w:hAnsi="宋体" w:hint="eastAsia"/>
                <w:szCs w:val="24"/>
              </w:rPr>
            </w:pPr>
            <w:r>
              <w:rPr>
                <w:rFonts w:ascii="宋体" w:hAnsi="宋体"/>
                <w:b/>
                <w:szCs w:val="24"/>
              </w:rPr>
              <w:t>【</w:t>
            </w:r>
            <w:r>
              <w:rPr>
                <w:rFonts w:ascii="宋体" w:hAnsi="宋体" w:hint="eastAsia"/>
                <w:b/>
                <w:szCs w:val="24"/>
              </w:rPr>
              <w:t>390</w:t>
            </w:r>
            <w:r>
              <w:rPr>
                <w:rFonts w:ascii="宋体" w:hAnsi="宋体"/>
                <w:b/>
                <w:szCs w:val="24"/>
              </w:rPr>
              <w:t>】</w:t>
            </w:r>
            <w:r>
              <w:rPr>
                <w:rFonts w:ascii="宋体" w:hAnsi="宋体" w:hint="eastAsia"/>
                <w:b/>
                <w:szCs w:val="24"/>
              </w:rPr>
              <w:t>天</w:t>
            </w:r>
          </w:p>
        </w:tc>
      </w:tr>
      <w:tr w:rsidR="00D8530A" w14:paraId="2E4F5724" w14:textId="77777777">
        <w:trPr>
          <w:trHeight w:val="540"/>
        </w:trPr>
        <w:tc>
          <w:tcPr>
            <w:tcW w:w="2453" w:type="dxa"/>
            <w:tcBorders>
              <w:top w:val="single" w:sz="4" w:space="0" w:color="auto"/>
              <w:left w:val="single" w:sz="4" w:space="0" w:color="auto"/>
              <w:bottom w:val="single" w:sz="4" w:space="0" w:color="auto"/>
              <w:right w:val="single" w:sz="4" w:space="0" w:color="auto"/>
            </w:tcBorders>
            <w:vAlign w:val="center"/>
          </w:tcPr>
          <w:p w14:paraId="251A2567" w14:textId="77777777" w:rsidR="00D8530A" w:rsidRDefault="00000000">
            <w:pPr>
              <w:widowControl/>
              <w:spacing w:line="400" w:lineRule="exact"/>
              <w:jc w:val="center"/>
              <w:textAlignment w:val="center"/>
              <w:rPr>
                <w:rFonts w:ascii="仿宋_GB2312" w:hAnsi="等线" w:cs="仿宋_GB2312" w:hint="eastAsia"/>
                <w:color w:val="000000" w:themeColor="text1"/>
                <w:kern w:val="0"/>
                <w:lang w:bidi="ar"/>
              </w:rPr>
            </w:pPr>
            <w:r>
              <w:rPr>
                <w:rFonts w:ascii="仿宋_GB2312" w:hAnsi="等线" w:cs="仿宋_GB2312" w:hint="eastAsia"/>
                <w:color w:val="000000" w:themeColor="text1"/>
                <w:kern w:val="0"/>
                <w:lang w:bidi="ar"/>
              </w:rPr>
              <w:t>产品到期日期</w:t>
            </w:r>
          </w:p>
        </w:tc>
        <w:tc>
          <w:tcPr>
            <w:tcW w:w="6972" w:type="dxa"/>
            <w:tcBorders>
              <w:top w:val="single" w:sz="4" w:space="0" w:color="auto"/>
              <w:left w:val="single" w:sz="4" w:space="0" w:color="auto"/>
              <w:bottom w:val="single" w:sz="4" w:space="0" w:color="auto"/>
              <w:right w:val="single" w:sz="4" w:space="0" w:color="auto"/>
            </w:tcBorders>
            <w:vAlign w:val="center"/>
          </w:tcPr>
          <w:p w14:paraId="66501E4B" w14:textId="77777777" w:rsidR="00D8530A" w:rsidRDefault="00000000">
            <w:pPr>
              <w:snapToGrid w:val="0"/>
              <w:rPr>
                <w:rFonts w:ascii="宋体" w:hAnsi="宋体" w:hint="eastAsia"/>
                <w:b/>
                <w:szCs w:val="24"/>
              </w:rPr>
            </w:pPr>
            <w:r>
              <w:rPr>
                <w:rFonts w:ascii="宋体" w:hAnsi="宋体" w:hint="eastAsia"/>
                <w:szCs w:val="24"/>
              </w:rPr>
              <w:t>【</w:t>
            </w:r>
            <w:r>
              <w:rPr>
                <w:rFonts w:ascii="宋体" w:hAnsi="宋体" w:hint="eastAsia"/>
                <w:b/>
                <w:szCs w:val="24"/>
              </w:rPr>
              <w:t>2027</w:t>
            </w:r>
            <w:r>
              <w:rPr>
                <w:rFonts w:ascii="宋体" w:hAnsi="宋体" w:hint="eastAsia"/>
                <w:b/>
                <w:szCs w:val="24"/>
              </w:rPr>
              <w:t>】年【</w:t>
            </w:r>
            <w:r>
              <w:rPr>
                <w:rFonts w:ascii="宋体" w:hAnsi="宋体" w:hint="eastAsia"/>
                <w:b/>
                <w:szCs w:val="24"/>
              </w:rPr>
              <w:t>10</w:t>
            </w:r>
            <w:r>
              <w:rPr>
                <w:rFonts w:ascii="宋体" w:hAnsi="宋体" w:hint="eastAsia"/>
                <w:b/>
                <w:szCs w:val="24"/>
              </w:rPr>
              <w:t>】月【</w:t>
            </w:r>
            <w:r>
              <w:rPr>
                <w:rFonts w:ascii="宋体" w:hAnsi="宋体" w:hint="eastAsia"/>
                <w:b/>
                <w:szCs w:val="24"/>
              </w:rPr>
              <w:t>19</w:t>
            </w:r>
            <w:r>
              <w:rPr>
                <w:rFonts w:ascii="宋体" w:hAnsi="宋体" w:hint="eastAsia"/>
                <w:b/>
                <w:szCs w:val="24"/>
              </w:rPr>
              <w:t>】日</w:t>
            </w:r>
          </w:p>
          <w:p w14:paraId="2C85E260" w14:textId="77777777" w:rsidR="00D8530A" w:rsidRDefault="00000000">
            <w:pPr>
              <w:widowControl/>
              <w:spacing w:line="400" w:lineRule="exact"/>
              <w:jc w:val="left"/>
              <w:textAlignment w:val="center"/>
              <w:rPr>
                <w:rFonts w:ascii="仿宋_GB2312" w:hAnsi="等线" w:cs="仿宋_GB2312" w:hint="eastAsia"/>
                <w:bCs/>
                <w:color w:val="000000" w:themeColor="text1"/>
              </w:rPr>
            </w:pPr>
            <w:r>
              <w:rPr>
                <w:rFonts w:ascii="宋体" w:hAnsi="宋体" w:hint="eastAsia"/>
                <w:szCs w:val="24"/>
              </w:rPr>
              <w:t>产品管理人有权根据实际情况提前终止，并提前【</w:t>
            </w:r>
            <w:r>
              <w:rPr>
                <w:rFonts w:ascii="宋体" w:hAnsi="宋体" w:hint="eastAsia"/>
                <w:szCs w:val="24"/>
              </w:rPr>
              <w:t>1</w:t>
            </w:r>
            <w:r>
              <w:rPr>
                <w:rFonts w:ascii="宋体" w:hAnsi="宋体" w:hint="eastAsia"/>
                <w:szCs w:val="24"/>
              </w:rPr>
              <w:t>】个</w:t>
            </w:r>
            <w:r>
              <w:rPr>
                <w:rFonts w:ascii="宋体" w:hAnsi="宋体"/>
                <w:szCs w:val="24"/>
              </w:rPr>
              <w:t>工作</w:t>
            </w:r>
            <w:r>
              <w:rPr>
                <w:rFonts w:ascii="宋体" w:hAnsi="宋体" w:hint="eastAsia"/>
                <w:szCs w:val="24"/>
              </w:rPr>
              <w:t>日按照本《产品说明书》“信息披露”约定的方式通知投资者。</w:t>
            </w:r>
          </w:p>
        </w:tc>
      </w:tr>
      <w:tr w:rsidR="00D8530A" w14:paraId="26F2B111" w14:textId="77777777">
        <w:trPr>
          <w:trHeight w:val="447"/>
        </w:trPr>
        <w:tc>
          <w:tcPr>
            <w:tcW w:w="2453" w:type="dxa"/>
            <w:tcBorders>
              <w:top w:val="single" w:sz="4" w:space="0" w:color="auto"/>
              <w:left w:val="single" w:sz="4" w:space="0" w:color="auto"/>
              <w:bottom w:val="single" w:sz="4" w:space="0" w:color="auto"/>
              <w:right w:val="single" w:sz="4" w:space="0" w:color="auto"/>
            </w:tcBorders>
            <w:vAlign w:val="center"/>
          </w:tcPr>
          <w:p w14:paraId="34CECC6E" w14:textId="77777777" w:rsidR="00D8530A" w:rsidRDefault="00000000">
            <w:pPr>
              <w:widowControl/>
              <w:spacing w:line="400" w:lineRule="exact"/>
              <w:jc w:val="center"/>
              <w:textAlignment w:val="center"/>
              <w:rPr>
                <w:rFonts w:ascii="仿宋_GB2312" w:hAnsi="等线" w:cs="仿宋_GB2312" w:hint="eastAsia"/>
                <w:color w:val="000000" w:themeColor="text1"/>
              </w:rPr>
            </w:pPr>
            <w:r>
              <w:rPr>
                <w:rFonts w:ascii="仿宋_GB2312" w:hAnsi="等线" w:cs="仿宋_GB2312" w:hint="eastAsia"/>
                <w:color w:val="000000" w:themeColor="text1"/>
                <w:kern w:val="0"/>
                <w:lang w:bidi="ar"/>
              </w:rPr>
              <w:t>资金到账日</w:t>
            </w:r>
          </w:p>
        </w:tc>
        <w:tc>
          <w:tcPr>
            <w:tcW w:w="6972" w:type="dxa"/>
            <w:tcBorders>
              <w:top w:val="single" w:sz="4" w:space="0" w:color="auto"/>
              <w:left w:val="single" w:sz="4" w:space="0" w:color="auto"/>
              <w:bottom w:val="single" w:sz="4" w:space="0" w:color="auto"/>
              <w:right w:val="single" w:sz="4" w:space="0" w:color="auto"/>
            </w:tcBorders>
            <w:vAlign w:val="center"/>
          </w:tcPr>
          <w:p w14:paraId="594DB5C4" w14:textId="77777777" w:rsidR="00D8530A" w:rsidRDefault="00000000">
            <w:pPr>
              <w:widowControl/>
              <w:spacing w:line="400" w:lineRule="exact"/>
              <w:jc w:val="left"/>
              <w:textAlignment w:val="center"/>
              <w:rPr>
                <w:rFonts w:ascii="宋体" w:hAnsi="宋体" w:cstheme="minorBidi" w:hint="eastAsia"/>
                <w:szCs w:val="24"/>
              </w:rPr>
            </w:pPr>
            <w:r>
              <w:rPr>
                <w:rFonts w:ascii="宋体" w:hAnsi="宋体" w:hint="eastAsia"/>
                <w:b/>
                <w:szCs w:val="24"/>
              </w:rPr>
              <w:t>T+5</w:t>
            </w:r>
            <w:r>
              <w:rPr>
                <w:rFonts w:ascii="宋体" w:hAnsi="宋体" w:hint="eastAsia"/>
                <w:b/>
                <w:szCs w:val="24"/>
              </w:rPr>
              <w:t>及以上</w:t>
            </w:r>
          </w:p>
        </w:tc>
      </w:tr>
      <w:tr w:rsidR="00D8530A" w14:paraId="6B75A11A" w14:textId="77777777">
        <w:trPr>
          <w:trHeight w:val="270"/>
        </w:trPr>
        <w:tc>
          <w:tcPr>
            <w:tcW w:w="9425" w:type="dxa"/>
            <w:gridSpan w:val="2"/>
            <w:tcBorders>
              <w:top w:val="single" w:sz="4" w:space="0" w:color="auto"/>
              <w:left w:val="single" w:sz="4" w:space="0" w:color="auto"/>
              <w:bottom w:val="single" w:sz="4" w:space="0" w:color="auto"/>
              <w:right w:val="single" w:sz="4" w:space="0" w:color="auto"/>
            </w:tcBorders>
            <w:vAlign w:val="center"/>
          </w:tcPr>
          <w:p w14:paraId="1EF9AD2F" w14:textId="77777777" w:rsidR="00D8530A" w:rsidRDefault="00000000">
            <w:pPr>
              <w:widowControl/>
              <w:spacing w:line="400" w:lineRule="exact"/>
              <w:jc w:val="center"/>
              <w:textAlignment w:val="center"/>
              <w:rPr>
                <w:rFonts w:ascii="楷体_GB2312" w:eastAsia="楷体_GB2312" w:hAnsi="等线" w:cs="楷体_GB2312" w:hint="eastAsia"/>
                <w:b/>
                <w:bCs/>
                <w:color w:val="000000" w:themeColor="text1"/>
              </w:rPr>
            </w:pPr>
            <w:r>
              <w:rPr>
                <w:rFonts w:ascii="楷体_GB2312" w:eastAsia="楷体_GB2312" w:hAnsi="等线" w:cs="楷体_GB2312" w:hint="eastAsia"/>
                <w:b/>
                <w:bCs/>
                <w:color w:val="000000" w:themeColor="text1"/>
                <w:kern w:val="0"/>
                <w:lang w:bidi="ar"/>
              </w:rPr>
              <w:t>（五）产品费用</w:t>
            </w:r>
          </w:p>
        </w:tc>
      </w:tr>
      <w:tr w:rsidR="00D8530A" w14:paraId="3799BB25" w14:textId="77777777">
        <w:trPr>
          <w:trHeight w:val="540"/>
        </w:trPr>
        <w:tc>
          <w:tcPr>
            <w:tcW w:w="2453" w:type="dxa"/>
            <w:tcBorders>
              <w:top w:val="single" w:sz="4" w:space="0" w:color="auto"/>
              <w:left w:val="single" w:sz="4" w:space="0" w:color="auto"/>
              <w:bottom w:val="single" w:sz="4" w:space="0" w:color="auto"/>
              <w:right w:val="single" w:sz="4" w:space="0" w:color="auto"/>
            </w:tcBorders>
            <w:vAlign w:val="center"/>
          </w:tcPr>
          <w:p w14:paraId="1AB24D68" w14:textId="77777777" w:rsidR="00D8530A" w:rsidRDefault="00000000">
            <w:pPr>
              <w:widowControl/>
              <w:spacing w:line="400" w:lineRule="exact"/>
              <w:jc w:val="center"/>
              <w:textAlignment w:val="center"/>
              <w:rPr>
                <w:rFonts w:ascii="仿宋_GB2312" w:hAnsi="等线" w:cs="仿宋_GB2312" w:hint="eastAsia"/>
                <w:color w:val="000000" w:themeColor="text1"/>
              </w:rPr>
            </w:pPr>
            <w:r>
              <w:rPr>
                <w:rFonts w:ascii="仿宋_GB2312" w:hAnsi="等线" w:cs="仿宋_GB2312" w:hint="eastAsia"/>
                <w:color w:val="000000" w:themeColor="text1"/>
                <w:kern w:val="0"/>
                <w:lang w:bidi="ar"/>
              </w:rPr>
              <w:t>销售服务费率（年化）</w:t>
            </w:r>
          </w:p>
        </w:tc>
        <w:tc>
          <w:tcPr>
            <w:tcW w:w="6972" w:type="dxa"/>
            <w:tcBorders>
              <w:top w:val="single" w:sz="4" w:space="0" w:color="auto"/>
              <w:left w:val="single" w:sz="4" w:space="0" w:color="auto"/>
              <w:bottom w:val="single" w:sz="4" w:space="0" w:color="auto"/>
              <w:right w:val="single" w:sz="4" w:space="0" w:color="auto"/>
            </w:tcBorders>
            <w:vAlign w:val="center"/>
          </w:tcPr>
          <w:p w14:paraId="328A9CDA" w14:textId="77777777" w:rsidR="00D8530A" w:rsidRDefault="00000000">
            <w:pPr>
              <w:widowControl/>
              <w:spacing w:line="400" w:lineRule="exact"/>
              <w:textAlignment w:val="center"/>
              <w:rPr>
                <w:rFonts w:ascii="仿宋_GB2312" w:hAnsi="仿宋_GB2312" w:cs="仿宋_GB2312" w:hint="eastAsia"/>
                <w:szCs w:val="24"/>
              </w:rPr>
            </w:pPr>
            <w:r>
              <w:rPr>
                <w:rFonts w:ascii="仿宋_GB2312" w:hAnsi="仿宋_GB2312" w:cs="仿宋_GB2312" w:hint="eastAsia"/>
                <w:szCs w:val="24"/>
              </w:rPr>
              <w:t>ZYFCG0261A:0.10%</w:t>
            </w:r>
          </w:p>
          <w:p w14:paraId="7A6CC225" w14:textId="77777777" w:rsidR="00D8530A" w:rsidRDefault="00000000">
            <w:pPr>
              <w:widowControl/>
              <w:spacing w:line="400" w:lineRule="exact"/>
              <w:textAlignment w:val="center"/>
              <w:rPr>
                <w:rFonts w:ascii="仿宋_GB2312" w:hAnsi="仿宋_GB2312" w:cs="仿宋_GB2312" w:hint="eastAsia"/>
                <w:szCs w:val="24"/>
              </w:rPr>
            </w:pPr>
            <w:r>
              <w:rPr>
                <w:rFonts w:ascii="仿宋_GB2312" w:hAnsi="仿宋_GB2312" w:cs="仿宋_GB2312" w:hint="eastAsia"/>
                <w:szCs w:val="24"/>
              </w:rPr>
              <w:t>ZYFCG0261B:0.15%</w:t>
            </w:r>
          </w:p>
          <w:p w14:paraId="5A5EDA3D" w14:textId="77777777" w:rsidR="00D8530A" w:rsidRDefault="00000000">
            <w:pPr>
              <w:widowControl/>
              <w:spacing w:line="400" w:lineRule="exact"/>
              <w:textAlignment w:val="center"/>
              <w:rPr>
                <w:rFonts w:ascii="仿宋_GB2312" w:hAnsi="仿宋_GB2312" w:cs="仿宋_GB2312" w:hint="eastAsia"/>
                <w:szCs w:val="24"/>
              </w:rPr>
            </w:pPr>
            <w:r>
              <w:rPr>
                <w:rFonts w:ascii="仿宋_GB2312" w:hAnsi="仿宋_GB2312" w:cs="仿宋_GB2312" w:hint="eastAsia"/>
                <w:szCs w:val="24"/>
              </w:rPr>
              <w:t>ZYFCG0261C:0.20%</w:t>
            </w:r>
          </w:p>
          <w:p w14:paraId="06FF2B98" w14:textId="77777777" w:rsidR="00D8530A" w:rsidRDefault="00000000">
            <w:pPr>
              <w:widowControl/>
              <w:spacing w:line="400" w:lineRule="exact"/>
              <w:textAlignment w:val="center"/>
              <w:rPr>
                <w:rFonts w:ascii="仿宋_GB2312" w:hAnsi="仿宋_GB2312" w:cs="仿宋_GB2312" w:hint="eastAsia"/>
                <w:szCs w:val="24"/>
              </w:rPr>
            </w:pPr>
            <w:r>
              <w:rPr>
                <w:rFonts w:ascii="仿宋_GB2312" w:hAnsi="仿宋_GB2312" w:cs="仿宋_GB2312" w:hint="eastAsia"/>
                <w:szCs w:val="24"/>
              </w:rPr>
              <w:t>ZYFCG0261D:0.25%</w:t>
            </w:r>
          </w:p>
          <w:p w14:paraId="10F3A3E6" w14:textId="77777777" w:rsidR="00D8530A" w:rsidRDefault="00000000">
            <w:pPr>
              <w:widowControl/>
              <w:spacing w:line="400" w:lineRule="exact"/>
              <w:textAlignment w:val="center"/>
              <w:rPr>
                <w:rFonts w:ascii="仿宋_GB2312" w:hAnsi="仿宋_GB2312" w:cs="仿宋_GB2312" w:hint="eastAsia"/>
                <w:szCs w:val="24"/>
              </w:rPr>
            </w:pPr>
            <w:r>
              <w:rPr>
                <w:rFonts w:ascii="仿宋_GB2312" w:hAnsi="仿宋_GB2312" w:cs="仿宋_GB2312" w:hint="eastAsia"/>
                <w:szCs w:val="24"/>
              </w:rPr>
              <w:t>ZYFCG0261E:0.30%</w:t>
            </w:r>
          </w:p>
          <w:p w14:paraId="47E0FDE7" w14:textId="77777777" w:rsidR="00D8530A" w:rsidRDefault="00000000">
            <w:pPr>
              <w:widowControl/>
              <w:spacing w:line="400" w:lineRule="exact"/>
              <w:textAlignment w:val="center"/>
              <w:rPr>
                <w:rFonts w:ascii="仿宋_GB2312" w:hAnsi="仿宋_GB2312" w:cs="仿宋_GB2312" w:hint="eastAsia"/>
                <w:szCs w:val="24"/>
              </w:rPr>
            </w:pPr>
            <w:r>
              <w:rPr>
                <w:rFonts w:ascii="仿宋_GB2312" w:hAnsi="仿宋_GB2312" w:cs="仿宋_GB2312" w:hint="eastAsia"/>
                <w:szCs w:val="24"/>
              </w:rPr>
              <w:t>ZYFCG0261F:0.25%</w:t>
            </w:r>
          </w:p>
          <w:p w14:paraId="0CA0D18B" w14:textId="77777777" w:rsidR="00D8530A" w:rsidRDefault="00000000">
            <w:pPr>
              <w:widowControl/>
              <w:spacing w:line="400" w:lineRule="exact"/>
              <w:textAlignment w:val="center"/>
              <w:rPr>
                <w:rFonts w:ascii="仿宋_GB2312" w:hAnsi="仿宋_GB2312" w:cs="仿宋_GB2312" w:hint="eastAsia"/>
                <w:szCs w:val="24"/>
              </w:rPr>
            </w:pPr>
            <w:r>
              <w:rPr>
                <w:rFonts w:ascii="仿宋_GB2312" w:hAnsi="仿宋_GB2312" w:cs="仿宋_GB2312" w:hint="eastAsia"/>
                <w:szCs w:val="24"/>
              </w:rPr>
              <w:t>ZYFCG0261G:0.30%</w:t>
            </w:r>
          </w:p>
          <w:p w14:paraId="4152A198" w14:textId="77777777" w:rsidR="00D8530A" w:rsidRDefault="00000000">
            <w:pPr>
              <w:widowControl/>
              <w:spacing w:line="400" w:lineRule="exact"/>
              <w:textAlignment w:val="center"/>
              <w:rPr>
                <w:rFonts w:ascii="仿宋_GB2312" w:hAnsi="等线" w:cs="仿宋_GB2312" w:hint="eastAsia"/>
                <w:bCs/>
                <w:color w:val="000000" w:themeColor="text1"/>
              </w:rPr>
            </w:pPr>
            <w:r>
              <w:rPr>
                <w:rFonts w:ascii="仿宋_GB2312" w:hAnsi="仿宋_GB2312" w:cs="仿宋_GB2312" w:hint="eastAsia"/>
                <w:szCs w:val="24"/>
              </w:rPr>
              <w:t>ZYFCG0261H:0.20%</w:t>
            </w:r>
          </w:p>
        </w:tc>
      </w:tr>
      <w:tr w:rsidR="00D8530A" w14:paraId="1DD88465" w14:textId="77777777">
        <w:trPr>
          <w:trHeight w:val="540"/>
        </w:trPr>
        <w:tc>
          <w:tcPr>
            <w:tcW w:w="2453" w:type="dxa"/>
            <w:tcBorders>
              <w:top w:val="single" w:sz="4" w:space="0" w:color="auto"/>
              <w:left w:val="single" w:sz="4" w:space="0" w:color="auto"/>
              <w:bottom w:val="single" w:sz="4" w:space="0" w:color="auto"/>
              <w:right w:val="single" w:sz="4" w:space="0" w:color="auto"/>
            </w:tcBorders>
            <w:vAlign w:val="center"/>
          </w:tcPr>
          <w:p w14:paraId="1FAD3C4E" w14:textId="77777777" w:rsidR="00D8530A" w:rsidRDefault="00000000">
            <w:pPr>
              <w:widowControl/>
              <w:spacing w:line="400" w:lineRule="exact"/>
              <w:jc w:val="center"/>
              <w:textAlignment w:val="center"/>
              <w:rPr>
                <w:rFonts w:ascii="仿宋_GB2312" w:hAnsi="等线" w:cs="仿宋_GB2312" w:hint="eastAsia"/>
                <w:color w:val="000000" w:themeColor="text1"/>
              </w:rPr>
            </w:pPr>
            <w:r>
              <w:rPr>
                <w:rFonts w:ascii="仿宋_GB2312" w:hAnsi="等线" w:cs="仿宋_GB2312" w:hint="eastAsia"/>
                <w:color w:val="000000" w:themeColor="text1"/>
                <w:kern w:val="0"/>
                <w:lang w:bidi="ar"/>
              </w:rPr>
              <w:t>托管费率（年化）</w:t>
            </w:r>
          </w:p>
        </w:tc>
        <w:tc>
          <w:tcPr>
            <w:tcW w:w="6972" w:type="dxa"/>
            <w:tcBorders>
              <w:top w:val="single" w:sz="4" w:space="0" w:color="auto"/>
              <w:left w:val="single" w:sz="4" w:space="0" w:color="auto"/>
              <w:bottom w:val="single" w:sz="4" w:space="0" w:color="auto"/>
              <w:right w:val="single" w:sz="4" w:space="0" w:color="auto"/>
            </w:tcBorders>
            <w:vAlign w:val="center"/>
          </w:tcPr>
          <w:p w14:paraId="53EF4936" w14:textId="77777777" w:rsidR="00D8530A" w:rsidRDefault="00000000">
            <w:pPr>
              <w:widowControl/>
              <w:spacing w:line="400" w:lineRule="exact"/>
              <w:jc w:val="left"/>
              <w:textAlignment w:val="center"/>
              <w:rPr>
                <w:rFonts w:ascii="仿宋_GB2312" w:hAnsi="仿宋_GB2312" w:cs="仿宋_GB2312" w:hint="eastAsia"/>
                <w:bCs/>
                <w:color w:val="000000" w:themeColor="text1"/>
              </w:rPr>
            </w:pPr>
            <w:r>
              <w:rPr>
                <w:rFonts w:ascii="仿宋_GB2312" w:hAnsi="仿宋_GB2312" w:cs="仿宋_GB2312" w:hint="eastAsia"/>
                <w:szCs w:val="24"/>
                <w:lang w:bidi="ar"/>
              </w:rPr>
              <w:t>0.01%</w:t>
            </w:r>
          </w:p>
        </w:tc>
      </w:tr>
      <w:tr w:rsidR="00D8530A" w14:paraId="0BD4399A" w14:textId="77777777">
        <w:trPr>
          <w:trHeight w:val="540"/>
        </w:trPr>
        <w:tc>
          <w:tcPr>
            <w:tcW w:w="2453" w:type="dxa"/>
            <w:tcBorders>
              <w:top w:val="single" w:sz="4" w:space="0" w:color="auto"/>
              <w:left w:val="single" w:sz="4" w:space="0" w:color="auto"/>
              <w:bottom w:val="single" w:sz="4" w:space="0" w:color="auto"/>
              <w:right w:val="single" w:sz="4" w:space="0" w:color="auto"/>
            </w:tcBorders>
            <w:vAlign w:val="center"/>
          </w:tcPr>
          <w:p w14:paraId="165BE020" w14:textId="77777777" w:rsidR="00D8530A" w:rsidRDefault="00000000">
            <w:pPr>
              <w:widowControl/>
              <w:spacing w:line="400" w:lineRule="exact"/>
              <w:jc w:val="center"/>
              <w:textAlignment w:val="center"/>
              <w:rPr>
                <w:rFonts w:ascii="仿宋_GB2312" w:hAnsi="等线" w:cs="仿宋_GB2312" w:hint="eastAsia"/>
                <w:color w:val="000000" w:themeColor="text1"/>
              </w:rPr>
            </w:pPr>
            <w:r>
              <w:rPr>
                <w:rFonts w:ascii="仿宋_GB2312" w:hAnsi="等线" w:cs="仿宋_GB2312" w:hint="eastAsia"/>
                <w:color w:val="000000" w:themeColor="text1"/>
                <w:kern w:val="0"/>
                <w:lang w:bidi="ar"/>
              </w:rPr>
              <w:t>固定管理费率（年化）</w:t>
            </w:r>
          </w:p>
        </w:tc>
        <w:tc>
          <w:tcPr>
            <w:tcW w:w="6972" w:type="dxa"/>
            <w:tcBorders>
              <w:top w:val="single" w:sz="4" w:space="0" w:color="auto"/>
              <w:left w:val="single" w:sz="4" w:space="0" w:color="auto"/>
              <w:bottom w:val="single" w:sz="4" w:space="0" w:color="auto"/>
              <w:right w:val="single" w:sz="4" w:space="0" w:color="auto"/>
            </w:tcBorders>
            <w:vAlign w:val="center"/>
          </w:tcPr>
          <w:p w14:paraId="5DB1DF66" w14:textId="77777777" w:rsidR="00D8530A" w:rsidRDefault="00000000">
            <w:pPr>
              <w:widowControl/>
              <w:spacing w:line="400" w:lineRule="exact"/>
              <w:jc w:val="left"/>
              <w:textAlignment w:val="center"/>
              <w:rPr>
                <w:rFonts w:ascii="仿宋_GB2312" w:hAnsi="仿宋_GB2312" w:cs="仿宋_GB2312" w:hint="eastAsia"/>
                <w:bCs/>
                <w:color w:val="000000" w:themeColor="text1"/>
              </w:rPr>
            </w:pPr>
            <w:r>
              <w:rPr>
                <w:rFonts w:ascii="仿宋_GB2312" w:hAnsi="仿宋_GB2312" w:cs="仿宋_GB2312" w:hint="eastAsia"/>
                <w:szCs w:val="24"/>
                <w:lang w:bidi="ar"/>
              </w:rPr>
              <w:t>0.30%</w:t>
            </w:r>
          </w:p>
        </w:tc>
      </w:tr>
      <w:tr w:rsidR="00D8530A" w14:paraId="2A124667" w14:textId="77777777">
        <w:trPr>
          <w:trHeight w:val="810"/>
        </w:trPr>
        <w:tc>
          <w:tcPr>
            <w:tcW w:w="2453" w:type="dxa"/>
            <w:tcBorders>
              <w:top w:val="single" w:sz="4" w:space="0" w:color="auto"/>
              <w:left w:val="single" w:sz="4" w:space="0" w:color="auto"/>
              <w:bottom w:val="single" w:sz="4" w:space="0" w:color="auto"/>
              <w:right w:val="single" w:sz="4" w:space="0" w:color="auto"/>
            </w:tcBorders>
            <w:vAlign w:val="center"/>
          </w:tcPr>
          <w:p w14:paraId="67B291D9" w14:textId="77777777" w:rsidR="00D8530A" w:rsidRDefault="00000000">
            <w:pPr>
              <w:widowControl/>
              <w:spacing w:line="400" w:lineRule="exact"/>
              <w:jc w:val="center"/>
              <w:textAlignment w:val="center"/>
              <w:rPr>
                <w:rFonts w:ascii="仿宋_GB2312" w:hAnsi="等线" w:cs="仿宋_GB2312" w:hint="eastAsia"/>
                <w:color w:val="000000" w:themeColor="text1"/>
              </w:rPr>
            </w:pPr>
            <w:r>
              <w:rPr>
                <w:rFonts w:ascii="仿宋_GB2312" w:hAnsi="等线" w:cs="仿宋_GB2312" w:hint="eastAsia"/>
                <w:color w:val="000000" w:themeColor="text1"/>
                <w:kern w:val="0"/>
                <w:lang w:bidi="ar"/>
              </w:rPr>
              <w:t>浮动管理费</w:t>
            </w:r>
          </w:p>
        </w:tc>
        <w:tc>
          <w:tcPr>
            <w:tcW w:w="6972" w:type="dxa"/>
            <w:tcBorders>
              <w:top w:val="single" w:sz="4" w:space="0" w:color="auto"/>
              <w:left w:val="single" w:sz="4" w:space="0" w:color="auto"/>
              <w:bottom w:val="single" w:sz="4" w:space="0" w:color="auto"/>
              <w:right w:val="single" w:sz="4" w:space="0" w:color="auto"/>
            </w:tcBorders>
            <w:vAlign w:val="center"/>
          </w:tcPr>
          <w:p w14:paraId="59A434A1" w14:textId="77777777" w:rsidR="00D8530A" w:rsidRDefault="00000000">
            <w:pPr>
              <w:widowControl/>
              <w:spacing w:line="400" w:lineRule="exact"/>
              <w:jc w:val="left"/>
              <w:textAlignment w:val="center"/>
              <w:rPr>
                <w:rFonts w:ascii="宋体" w:hAnsi="宋体" w:hint="eastAsia"/>
                <w:b/>
                <w:szCs w:val="24"/>
              </w:rPr>
            </w:pPr>
            <w:r>
              <w:rPr>
                <w:rFonts w:ascii="宋体" w:hAnsi="宋体" w:hint="eastAsia"/>
                <w:b/>
                <w:szCs w:val="24"/>
              </w:rPr>
              <w:t>1.</w:t>
            </w:r>
            <w:proofErr w:type="gramStart"/>
            <w:r>
              <w:rPr>
                <w:rFonts w:ascii="宋体" w:hAnsi="宋体" w:hint="eastAsia"/>
                <w:b/>
                <w:szCs w:val="24"/>
              </w:rPr>
              <w:t>☑</w:t>
            </w:r>
            <w:r>
              <w:rPr>
                <w:rFonts w:ascii="宋体" w:hAnsi="宋体" w:hint="eastAsia"/>
                <w:b/>
                <w:szCs w:val="24"/>
              </w:rPr>
              <w:t xml:space="preserve"> </w:t>
            </w:r>
            <w:r>
              <w:rPr>
                <w:rFonts w:ascii="宋体" w:hAnsi="宋体" w:hint="eastAsia"/>
                <w:b/>
                <w:szCs w:val="24"/>
              </w:rPr>
              <w:t>产品</w:t>
            </w:r>
            <w:proofErr w:type="gramEnd"/>
            <w:r>
              <w:rPr>
                <w:rFonts w:ascii="宋体" w:hAnsi="宋体" w:hint="eastAsia"/>
                <w:b/>
                <w:szCs w:val="24"/>
              </w:rPr>
              <w:t>管理人设置浮动管理费</w:t>
            </w:r>
          </w:p>
          <w:p w14:paraId="006064A6" w14:textId="77777777" w:rsidR="00D8530A" w:rsidRDefault="00000000">
            <w:pPr>
              <w:tabs>
                <w:tab w:val="left" w:pos="312"/>
              </w:tabs>
              <w:snapToGrid w:val="0"/>
              <w:rPr>
                <w:rFonts w:ascii="宋体" w:hAnsi="宋体" w:hint="eastAsia"/>
                <w:b/>
                <w:szCs w:val="24"/>
              </w:rPr>
            </w:pPr>
            <w:r>
              <w:rPr>
                <w:rFonts w:ascii="宋体" w:hAnsi="宋体" w:hint="eastAsia"/>
                <w:b/>
                <w:szCs w:val="24"/>
              </w:rPr>
              <w:t>在浮动管理费计提日时，若理财资产扣除销售服务费、产品托管费和投资管理费等相关费用和税收后，浮动管理费计提日产品份额净值折算的当前年化收益率超过当前浮动管理费计提基准，则产品管理人计提超出部分的【</w:t>
            </w:r>
            <w:r>
              <w:rPr>
                <w:rFonts w:ascii="宋体" w:hAnsi="宋体" w:hint="eastAsia"/>
                <w:b/>
                <w:szCs w:val="24"/>
              </w:rPr>
              <w:t>50%</w:t>
            </w:r>
            <w:r>
              <w:rPr>
                <w:rFonts w:ascii="宋体" w:hAnsi="宋体" w:hint="eastAsia"/>
                <w:b/>
                <w:szCs w:val="24"/>
              </w:rPr>
              <w:t>】作为浮动管理费。</w:t>
            </w:r>
          </w:p>
          <w:p w14:paraId="09911092" w14:textId="77777777" w:rsidR="00D8530A" w:rsidRDefault="00000000">
            <w:pPr>
              <w:widowControl/>
              <w:spacing w:line="400" w:lineRule="exact"/>
              <w:jc w:val="left"/>
              <w:textAlignment w:val="center"/>
              <w:rPr>
                <w:rFonts w:ascii="宋体" w:hAnsi="宋体" w:hint="eastAsia"/>
                <w:b/>
                <w:szCs w:val="24"/>
              </w:rPr>
            </w:pPr>
            <w:r>
              <w:rPr>
                <w:rFonts w:ascii="宋体" w:hAnsi="宋体" w:hint="eastAsia"/>
                <w:b/>
                <w:szCs w:val="24"/>
              </w:rPr>
              <w:t>浮动管理费计提基准：</w:t>
            </w:r>
          </w:p>
          <w:p w14:paraId="6F75B6BD" w14:textId="77777777" w:rsidR="00D8530A" w:rsidRDefault="00000000">
            <w:pPr>
              <w:widowControl/>
              <w:tabs>
                <w:tab w:val="left" w:pos="312"/>
              </w:tabs>
              <w:jc w:val="left"/>
              <w:rPr>
                <w:rFonts w:ascii="宋体" w:hAnsi="宋体" w:hint="eastAsia"/>
                <w:b/>
                <w:szCs w:val="24"/>
              </w:rPr>
            </w:pPr>
            <w:r>
              <w:rPr>
                <w:rFonts w:ascii="宋体" w:hAnsi="宋体" w:hint="eastAsia"/>
                <w:b/>
                <w:szCs w:val="24"/>
              </w:rPr>
              <w:t>年化【</w:t>
            </w:r>
            <w:r>
              <w:rPr>
                <w:rFonts w:ascii="宋体" w:hAnsi="宋体" w:hint="eastAsia"/>
                <w:b/>
                <w:szCs w:val="24"/>
              </w:rPr>
              <w:t>2.70%</w:t>
            </w:r>
            <w:r>
              <w:rPr>
                <w:rFonts w:ascii="宋体" w:hAnsi="宋体" w:hint="eastAsia"/>
                <w:b/>
                <w:szCs w:val="24"/>
              </w:rPr>
              <w:t>】（适用【</w:t>
            </w:r>
            <w:r>
              <w:rPr>
                <w:rFonts w:ascii="宋体" w:hAnsi="宋体" w:hint="eastAsia"/>
                <w:b/>
                <w:szCs w:val="24"/>
              </w:rPr>
              <w:t>A</w:t>
            </w:r>
            <w:r>
              <w:rPr>
                <w:rFonts w:ascii="宋体" w:hAnsi="宋体" w:hint="eastAsia"/>
                <w:b/>
                <w:szCs w:val="24"/>
              </w:rPr>
              <w:t>】类份额）</w:t>
            </w:r>
          </w:p>
          <w:p w14:paraId="31B01DC4" w14:textId="77777777" w:rsidR="00D8530A" w:rsidRDefault="00000000">
            <w:pPr>
              <w:widowControl/>
              <w:tabs>
                <w:tab w:val="left" w:pos="312"/>
              </w:tabs>
              <w:jc w:val="left"/>
              <w:rPr>
                <w:rFonts w:ascii="宋体" w:hAnsi="宋体" w:hint="eastAsia"/>
                <w:b/>
                <w:szCs w:val="24"/>
              </w:rPr>
            </w:pPr>
            <w:r>
              <w:rPr>
                <w:rFonts w:ascii="宋体" w:hAnsi="宋体" w:hint="eastAsia"/>
                <w:b/>
                <w:szCs w:val="24"/>
              </w:rPr>
              <w:t>年化【</w:t>
            </w:r>
            <w:r>
              <w:rPr>
                <w:rFonts w:ascii="宋体" w:hAnsi="宋体" w:hint="eastAsia"/>
                <w:b/>
                <w:szCs w:val="24"/>
              </w:rPr>
              <w:t>2.65%</w:t>
            </w:r>
            <w:r>
              <w:rPr>
                <w:rFonts w:ascii="宋体" w:hAnsi="宋体" w:hint="eastAsia"/>
                <w:b/>
                <w:szCs w:val="24"/>
              </w:rPr>
              <w:t>】（适用【</w:t>
            </w:r>
            <w:r>
              <w:rPr>
                <w:rFonts w:ascii="宋体" w:hAnsi="宋体" w:hint="eastAsia"/>
                <w:b/>
                <w:szCs w:val="24"/>
              </w:rPr>
              <w:t>B</w:t>
            </w:r>
            <w:r>
              <w:rPr>
                <w:rFonts w:ascii="宋体" w:hAnsi="宋体" w:hint="eastAsia"/>
                <w:b/>
                <w:szCs w:val="24"/>
              </w:rPr>
              <w:t>】类份额）</w:t>
            </w:r>
          </w:p>
          <w:p w14:paraId="6AD9826D" w14:textId="77777777" w:rsidR="00D8530A" w:rsidRDefault="00000000">
            <w:pPr>
              <w:widowControl/>
              <w:tabs>
                <w:tab w:val="left" w:pos="312"/>
              </w:tabs>
              <w:jc w:val="left"/>
              <w:rPr>
                <w:rFonts w:ascii="宋体" w:hAnsi="宋体" w:hint="eastAsia"/>
                <w:b/>
                <w:szCs w:val="24"/>
              </w:rPr>
            </w:pPr>
            <w:r>
              <w:rPr>
                <w:rFonts w:ascii="宋体" w:hAnsi="宋体" w:hint="eastAsia"/>
                <w:b/>
                <w:szCs w:val="24"/>
              </w:rPr>
              <w:t>年化【</w:t>
            </w:r>
            <w:r>
              <w:rPr>
                <w:rFonts w:ascii="宋体" w:hAnsi="宋体" w:hint="eastAsia"/>
                <w:b/>
                <w:szCs w:val="24"/>
              </w:rPr>
              <w:t>2.60%</w:t>
            </w:r>
            <w:r>
              <w:rPr>
                <w:rFonts w:ascii="宋体" w:hAnsi="宋体" w:hint="eastAsia"/>
                <w:b/>
                <w:szCs w:val="24"/>
              </w:rPr>
              <w:t>】（适用【</w:t>
            </w:r>
            <w:r>
              <w:rPr>
                <w:rFonts w:ascii="宋体" w:hAnsi="宋体" w:hint="eastAsia"/>
                <w:b/>
                <w:szCs w:val="24"/>
              </w:rPr>
              <w:t>C</w:t>
            </w:r>
            <w:r>
              <w:rPr>
                <w:rFonts w:ascii="宋体" w:hAnsi="宋体" w:hint="eastAsia"/>
                <w:b/>
                <w:szCs w:val="24"/>
              </w:rPr>
              <w:t>】类份额）</w:t>
            </w:r>
          </w:p>
          <w:p w14:paraId="6936F2E0" w14:textId="77777777" w:rsidR="00D8530A" w:rsidRDefault="00000000">
            <w:pPr>
              <w:widowControl/>
              <w:tabs>
                <w:tab w:val="left" w:pos="312"/>
              </w:tabs>
              <w:jc w:val="left"/>
              <w:rPr>
                <w:rFonts w:ascii="宋体" w:hAnsi="宋体" w:hint="eastAsia"/>
                <w:b/>
                <w:szCs w:val="24"/>
              </w:rPr>
            </w:pPr>
            <w:r>
              <w:rPr>
                <w:rFonts w:ascii="宋体" w:hAnsi="宋体" w:hint="eastAsia"/>
                <w:b/>
                <w:szCs w:val="24"/>
              </w:rPr>
              <w:t>年化【</w:t>
            </w:r>
            <w:r>
              <w:rPr>
                <w:rFonts w:ascii="宋体" w:hAnsi="宋体" w:hint="eastAsia"/>
                <w:b/>
                <w:szCs w:val="24"/>
              </w:rPr>
              <w:t>2.55%</w:t>
            </w:r>
            <w:r>
              <w:rPr>
                <w:rFonts w:ascii="宋体" w:hAnsi="宋体" w:hint="eastAsia"/>
                <w:b/>
                <w:szCs w:val="24"/>
              </w:rPr>
              <w:t>】（适用【</w:t>
            </w:r>
            <w:r>
              <w:rPr>
                <w:rFonts w:ascii="宋体" w:hAnsi="宋体" w:hint="eastAsia"/>
                <w:b/>
                <w:szCs w:val="24"/>
              </w:rPr>
              <w:t>D</w:t>
            </w:r>
            <w:r>
              <w:rPr>
                <w:rFonts w:ascii="宋体" w:hAnsi="宋体" w:hint="eastAsia"/>
                <w:b/>
                <w:szCs w:val="24"/>
              </w:rPr>
              <w:t>】类份额）</w:t>
            </w:r>
          </w:p>
          <w:p w14:paraId="52487EBA" w14:textId="77777777" w:rsidR="00D8530A" w:rsidRDefault="00000000">
            <w:pPr>
              <w:widowControl/>
              <w:tabs>
                <w:tab w:val="left" w:pos="312"/>
              </w:tabs>
              <w:jc w:val="left"/>
              <w:rPr>
                <w:rFonts w:ascii="宋体" w:hAnsi="宋体" w:hint="eastAsia"/>
                <w:b/>
                <w:szCs w:val="24"/>
              </w:rPr>
            </w:pPr>
            <w:r>
              <w:rPr>
                <w:rFonts w:ascii="宋体" w:hAnsi="宋体" w:hint="eastAsia"/>
                <w:b/>
                <w:szCs w:val="24"/>
              </w:rPr>
              <w:t>年化【</w:t>
            </w:r>
            <w:r>
              <w:rPr>
                <w:rFonts w:ascii="宋体" w:hAnsi="宋体" w:hint="eastAsia"/>
                <w:b/>
                <w:szCs w:val="24"/>
              </w:rPr>
              <w:t>2.50%</w:t>
            </w:r>
            <w:r>
              <w:rPr>
                <w:rFonts w:ascii="宋体" w:hAnsi="宋体" w:hint="eastAsia"/>
                <w:b/>
                <w:szCs w:val="24"/>
              </w:rPr>
              <w:t>】（适用【</w:t>
            </w:r>
            <w:r>
              <w:rPr>
                <w:rFonts w:ascii="宋体" w:hAnsi="宋体" w:hint="eastAsia"/>
                <w:b/>
                <w:szCs w:val="24"/>
              </w:rPr>
              <w:t>E</w:t>
            </w:r>
            <w:r>
              <w:rPr>
                <w:rFonts w:ascii="宋体" w:hAnsi="宋体" w:hint="eastAsia"/>
                <w:b/>
                <w:szCs w:val="24"/>
              </w:rPr>
              <w:t>】类份额）</w:t>
            </w:r>
          </w:p>
          <w:p w14:paraId="3D180023" w14:textId="77777777" w:rsidR="00D8530A" w:rsidRDefault="00000000">
            <w:pPr>
              <w:widowControl/>
              <w:tabs>
                <w:tab w:val="left" w:pos="312"/>
              </w:tabs>
              <w:jc w:val="left"/>
              <w:rPr>
                <w:rFonts w:ascii="宋体" w:hAnsi="宋体" w:hint="eastAsia"/>
                <w:b/>
                <w:szCs w:val="24"/>
              </w:rPr>
            </w:pPr>
            <w:r>
              <w:rPr>
                <w:rFonts w:ascii="宋体" w:hAnsi="宋体" w:hint="eastAsia"/>
                <w:b/>
                <w:szCs w:val="24"/>
              </w:rPr>
              <w:lastRenderedPageBreak/>
              <w:t>年化【</w:t>
            </w:r>
            <w:r>
              <w:rPr>
                <w:rFonts w:ascii="宋体" w:hAnsi="宋体" w:hint="eastAsia"/>
                <w:b/>
                <w:szCs w:val="24"/>
              </w:rPr>
              <w:t>2.55%</w:t>
            </w:r>
            <w:r>
              <w:rPr>
                <w:rFonts w:ascii="宋体" w:hAnsi="宋体" w:hint="eastAsia"/>
                <w:b/>
                <w:szCs w:val="24"/>
              </w:rPr>
              <w:t>】（适用【</w:t>
            </w:r>
            <w:r>
              <w:rPr>
                <w:rFonts w:ascii="宋体" w:hAnsi="宋体" w:hint="eastAsia"/>
                <w:b/>
                <w:szCs w:val="24"/>
              </w:rPr>
              <w:t>F</w:t>
            </w:r>
            <w:r>
              <w:rPr>
                <w:rFonts w:ascii="宋体" w:hAnsi="宋体" w:hint="eastAsia"/>
                <w:b/>
                <w:szCs w:val="24"/>
              </w:rPr>
              <w:t>】类份额）</w:t>
            </w:r>
          </w:p>
          <w:p w14:paraId="3766662B" w14:textId="77777777" w:rsidR="00D8530A" w:rsidRDefault="00000000">
            <w:pPr>
              <w:widowControl/>
              <w:tabs>
                <w:tab w:val="left" w:pos="312"/>
              </w:tabs>
              <w:jc w:val="left"/>
              <w:rPr>
                <w:rFonts w:ascii="宋体" w:hAnsi="宋体" w:hint="eastAsia"/>
                <w:b/>
                <w:szCs w:val="24"/>
              </w:rPr>
            </w:pPr>
            <w:r>
              <w:rPr>
                <w:rFonts w:ascii="宋体" w:hAnsi="宋体" w:hint="eastAsia"/>
                <w:b/>
                <w:szCs w:val="24"/>
              </w:rPr>
              <w:t>年化【</w:t>
            </w:r>
            <w:r>
              <w:rPr>
                <w:rFonts w:ascii="宋体" w:hAnsi="宋体" w:hint="eastAsia"/>
                <w:b/>
                <w:szCs w:val="24"/>
              </w:rPr>
              <w:t>2.50%</w:t>
            </w:r>
            <w:r>
              <w:rPr>
                <w:rFonts w:ascii="宋体" w:hAnsi="宋体" w:hint="eastAsia"/>
                <w:b/>
                <w:szCs w:val="24"/>
              </w:rPr>
              <w:t>】（适用【</w:t>
            </w:r>
            <w:r>
              <w:rPr>
                <w:rFonts w:ascii="宋体" w:hAnsi="宋体" w:hint="eastAsia"/>
                <w:b/>
                <w:szCs w:val="24"/>
              </w:rPr>
              <w:t>G</w:t>
            </w:r>
            <w:r>
              <w:rPr>
                <w:rFonts w:ascii="宋体" w:hAnsi="宋体" w:hint="eastAsia"/>
                <w:b/>
                <w:szCs w:val="24"/>
              </w:rPr>
              <w:t>】类份额）</w:t>
            </w:r>
          </w:p>
          <w:p w14:paraId="19CAC5C7" w14:textId="77777777" w:rsidR="00D8530A" w:rsidRDefault="00000000">
            <w:pPr>
              <w:widowControl/>
              <w:tabs>
                <w:tab w:val="left" w:pos="312"/>
              </w:tabs>
              <w:jc w:val="left"/>
              <w:rPr>
                <w:rFonts w:ascii="宋体" w:hAnsi="宋体" w:hint="eastAsia"/>
                <w:b/>
                <w:szCs w:val="24"/>
              </w:rPr>
            </w:pPr>
            <w:r>
              <w:rPr>
                <w:rFonts w:ascii="宋体" w:hAnsi="宋体" w:hint="eastAsia"/>
                <w:b/>
                <w:szCs w:val="24"/>
              </w:rPr>
              <w:t>年化【</w:t>
            </w:r>
            <w:r>
              <w:rPr>
                <w:rFonts w:ascii="宋体" w:hAnsi="宋体" w:hint="eastAsia"/>
                <w:b/>
                <w:szCs w:val="24"/>
              </w:rPr>
              <w:t>2.60%</w:t>
            </w:r>
            <w:r>
              <w:rPr>
                <w:rFonts w:ascii="宋体" w:hAnsi="宋体" w:hint="eastAsia"/>
                <w:b/>
                <w:szCs w:val="24"/>
              </w:rPr>
              <w:t>】（适用【</w:t>
            </w:r>
            <w:r>
              <w:rPr>
                <w:rFonts w:ascii="宋体" w:hAnsi="宋体" w:hint="eastAsia"/>
                <w:b/>
                <w:szCs w:val="24"/>
              </w:rPr>
              <w:t>H</w:t>
            </w:r>
            <w:r>
              <w:rPr>
                <w:rFonts w:ascii="宋体" w:hAnsi="宋体" w:hint="eastAsia"/>
                <w:b/>
                <w:szCs w:val="24"/>
              </w:rPr>
              <w:t>】类份额）</w:t>
            </w:r>
          </w:p>
          <w:p w14:paraId="25CECEE6" w14:textId="77777777" w:rsidR="00D8530A" w:rsidRDefault="00000000">
            <w:pPr>
              <w:widowControl/>
              <w:tabs>
                <w:tab w:val="left" w:pos="312"/>
              </w:tabs>
              <w:jc w:val="left"/>
              <w:rPr>
                <w:rFonts w:ascii="宋体" w:hAnsi="宋体" w:hint="eastAsia"/>
                <w:b/>
                <w:szCs w:val="24"/>
              </w:rPr>
            </w:pPr>
            <w:proofErr w:type="gramStart"/>
            <w:r>
              <w:rPr>
                <w:rFonts w:ascii="宋体" w:hAnsi="宋体" w:hint="eastAsia"/>
                <w:b/>
                <w:szCs w:val="24"/>
              </w:rPr>
              <w:t>□</w:t>
            </w:r>
            <w:r>
              <w:rPr>
                <w:rFonts w:ascii="宋体" w:hAnsi="宋体" w:hint="eastAsia"/>
                <w:b/>
                <w:szCs w:val="24"/>
              </w:rPr>
              <w:t xml:space="preserve"> </w:t>
            </w:r>
            <w:r>
              <w:rPr>
                <w:rFonts w:ascii="宋体" w:hAnsi="宋体" w:hint="eastAsia"/>
                <w:b/>
                <w:szCs w:val="24"/>
              </w:rPr>
              <w:t>产品</w:t>
            </w:r>
            <w:proofErr w:type="gramEnd"/>
            <w:r>
              <w:rPr>
                <w:rFonts w:ascii="宋体" w:hAnsi="宋体" w:hint="eastAsia"/>
                <w:b/>
                <w:szCs w:val="24"/>
              </w:rPr>
              <w:t>管理人不设浮动管理费</w:t>
            </w:r>
          </w:p>
          <w:p w14:paraId="18197AB6" w14:textId="77777777" w:rsidR="00D8530A" w:rsidRDefault="00000000">
            <w:pPr>
              <w:widowControl/>
              <w:spacing w:line="400" w:lineRule="exact"/>
              <w:jc w:val="left"/>
              <w:textAlignment w:val="center"/>
              <w:rPr>
                <w:rFonts w:ascii="宋体" w:hAnsi="宋体" w:hint="eastAsia"/>
                <w:b/>
                <w:szCs w:val="24"/>
              </w:rPr>
            </w:pPr>
            <w:r>
              <w:rPr>
                <w:rFonts w:ascii="宋体" w:hAnsi="宋体" w:hint="eastAsia"/>
                <w:b/>
                <w:szCs w:val="24"/>
              </w:rPr>
              <w:t>2.</w:t>
            </w:r>
            <w:r>
              <w:rPr>
                <w:rFonts w:ascii="宋体" w:hAnsi="宋体" w:hint="eastAsia"/>
                <w:b/>
                <w:szCs w:val="24"/>
              </w:rPr>
              <w:t>浮动管理费计提基准的提示：</w:t>
            </w:r>
          </w:p>
          <w:p w14:paraId="6BE1DA16" w14:textId="77777777" w:rsidR="00D8530A" w:rsidRDefault="00000000">
            <w:pPr>
              <w:widowControl/>
              <w:spacing w:line="400" w:lineRule="exact"/>
              <w:jc w:val="left"/>
              <w:textAlignment w:val="center"/>
              <w:rPr>
                <w:rFonts w:ascii="宋体" w:hAnsi="宋体" w:hint="eastAsia"/>
                <w:b/>
                <w:szCs w:val="24"/>
              </w:rPr>
            </w:pPr>
            <w:r>
              <w:rPr>
                <w:rFonts w:ascii="宋体" w:hAnsi="宋体" w:hint="eastAsia"/>
                <w:b/>
                <w:szCs w:val="24"/>
              </w:rPr>
              <w:t>（</w:t>
            </w:r>
            <w:r>
              <w:rPr>
                <w:rFonts w:ascii="宋体" w:hAnsi="宋体" w:hint="eastAsia"/>
                <w:b/>
                <w:szCs w:val="24"/>
              </w:rPr>
              <w:t>1</w:t>
            </w:r>
            <w:r>
              <w:rPr>
                <w:rFonts w:ascii="宋体" w:hAnsi="宋体" w:hint="eastAsia"/>
                <w:b/>
                <w:szCs w:val="24"/>
              </w:rPr>
              <w:t>）浮动管理费计提基准仅作为管理人计算浮动管理费的参照标准。浮动管理费计提基准不是预期收益率，不代表产品的未来表现和实际收益，不构成对产品收益的承诺。</w:t>
            </w:r>
          </w:p>
          <w:p w14:paraId="3118A4C4" w14:textId="77777777" w:rsidR="00D8530A" w:rsidRDefault="00000000">
            <w:pPr>
              <w:widowControl/>
              <w:spacing w:line="400" w:lineRule="exact"/>
              <w:jc w:val="left"/>
              <w:textAlignment w:val="center"/>
              <w:rPr>
                <w:rFonts w:ascii="仿宋" w:eastAsia="仿宋" w:hAnsi="仿宋" w:cs="宋体" w:hint="eastAsia"/>
                <w:bCs/>
                <w:color w:val="000000" w:themeColor="text1"/>
                <w:kern w:val="0"/>
                <w:lang w:bidi="ar"/>
              </w:rPr>
            </w:pPr>
            <w:r>
              <w:rPr>
                <w:rFonts w:ascii="宋体" w:hAnsi="宋体" w:hint="eastAsia"/>
                <w:b/>
                <w:szCs w:val="24"/>
              </w:rPr>
              <w:t>（</w:t>
            </w:r>
            <w:r>
              <w:rPr>
                <w:rFonts w:ascii="宋体" w:hAnsi="宋体" w:hint="eastAsia"/>
                <w:b/>
                <w:szCs w:val="24"/>
              </w:rPr>
              <w:t>2</w:t>
            </w:r>
            <w:r>
              <w:rPr>
                <w:rFonts w:ascii="宋体" w:hAnsi="宋体" w:hint="eastAsia"/>
                <w:b/>
                <w:szCs w:val="24"/>
              </w:rPr>
              <w:t>）如果法律法规、</w:t>
            </w:r>
            <w:r>
              <w:rPr>
                <w:rFonts w:ascii="宋体" w:hAnsi="宋体"/>
                <w:b/>
                <w:szCs w:val="24"/>
              </w:rPr>
              <w:t>国家政策</w:t>
            </w:r>
            <w:r>
              <w:rPr>
                <w:rFonts w:ascii="宋体" w:hAnsi="宋体" w:hint="eastAsia"/>
                <w:b/>
                <w:szCs w:val="24"/>
              </w:rPr>
              <w:t>发生变化，或者有其他代表性更强、更科学客观的浮动管理费计提基准适用于本产品时，经产品管理人和产品托管人协商一致后，本产品可以调整浮动管理费计提基准并及时公告。</w:t>
            </w:r>
          </w:p>
        </w:tc>
      </w:tr>
      <w:tr w:rsidR="00D8530A" w14:paraId="509F343B" w14:textId="77777777">
        <w:trPr>
          <w:trHeight w:val="540"/>
        </w:trPr>
        <w:tc>
          <w:tcPr>
            <w:tcW w:w="2453" w:type="dxa"/>
            <w:tcBorders>
              <w:top w:val="single" w:sz="4" w:space="0" w:color="auto"/>
              <w:left w:val="single" w:sz="4" w:space="0" w:color="auto"/>
              <w:bottom w:val="single" w:sz="4" w:space="0" w:color="auto"/>
              <w:right w:val="single" w:sz="4" w:space="0" w:color="auto"/>
            </w:tcBorders>
            <w:vAlign w:val="center"/>
          </w:tcPr>
          <w:p w14:paraId="1A23A3B4" w14:textId="77777777" w:rsidR="00D8530A" w:rsidRDefault="00000000">
            <w:pPr>
              <w:widowControl/>
              <w:spacing w:line="400" w:lineRule="exact"/>
              <w:jc w:val="center"/>
              <w:textAlignment w:val="center"/>
              <w:rPr>
                <w:rFonts w:ascii="仿宋_GB2312" w:hAnsi="等线" w:cs="仿宋_GB2312" w:hint="eastAsia"/>
                <w:color w:val="000000" w:themeColor="text1"/>
              </w:rPr>
            </w:pPr>
            <w:r>
              <w:rPr>
                <w:rFonts w:ascii="仿宋_GB2312" w:hAnsi="等线" w:cs="仿宋_GB2312" w:hint="eastAsia"/>
                <w:color w:val="000000" w:themeColor="text1"/>
                <w:kern w:val="0"/>
                <w:lang w:bidi="ar"/>
              </w:rPr>
              <w:lastRenderedPageBreak/>
              <w:t>认购费率</w:t>
            </w:r>
          </w:p>
        </w:tc>
        <w:tc>
          <w:tcPr>
            <w:tcW w:w="6972" w:type="dxa"/>
            <w:tcBorders>
              <w:top w:val="single" w:sz="4" w:space="0" w:color="auto"/>
              <w:left w:val="single" w:sz="4" w:space="0" w:color="auto"/>
              <w:bottom w:val="single" w:sz="4" w:space="0" w:color="auto"/>
              <w:right w:val="single" w:sz="4" w:space="0" w:color="auto"/>
            </w:tcBorders>
            <w:vAlign w:val="center"/>
          </w:tcPr>
          <w:p w14:paraId="644BF267" w14:textId="77777777" w:rsidR="00D8530A" w:rsidRDefault="00000000">
            <w:pPr>
              <w:widowControl/>
              <w:spacing w:line="400" w:lineRule="exact"/>
              <w:jc w:val="left"/>
              <w:textAlignment w:val="center"/>
              <w:rPr>
                <w:rFonts w:ascii="仿宋_GB2312" w:hAnsi="等线" w:cs="仿宋_GB2312" w:hint="eastAsia"/>
                <w:bCs/>
                <w:color w:val="000000" w:themeColor="text1"/>
              </w:rPr>
            </w:pPr>
            <w:r>
              <w:rPr>
                <w:rFonts w:ascii="宋体" w:hAnsi="宋体" w:hint="eastAsia"/>
                <w:b/>
                <w:szCs w:val="24"/>
              </w:rPr>
              <w:t>/</w:t>
            </w:r>
          </w:p>
        </w:tc>
      </w:tr>
      <w:tr w:rsidR="00D8530A" w14:paraId="4B9ADE86" w14:textId="77777777">
        <w:trPr>
          <w:trHeight w:val="540"/>
        </w:trPr>
        <w:tc>
          <w:tcPr>
            <w:tcW w:w="2453" w:type="dxa"/>
            <w:tcBorders>
              <w:top w:val="single" w:sz="4" w:space="0" w:color="auto"/>
              <w:left w:val="single" w:sz="4" w:space="0" w:color="auto"/>
              <w:bottom w:val="single" w:sz="4" w:space="0" w:color="auto"/>
              <w:right w:val="single" w:sz="4" w:space="0" w:color="auto"/>
            </w:tcBorders>
            <w:vAlign w:val="center"/>
          </w:tcPr>
          <w:p w14:paraId="06A39AF9" w14:textId="77777777" w:rsidR="00D8530A" w:rsidRDefault="00000000">
            <w:pPr>
              <w:widowControl/>
              <w:spacing w:line="400" w:lineRule="exact"/>
              <w:jc w:val="center"/>
              <w:textAlignment w:val="center"/>
              <w:rPr>
                <w:rFonts w:ascii="仿宋_GB2312" w:hAnsi="等线" w:cs="仿宋_GB2312" w:hint="eastAsia"/>
                <w:color w:val="000000" w:themeColor="text1"/>
              </w:rPr>
            </w:pPr>
            <w:r>
              <w:rPr>
                <w:rFonts w:ascii="仿宋_GB2312" w:hAnsi="等线" w:cs="仿宋_GB2312" w:hint="eastAsia"/>
                <w:color w:val="000000" w:themeColor="text1"/>
                <w:kern w:val="0"/>
                <w:lang w:bidi="ar"/>
              </w:rPr>
              <w:t>申购费率</w:t>
            </w:r>
          </w:p>
        </w:tc>
        <w:tc>
          <w:tcPr>
            <w:tcW w:w="6972" w:type="dxa"/>
            <w:tcBorders>
              <w:top w:val="single" w:sz="4" w:space="0" w:color="auto"/>
              <w:left w:val="single" w:sz="4" w:space="0" w:color="auto"/>
              <w:bottom w:val="single" w:sz="4" w:space="0" w:color="auto"/>
              <w:right w:val="single" w:sz="4" w:space="0" w:color="auto"/>
            </w:tcBorders>
            <w:vAlign w:val="center"/>
          </w:tcPr>
          <w:p w14:paraId="4D7CE646" w14:textId="77777777" w:rsidR="00D8530A" w:rsidRDefault="00000000">
            <w:pPr>
              <w:widowControl/>
              <w:spacing w:line="400" w:lineRule="exact"/>
              <w:jc w:val="left"/>
              <w:textAlignment w:val="center"/>
              <w:rPr>
                <w:rFonts w:ascii="仿宋_GB2312" w:hAnsi="等线" w:cs="仿宋_GB2312" w:hint="eastAsia"/>
                <w:bCs/>
                <w:color w:val="000000" w:themeColor="text1"/>
              </w:rPr>
            </w:pPr>
            <w:r>
              <w:rPr>
                <w:rFonts w:ascii="宋体" w:hAnsi="宋体" w:hint="eastAsia"/>
                <w:b/>
                <w:szCs w:val="24"/>
              </w:rPr>
              <w:t>/</w:t>
            </w:r>
          </w:p>
        </w:tc>
      </w:tr>
      <w:tr w:rsidR="00D8530A" w14:paraId="5E5C6BB3" w14:textId="77777777">
        <w:trPr>
          <w:trHeight w:val="540"/>
        </w:trPr>
        <w:tc>
          <w:tcPr>
            <w:tcW w:w="2453" w:type="dxa"/>
            <w:tcBorders>
              <w:top w:val="single" w:sz="4" w:space="0" w:color="auto"/>
              <w:left w:val="single" w:sz="4" w:space="0" w:color="auto"/>
              <w:bottom w:val="single" w:sz="4" w:space="0" w:color="auto"/>
              <w:right w:val="single" w:sz="4" w:space="0" w:color="auto"/>
            </w:tcBorders>
            <w:vAlign w:val="center"/>
          </w:tcPr>
          <w:p w14:paraId="0F57A562" w14:textId="77777777" w:rsidR="00D8530A" w:rsidRDefault="00000000">
            <w:pPr>
              <w:widowControl/>
              <w:spacing w:line="400" w:lineRule="exact"/>
              <w:jc w:val="center"/>
              <w:textAlignment w:val="center"/>
              <w:rPr>
                <w:rFonts w:ascii="仿宋_GB2312" w:hAnsi="等线" w:cs="仿宋_GB2312" w:hint="eastAsia"/>
                <w:color w:val="000000" w:themeColor="text1"/>
              </w:rPr>
            </w:pPr>
            <w:r>
              <w:rPr>
                <w:rFonts w:ascii="仿宋_GB2312" w:hAnsi="等线" w:cs="仿宋_GB2312" w:hint="eastAsia"/>
                <w:color w:val="000000" w:themeColor="text1"/>
                <w:kern w:val="0"/>
                <w:lang w:bidi="ar"/>
              </w:rPr>
              <w:t>赎回费率</w:t>
            </w:r>
          </w:p>
        </w:tc>
        <w:tc>
          <w:tcPr>
            <w:tcW w:w="6972" w:type="dxa"/>
            <w:tcBorders>
              <w:top w:val="single" w:sz="4" w:space="0" w:color="auto"/>
              <w:left w:val="single" w:sz="4" w:space="0" w:color="auto"/>
              <w:bottom w:val="single" w:sz="4" w:space="0" w:color="auto"/>
              <w:right w:val="single" w:sz="4" w:space="0" w:color="auto"/>
            </w:tcBorders>
            <w:vAlign w:val="center"/>
          </w:tcPr>
          <w:p w14:paraId="307046E4" w14:textId="77777777" w:rsidR="00D8530A" w:rsidRDefault="00000000">
            <w:pPr>
              <w:widowControl/>
              <w:spacing w:line="400" w:lineRule="exact"/>
              <w:jc w:val="left"/>
              <w:textAlignment w:val="center"/>
              <w:rPr>
                <w:rFonts w:ascii="仿宋_GB2312" w:hAnsi="等线" w:cs="仿宋_GB2312" w:hint="eastAsia"/>
                <w:bCs/>
                <w:color w:val="000000" w:themeColor="text1"/>
              </w:rPr>
            </w:pPr>
            <w:r>
              <w:rPr>
                <w:rFonts w:ascii="宋体" w:hAnsi="宋体" w:hint="eastAsia"/>
                <w:b/>
                <w:szCs w:val="24"/>
              </w:rPr>
              <w:t>/</w:t>
            </w:r>
          </w:p>
        </w:tc>
      </w:tr>
      <w:tr w:rsidR="00D8530A" w14:paraId="6E43E5D2" w14:textId="77777777">
        <w:trPr>
          <w:trHeight w:val="830"/>
        </w:trPr>
        <w:tc>
          <w:tcPr>
            <w:tcW w:w="2453" w:type="dxa"/>
            <w:tcBorders>
              <w:top w:val="single" w:sz="4" w:space="0" w:color="auto"/>
              <w:left w:val="single" w:sz="4" w:space="0" w:color="auto"/>
              <w:bottom w:val="single" w:sz="4" w:space="0" w:color="auto"/>
              <w:right w:val="single" w:sz="4" w:space="0" w:color="auto"/>
            </w:tcBorders>
            <w:vAlign w:val="center"/>
          </w:tcPr>
          <w:p w14:paraId="219B3310" w14:textId="77777777" w:rsidR="00D8530A" w:rsidRDefault="00000000">
            <w:pPr>
              <w:widowControl/>
              <w:spacing w:line="400" w:lineRule="exact"/>
              <w:jc w:val="center"/>
              <w:textAlignment w:val="center"/>
              <w:rPr>
                <w:rFonts w:ascii="仿宋_GB2312" w:hAnsi="等线" w:cs="仿宋_GB2312" w:hint="eastAsia"/>
                <w:color w:val="000000" w:themeColor="text1"/>
                <w:kern w:val="0"/>
                <w:lang w:bidi="ar"/>
              </w:rPr>
            </w:pPr>
            <w:r>
              <w:rPr>
                <w:rFonts w:ascii="仿宋_GB2312" w:hAnsi="等线" w:cs="仿宋_GB2312" w:hint="eastAsia"/>
                <w:color w:val="000000" w:themeColor="text1"/>
                <w:kern w:val="0"/>
                <w:lang w:bidi="ar"/>
              </w:rPr>
              <w:t>信息服务费率</w:t>
            </w:r>
          </w:p>
        </w:tc>
        <w:tc>
          <w:tcPr>
            <w:tcW w:w="6972" w:type="dxa"/>
            <w:tcBorders>
              <w:top w:val="single" w:sz="4" w:space="0" w:color="auto"/>
              <w:left w:val="single" w:sz="4" w:space="0" w:color="auto"/>
              <w:bottom w:val="single" w:sz="4" w:space="0" w:color="auto"/>
              <w:right w:val="single" w:sz="4" w:space="0" w:color="auto"/>
            </w:tcBorders>
            <w:vAlign w:val="center"/>
          </w:tcPr>
          <w:p w14:paraId="663CAE5F" w14:textId="77777777" w:rsidR="00D8530A" w:rsidRDefault="00000000">
            <w:pPr>
              <w:widowControl/>
              <w:spacing w:line="400" w:lineRule="exact"/>
              <w:jc w:val="left"/>
              <w:textAlignment w:val="center"/>
              <w:rPr>
                <w:rFonts w:ascii="宋体" w:hAnsi="宋体" w:hint="eastAsia"/>
                <w:bCs/>
                <w:szCs w:val="24"/>
              </w:rPr>
            </w:pPr>
            <w:r>
              <w:rPr>
                <w:rFonts w:ascii="宋体" w:hAnsi="宋体" w:hint="eastAsia"/>
                <w:bCs/>
                <w:szCs w:val="24"/>
              </w:rPr>
              <w:t>【</w:t>
            </w:r>
            <w:r>
              <w:rPr>
                <w:rFonts w:ascii="宋体" w:hAnsi="宋体" w:hint="eastAsia"/>
                <w:bCs/>
                <w:szCs w:val="24"/>
              </w:rPr>
              <w:t>0.002%/</w:t>
            </w:r>
            <w:r>
              <w:rPr>
                <w:rFonts w:ascii="宋体" w:hAnsi="宋体" w:hint="eastAsia"/>
                <w:bCs/>
                <w:szCs w:val="24"/>
              </w:rPr>
              <w:t>年】（如有调整，以银行业理财登记托管中心收费规则为准）</w:t>
            </w:r>
          </w:p>
          <w:p w14:paraId="587C537B" w14:textId="77777777" w:rsidR="00D8530A" w:rsidRDefault="00000000">
            <w:pPr>
              <w:widowControl/>
              <w:spacing w:line="400" w:lineRule="exact"/>
              <w:jc w:val="left"/>
              <w:textAlignment w:val="center"/>
              <w:rPr>
                <w:rFonts w:ascii="宋体" w:hAnsi="宋体" w:hint="eastAsia"/>
                <w:b/>
                <w:bCs/>
                <w:szCs w:val="24"/>
              </w:rPr>
            </w:pPr>
            <w:r>
              <w:rPr>
                <w:rFonts w:ascii="宋体" w:hAnsi="宋体" w:hint="eastAsia"/>
                <w:bCs/>
                <w:szCs w:val="24"/>
              </w:rPr>
              <w:t>针对</w:t>
            </w:r>
            <w:r>
              <w:rPr>
                <w:rFonts w:ascii="宋体" w:hAnsi="宋体" w:hint="eastAsia"/>
                <w:bCs/>
                <w:szCs w:val="24"/>
              </w:rPr>
              <w:t>2026</w:t>
            </w:r>
            <w:r>
              <w:rPr>
                <w:rFonts w:ascii="宋体" w:hAnsi="宋体" w:hint="eastAsia"/>
                <w:bCs/>
                <w:szCs w:val="24"/>
              </w:rPr>
              <w:t>年</w:t>
            </w:r>
            <w:r>
              <w:rPr>
                <w:rFonts w:ascii="宋体" w:hAnsi="宋体" w:hint="eastAsia"/>
                <w:bCs/>
                <w:szCs w:val="24"/>
              </w:rPr>
              <w:t>9</w:t>
            </w:r>
            <w:r>
              <w:rPr>
                <w:rFonts w:ascii="宋体" w:hAnsi="宋体" w:hint="eastAsia"/>
                <w:bCs/>
                <w:szCs w:val="24"/>
              </w:rPr>
              <w:t>月</w:t>
            </w:r>
            <w:r>
              <w:rPr>
                <w:rFonts w:ascii="宋体" w:hAnsi="宋体" w:hint="eastAsia"/>
                <w:bCs/>
                <w:szCs w:val="24"/>
              </w:rPr>
              <w:t>1</w:t>
            </w:r>
            <w:r>
              <w:rPr>
                <w:rFonts w:ascii="宋体" w:hAnsi="宋体" w:hint="eastAsia"/>
                <w:bCs/>
                <w:szCs w:val="24"/>
              </w:rPr>
              <w:t>日（含）后成立的产品，产品将收取信息服务费，</w:t>
            </w:r>
            <w:r>
              <w:rPr>
                <w:rFonts w:ascii="宋体" w:hAnsi="宋体" w:hint="eastAsia"/>
                <w:b/>
                <w:szCs w:val="24"/>
              </w:rPr>
              <w:t>具体说明详见第十</w:t>
            </w:r>
            <w:proofErr w:type="gramStart"/>
            <w:r>
              <w:rPr>
                <w:rFonts w:ascii="宋体" w:hAnsi="宋体" w:hint="eastAsia"/>
                <w:b/>
                <w:szCs w:val="24"/>
              </w:rPr>
              <w:t>节</w:t>
            </w:r>
            <w:r>
              <w:rPr>
                <w:rFonts w:ascii="宋体" w:hAnsi="宋体" w:hint="eastAsia"/>
                <w:b/>
                <w:szCs w:val="24"/>
              </w:rPr>
              <w:t xml:space="preserve"> </w:t>
            </w:r>
            <w:r>
              <w:rPr>
                <w:rFonts w:ascii="宋体" w:hAnsi="宋体" w:hint="eastAsia"/>
                <w:b/>
                <w:szCs w:val="24"/>
              </w:rPr>
              <w:t>“</w:t>
            </w:r>
            <w:proofErr w:type="gramEnd"/>
            <w:r>
              <w:rPr>
                <w:rFonts w:ascii="宋体" w:hAnsi="宋体" w:hint="eastAsia"/>
                <w:b/>
                <w:szCs w:val="24"/>
              </w:rPr>
              <w:t>理财产品的费用与税收”</w:t>
            </w:r>
            <w:r>
              <w:rPr>
                <w:rFonts w:ascii="宋体" w:hAnsi="宋体" w:hint="eastAsia"/>
                <w:bCs/>
                <w:szCs w:val="24"/>
              </w:rPr>
              <w:t>。</w:t>
            </w:r>
          </w:p>
        </w:tc>
      </w:tr>
      <w:tr w:rsidR="00D8530A" w14:paraId="3BC8EE15" w14:textId="77777777">
        <w:trPr>
          <w:trHeight w:val="830"/>
        </w:trPr>
        <w:tc>
          <w:tcPr>
            <w:tcW w:w="2453" w:type="dxa"/>
            <w:tcBorders>
              <w:top w:val="single" w:sz="4" w:space="0" w:color="auto"/>
              <w:left w:val="single" w:sz="4" w:space="0" w:color="auto"/>
              <w:bottom w:val="single" w:sz="4" w:space="0" w:color="auto"/>
              <w:right w:val="single" w:sz="4" w:space="0" w:color="auto"/>
            </w:tcBorders>
            <w:vAlign w:val="center"/>
          </w:tcPr>
          <w:p w14:paraId="1A9C87D3" w14:textId="77777777" w:rsidR="00D8530A" w:rsidRDefault="00000000">
            <w:pPr>
              <w:widowControl/>
              <w:spacing w:line="400" w:lineRule="exact"/>
              <w:jc w:val="center"/>
              <w:textAlignment w:val="center"/>
              <w:rPr>
                <w:rFonts w:ascii="仿宋_GB2312" w:hAnsi="等线" w:cs="仿宋_GB2312" w:hint="eastAsia"/>
                <w:color w:val="000000" w:themeColor="text1"/>
              </w:rPr>
            </w:pPr>
            <w:r>
              <w:rPr>
                <w:rFonts w:ascii="仿宋_GB2312" w:hAnsi="等线" w:cs="仿宋_GB2312" w:hint="eastAsia"/>
                <w:color w:val="000000" w:themeColor="text1"/>
                <w:kern w:val="0"/>
                <w:lang w:bidi="ar"/>
              </w:rPr>
              <w:t>其他费用说明</w:t>
            </w:r>
          </w:p>
        </w:tc>
        <w:tc>
          <w:tcPr>
            <w:tcW w:w="6972" w:type="dxa"/>
            <w:tcBorders>
              <w:top w:val="single" w:sz="4" w:space="0" w:color="auto"/>
              <w:left w:val="single" w:sz="4" w:space="0" w:color="auto"/>
              <w:bottom w:val="single" w:sz="4" w:space="0" w:color="auto"/>
              <w:right w:val="single" w:sz="4" w:space="0" w:color="auto"/>
            </w:tcBorders>
            <w:vAlign w:val="center"/>
          </w:tcPr>
          <w:p w14:paraId="3F6E659D" w14:textId="77777777" w:rsidR="00D8530A" w:rsidRDefault="00000000">
            <w:pPr>
              <w:widowControl/>
              <w:spacing w:line="400" w:lineRule="exact"/>
              <w:jc w:val="left"/>
              <w:textAlignment w:val="center"/>
              <w:rPr>
                <w:rFonts w:ascii="宋体" w:hAnsi="宋体" w:hint="eastAsia"/>
                <w:szCs w:val="24"/>
              </w:rPr>
            </w:pPr>
            <w:r>
              <w:rPr>
                <w:rFonts w:ascii="宋体" w:hAnsi="宋体" w:hint="eastAsia"/>
                <w:szCs w:val="24"/>
              </w:rPr>
              <w:t>产品管理人保留调整上述理财产品收取费率标准的权利。以上费用精确到小数点后</w:t>
            </w:r>
            <w:r>
              <w:rPr>
                <w:rFonts w:ascii="宋体" w:hAnsi="宋体" w:hint="eastAsia"/>
                <w:szCs w:val="24"/>
              </w:rPr>
              <w:t>2</w:t>
            </w:r>
            <w:r>
              <w:rPr>
                <w:rFonts w:ascii="宋体" w:hAnsi="宋体" w:hint="eastAsia"/>
                <w:szCs w:val="24"/>
              </w:rPr>
              <w:t>位，小数点</w:t>
            </w:r>
            <w:r>
              <w:rPr>
                <w:rFonts w:ascii="宋体" w:hAnsi="宋体" w:hint="eastAsia"/>
                <w:szCs w:val="24"/>
              </w:rPr>
              <w:t>2</w:t>
            </w:r>
            <w:r>
              <w:rPr>
                <w:rFonts w:ascii="宋体" w:hAnsi="宋体" w:hint="eastAsia"/>
                <w:szCs w:val="24"/>
              </w:rPr>
              <w:t>位以后四舍五入。</w:t>
            </w:r>
          </w:p>
          <w:p w14:paraId="02135C4F" w14:textId="77777777" w:rsidR="00D8530A" w:rsidRDefault="00000000">
            <w:pPr>
              <w:widowControl/>
              <w:spacing w:line="400" w:lineRule="exact"/>
              <w:jc w:val="left"/>
              <w:textAlignment w:val="center"/>
              <w:rPr>
                <w:rFonts w:ascii="仿宋_GB2312" w:hAnsi="等线" w:cs="仿宋_GB2312" w:hint="eastAsia"/>
                <w:bCs/>
                <w:color w:val="000000" w:themeColor="text1"/>
              </w:rPr>
            </w:pPr>
            <w:r>
              <w:rPr>
                <w:rFonts w:ascii="宋体" w:hAnsi="宋体" w:hint="eastAsia"/>
                <w:b/>
                <w:bCs/>
                <w:szCs w:val="24"/>
              </w:rPr>
              <w:t>其他费用说明详见</w:t>
            </w:r>
            <w:r>
              <w:rPr>
                <w:rFonts w:ascii="宋体" w:hAnsi="宋体"/>
                <w:b/>
                <w:bCs/>
                <w:szCs w:val="24"/>
              </w:rPr>
              <w:t>第</w:t>
            </w:r>
            <w:r>
              <w:rPr>
                <w:rFonts w:ascii="宋体" w:hAnsi="宋体" w:hint="eastAsia"/>
                <w:b/>
                <w:bCs/>
                <w:szCs w:val="24"/>
              </w:rPr>
              <w:t>十</w:t>
            </w:r>
            <w:proofErr w:type="gramStart"/>
            <w:r>
              <w:rPr>
                <w:rFonts w:ascii="宋体" w:hAnsi="宋体"/>
                <w:b/>
                <w:bCs/>
                <w:szCs w:val="24"/>
              </w:rPr>
              <w:t>节</w:t>
            </w:r>
            <w:r>
              <w:rPr>
                <w:rFonts w:ascii="宋体" w:hAnsi="宋体" w:hint="eastAsia"/>
                <w:b/>
                <w:bCs/>
                <w:szCs w:val="24"/>
              </w:rPr>
              <w:t xml:space="preserve"> </w:t>
            </w:r>
            <w:r>
              <w:rPr>
                <w:rFonts w:ascii="宋体" w:hAnsi="宋体" w:hint="eastAsia"/>
                <w:b/>
                <w:bCs/>
                <w:szCs w:val="24"/>
              </w:rPr>
              <w:t>“</w:t>
            </w:r>
            <w:proofErr w:type="gramEnd"/>
            <w:r>
              <w:rPr>
                <w:rFonts w:ascii="宋体" w:hAnsi="宋体" w:hint="eastAsia"/>
                <w:b/>
                <w:bCs/>
                <w:szCs w:val="24"/>
              </w:rPr>
              <w:t>理财</w:t>
            </w:r>
            <w:r>
              <w:rPr>
                <w:rFonts w:ascii="宋体" w:hAnsi="宋体"/>
                <w:b/>
                <w:bCs/>
                <w:szCs w:val="24"/>
              </w:rPr>
              <w:t>产品</w:t>
            </w:r>
            <w:r>
              <w:rPr>
                <w:rFonts w:ascii="宋体" w:hAnsi="宋体" w:hint="eastAsia"/>
                <w:b/>
                <w:bCs/>
                <w:szCs w:val="24"/>
              </w:rPr>
              <w:t>的</w:t>
            </w:r>
            <w:r>
              <w:rPr>
                <w:rFonts w:ascii="宋体" w:hAnsi="宋体"/>
                <w:b/>
                <w:bCs/>
                <w:szCs w:val="24"/>
              </w:rPr>
              <w:t>费用与税收</w:t>
            </w:r>
            <w:r>
              <w:rPr>
                <w:rFonts w:ascii="宋体" w:hAnsi="宋体"/>
                <w:b/>
                <w:bCs/>
                <w:szCs w:val="24"/>
              </w:rPr>
              <w:t>”</w:t>
            </w:r>
            <w:r>
              <w:rPr>
                <w:rFonts w:ascii="宋体" w:hAnsi="宋体" w:hint="eastAsia"/>
                <w:b/>
                <w:bCs/>
                <w:szCs w:val="24"/>
              </w:rPr>
              <w:t>。</w:t>
            </w:r>
          </w:p>
        </w:tc>
      </w:tr>
      <w:tr w:rsidR="00D8530A" w14:paraId="2B3B7A05" w14:textId="77777777">
        <w:trPr>
          <w:trHeight w:val="270"/>
        </w:trPr>
        <w:tc>
          <w:tcPr>
            <w:tcW w:w="9425" w:type="dxa"/>
            <w:gridSpan w:val="2"/>
            <w:tcBorders>
              <w:top w:val="single" w:sz="4" w:space="0" w:color="auto"/>
              <w:left w:val="single" w:sz="4" w:space="0" w:color="auto"/>
              <w:bottom w:val="single" w:sz="4" w:space="0" w:color="auto"/>
              <w:right w:val="single" w:sz="4" w:space="0" w:color="auto"/>
            </w:tcBorders>
            <w:vAlign w:val="center"/>
          </w:tcPr>
          <w:p w14:paraId="26627BFE" w14:textId="77777777" w:rsidR="00D8530A" w:rsidRDefault="00000000">
            <w:pPr>
              <w:widowControl/>
              <w:spacing w:line="400" w:lineRule="exact"/>
              <w:jc w:val="center"/>
              <w:textAlignment w:val="center"/>
              <w:rPr>
                <w:rFonts w:ascii="楷体_GB2312" w:eastAsia="楷体_GB2312" w:hAnsi="等线" w:cs="楷体_GB2312" w:hint="eastAsia"/>
                <w:b/>
                <w:bCs/>
                <w:color w:val="000000" w:themeColor="text1"/>
              </w:rPr>
            </w:pPr>
            <w:r>
              <w:rPr>
                <w:rFonts w:ascii="楷体_GB2312" w:eastAsia="楷体_GB2312" w:hAnsi="等线" w:cs="楷体_GB2312" w:hint="eastAsia"/>
                <w:b/>
                <w:bCs/>
                <w:color w:val="000000" w:themeColor="text1"/>
                <w:kern w:val="0"/>
                <w:lang w:bidi="ar"/>
              </w:rPr>
              <w:t>（六）业绩比较基准</w:t>
            </w:r>
          </w:p>
        </w:tc>
      </w:tr>
      <w:tr w:rsidR="00D8530A" w14:paraId="7426DD04" w14:textId="77777777">
        <w:trPr>
          <w:trHeight w:val="1180"/>
        </w:trPr>
        <w:tc>
          <w:tcPr>
            <w:tcW w:w="2453" w:type="dxa"/>
            <w:tcBorders>
              <w:top w:val="single" w:sz="4" w:space="0" w:color="auto"/>
              <w:left w:val="single" w:sz="4" w:space="0" w:color="auto"/>
              <w:bottom w:val="single" w:sz="4" w:space="0" w:color="auto"/>
              <w:right w:val="single" w:sz="4" w:space="0" w:color="auto"/>
            </w:tcBorders>
            <w:vAlign w:val="center"/>
          </w:tcPr>
          <w:p w14:paraId="23C4D4E1" w14:textId="77777777" w:rsidR="00D8530A" w:rsidRDefault="00000000">
            <w:pPr>
              <w:widowControl/>
              <w:spacing w:line="400" w:lineRule="exact"/>
              <w:jc w:val="center"/>
              <w:textAlignment w:val="center"/>
              <w:rPr>
                <w:rFonts w:ascii="仿宋_GB2312" w:hAnsi="等线" w:cs="仿宋_GB2312" w:hint="eastAsia"/>
                <w:color w:val="000000" w:themeColor="text1"/>
              </w:rPr>
            </w:pPr>
            <w:r>
              <w:rPr>
                <w:rFonts w:ascii="仿宋_GB2312" w:hAnsi="等线" w:cs="仿宋_GB2312" w:hint="eastAsia"/>
                <w:color w:val="000000" w:themeColor="text1"/>
                <w:kern w:val="0"/>
                <w:lang w:bidi="ar"/>
              </w:rPr>
              <w:t>业绩比较基准</w:t>
            </w:r>
          </w:p>
        </w:tc>
        <w:tc>
          <w:tcPr>
            <w:tcW w:w="6972" w:type="dxa"/>
            <w:tcBorders>
              <w:top w:val="single" w:sz="4" w:space="0" w:color="auto"/>
              <w:left w:val="single" w:sz="4" w:space="0" w:color="auto"/>
              <w:bottom w:val="single" w:sz="4" w:space="0" w:color="auto"/>
              <w:right w:val="single" w:sz="4" w:space="0" w:color="auto"/>
            </w:tcBorders>
            <w:vAlign w:val="center"/>
          </w:tcPr>
          <w:p w14:paraId="1053CDB4" w14:textId="77777777" w:rsidR="00D8530A" w:rsidRDefault="00000000">
            <w:pPr>
              <w:widowControl/>
              <w:spacing w:line="400" w:lineRule="exact"/>
              <w:jc w:val="left"/>
              <w:textAlignment w:val="center"/>
              <w:rPr>
                <w:rFonts w:ascii="宋体" w:hAnsi="宋体" w:hint="eastAsia"/>
                <w:b/>
                <w:szCs w:val="24"/>
              </w:rPr>
            </w:pPr>
            <w:r>
              <w:rPr>
                <w:rFonts w:ascii="宋体" w:hAnsi="宋体" w:hint="eastAsia"/>
                <w:b/>
                <w:szCs w:val="24"/>
              </w:rPr>
              <w:t>1.</w:t>
            </w:r>
            <w:r>
              <w:rPr>
                <w:rFonts w:ascii="宋体" w:hAnsi="宋体" w:hint="eastAsia"/>
                <w:b/>
                <w:szCs w:val="24"/>
              </w:rPr>
              <w:t>业绩比较基准设置</w:t>
            </w:r>
          </w:p>
          <w:p w14:paraId="46A15333" w14:textId="77777777" w:rsidR="00D8530A" w:rsidRDefault="00000000">
            <w:pPr>
              <w:widowControl/>
              <w:jc w:val="left"/>
              <w:rPr>
                <w:rFonts w:ascii="宋体" w:hAnsi="宋体" w:hint="eastAsia"/>
                <w:b/>
                <w:szCs w:val="24"/>
              </w:rPr>
            </w:pPr>
            <w:proofErr w:type="gramStart"/>
            <w:r>
              <w:rPr>
                <w:rFonts w:ascii="Wingdings 2" w:eastAsia="宋体" w:hAnsi="Wingdings 2" w:cs="东文宋体"/>
                <w:szCs w:val="24"/>
              </w:rPr>
              <w:t>R</w:t>
            </w:r>
            <w:r>
              <w:rPr>
                <w:rFonts w:ascii="宋体" w:hAnsi="宋体" w:hint="eastAsia"/>
                <w:b/>
                <w:szCs w:val="24"/>
              </w:rPr>
              <w:t xml:space="preserve">  </w:t>
            </w:r>
            <w:r>
              <w:rPr>
                <w:rFonts w:ascii="宋体" w:hAnsi="宋体" w:hint="eastAsia"/>
                <w:b/>
                <w:szCs w:val="24"/>
              </w:rPr>
              <w:t>产品管理人设置业绩比较基准</w:t>
            </w:r>
            <w:proofErr w:type="gramEnd"/>
            <w:r>
              <w:rPr>
                <w:rFonts w:ascii="宋体" w:hAnsi="宋体" w:hint="eastAsia"/>
                <w:b/>
                <w:szCs w:val="24"/>
              </w:rPr>
              <w:t>。</w:t>
            </w:r>
          </w:p>
          <w:p w14:paraId="5D76C59B" w14:textId="77777777" w:rsidR="00D8530A" w:rsidRDefault="00000000">
            <w:pPr>
              <w:widowControl/>
              <w:jc w:val="left"/>
              <w:rPr>
                <w:rFonts w:ascii="宋体" w:hAnsi="宋体" w:hint="eastAsia"/>
                <w:b/>
                <w:szCs w:val="24"/>
              </w:rPr>
            </w:pPr>
            <w:r>
              <w:rPr>
                <w:rFonts w:ascii="宋体" w:hAnsi="宋体" w:hint="eastAsia"/>
                <w:b/>
                <w:szCs w:val="24"/>
              </w:rPr>
              <w:t>年化【</w:t>
            </w:r>
            <w:r>
              <w:rPr>
                <w:rFonts w:ascii="宋体" w:hAnsi="宋体" w:hint="eastAsia"/>
                <w:b/>
                <w:szCs w:val="24"/>
              </w:rPr>
              <w:t>2.55%-2.85%</w:t>
            </w:r>
            <w:r>
              <w:rPr>
                <w:rFonts w:ascii="宋体" w:hAnsi="宋体" w:hint="eastAsia"/>
                <w:b/>
                <w:szCs w:val="24"/>
              </w:rPr>
              <w:t>】（适用【</w:t>
            </w:r>
            <w:r>
              <w:rPr>
                <w:rFonts w:ascii="宋体" w:hAnsi="宋体" w:hint="eastAsia"/>
                <w:b/>
                <w:szCs w:val="24"/>
              </w:rPr>
              <w:t>A</w:t>
            </w:r>
            <w:r>
              <w:rPr>
                <w:rFonts w:ascii="宋体" w:hAnsi="宋体" w:hint="eastAsia"/>
                <w:b/>
                <w:szCs w:val="24"/>
              </w:rPr>
              <w:t>】类份额）</w:t>
            </w:r>
          </w:p>
          <w:p w14:paraId="298447A7" w14:textId="77777777" w:rsidR="00D8530A" w:rsidRDefault="00000000">
            <w:pPr>
              <w:widowControl/>
              <w:jc w:val="left"/>
              <w:rPr>
                <w:rFonts w:ascii="宋体" w:hAnsi="宋体" w:hint="eastAsia"/>
                <w:b/>
                <w:szCs w:val="24"/>
              </w:rPr>
            </w:pPr>
            <w:r>
              <w:rPr>
                <w:rFonts w:ascii="宋体" w:hAnsi="宋体" w:hint="eastAsia"/>
                <w:b/>
                <w:szCs w:val="24"/>
              </w:rPr>
              <w:t>年化【</w:t>
            </w:r>
            <w:r>
              <w:rPr>
                <w:rFonts w:ascii="宋体" w:hAnsi="宋体" w:hint="eastAsia"/>
                <w:b/>
                <w:szCs w:val="24"/>
              </w:rPr>
              <w:t>2.50%-2.80%</w:t>
            </w:r>
            <w:r>
              <w:rPr>
                <w:rFonts w:ascii="宋体" w:hAnsi="宋体" w:hint="eastAsia"/>
                <w:b/>
                <w:szCs w:val="24"/>
              </w:rPr>
              <w:t>】（适用【</w:t>
            </w:r>
            <w:r>
              <w:rPr>
                <w:rFonts w:ascii="宋体" w:hAnsi="宋体" w:hint="eastAsia"/>
                <w:b/>
                <w:szCs w:val="24"/>
              </w:rPr>
              <w:t>B</w:t>
            </w:r>
            <w:r>
              <w:rPr>
                <w:rFonts w:ascii="宋体" w:hAnsi="宋体" w:hint="eastAsia"/>
                <w:b/>
                <w:szCs w:val="24"/>
              </w:rPr>
              <w:t>】类份额）</w:t>
            </w:r>
          </w:p>
          <w:p w14:paraId="18271EDC" w14:textId="77777777" w:rsidR="00D8530A" w:rsidRDefault="00000000">
            <w:pPr>
              <w:widowControl/>
              <w:jc w:val="left"/>
              <w:rPr>
                <w:rFonts w:ascii="宋体" w:hAnsi="宋体" w:hint="eastAsia"/>
                <w:b/>
                <w:szCs w:val="24"/>
              </w:rPr>
            </w:pPr>
            <w:r>
              <w:rPr>
                <w:rFonts w:ascii="宋体" w:hAnsi="宋体" w:hint="eastAsia"/>
                <w:b/>
                <w:szCs w:val="24"/>
              </w:rPr>
              <w:t>年化【</w:t>
            </w:r>
            <w:r>
              <w:rPr>
                <w:rFonts w:ascii="宋体" w:hAnsi="宋体" w:hint="eastAsia"/>
                <w:b/>
                <w:szCs w:val="24"/>
              </w:rPr>
              <w:t>2.45%-2.75%</w:t>
            </w:r>
            <w:r>
              <w:rPr>
                <w:rFonts w:ascii="宋体" w:hAnsi="宋体" w:hint="eastAsia"/>
                <w:b/>
                <w:szCs w:val="24"/>
              </w:rPr>
              <w:t>】（适用【</w:t>
            </w:r>
            <w:r>
              <w:rPr>
                <w:rFonts w:ascii="宋体" w:hAnsi="宋体" w:hint="eastAsia"/>
                <w:b/>
                <w:szCs w:val="24"/>
              </w:rPr>
              <w:t>C</w:t>
            </w:r>
            <w:r>
              <w:rPr>
                <w:rFonts w:ascii="宋体" w:hAnsi="宋体" w:hint="eastAsia"/>
                <w:b/>
                <w:szCs w:val="24"/>
              </w:rPr>
              <w:t>】类份额）</w:t>
            </w:r>
          </w:p>
          <w:p w14:paraId="79F1507C" w14:textId="77777777" w:rsidR="00D8530A" w:rsidRDefault="00000000">
            <w:pPr>
              <w:widowControl/>
              <w:jc w:val="left"/>
              <w:rPr>
                <w:rFonts w:ascii="宋体" w:hAnsi="宋体" w:hint="eastAsia"/>
                <w:b/>
                <w:szCs w:val="24"/>
              </w:rPr>
            </w:pPr>
            <w:r>
              <w:rPr>
                <w:rFonts w:ascii="宋体" w:hAnsi="宋体" w:hint="eastAsia"/>
                <w:b/>
                <w:szCs w:val="24"/>
              </w:rPr>
              <w:t>年化【</w:t>
            </w:r>
            <w:r>
              <w:rPr>
                <w:rFonts w:ascii="宋体" w:hAnsi="宋体" w:hint="eastAsia"/>
                <w:b/>
                <w:szCs w:val="24"/>
              </w:rPr>
              <w:t>2.40%-2.70%</w:t>
            </w:r>
            <w:r>
              <w:rPr>
                <w:rFonts w:ascii="宋体" w:hAnsi="宋体" w:hint="eastAsia"/>
                <w:b/>
                <w:szCs w:val="24"/>
              </w:rPr>
              <w:t>】（适用【</w:t>
            </w:r>
            <w:r>
              <w:rPr>
                <w:rFonts w:ascii="宋体" w:hAnsi="宋体" w:hint="eastAsia"/>
                <w:b/>
                <w:szCs w:val="24"/>
              </w:rPr>
              <w:t>D</w:t>
            </w:r>
            <w:r>
              <w:rPr>
                <w:rFonts w:ascii="宋体" w:hAnsi="宋体" w:hint="eastAsia"/>
                <w:b/>
                <w:szCs w:val="24"/>
              </w:rPr>
              <w:t>】类份额）</w:t>
            </w:r>
          </w:p>
          <w:p w14:paraId="48E629BB" w14:textId="77777777" w:rsidR="00D8530A" w:rsidRDefault="00000000">
            <w:pPr>
              <w:widowControl/>
              <w:jc w:val="left"/>
              <w:rPr>
                <w:rFonts w:ascii="宋体" w:hAnsi="宋体" w:hint="eastAsia"/>
                <w:b/>
                <w:szCs w:val="24"/>
              </w:rPr>
            </w:pPr>
            <w:r>
              <w:rPr>
                <w:rFonts w:ascii="宋体" w:hAnsi="宋体" w:hint="eastAsia"/>
                <w:b/>
                <w:szCs w:val="24"/>
              </w:rPr>
              <w:lastRenderedPageBreak/>
              <w:t>年化【</w:t>
            </w:r>
            <w:r>
              <w:rPr>
                <w:rFonts w:ascii="宋体" w:hAnsi="宋体" w:hint="eastAsia"/>
                <w:b/>
                <w:szCs w:val="24"/>
              </w:rPr>
              <w:t>2.35%-2.65%</w:t>
            </w:r>
            <w:r>
              <w:rPr>
                <w:rFonts w:ascii="宋体" w:hAnsi="宋体" w:hint="eastAsia"/>
                <w:b/>
                <w:szCs w:val="24"/>
              </w:rPr>
              <w:t>】（适用【</w:t>
            </w:r>
            <w:r>
              <w:rPr>
                <w:rFonts w:ascii="宋体" w:hAnsi="宋体" w:hint="eastAsia"/>
                <w:b/>
                <w:szCs w:val="24"/>
              </w:rPr>
              <w:t>E</w:t>
            </w:r>
            <w:r>
              <w:rPr>
                <w:rFonts w:ascii="宋体" w:hAnsi="宋体" w:hint="eastAsia"/>
                <w:b/>
                <w:szCs w:val="24"/>
              </w:rPr>
              <w:t>】类份额）</w:t>
            </w:r>
          </w:p>
          <w:p w14:paraId="6140E98D" w14:textId="77777777" w:rsidR="00D8530A" w:rsidRDefault="00000000">
            <w:pPr>
              <w:widowControl/>
              <w:jc w:val="left"/>
              <w:rPr>
                <w:rFonts w:ascii="宋体" w:hAnsi="宋体" w:hint="eastAsia"/>
                <w:b/>
                <w:szCs w:val="24"/>
              </w:rPr>
            </w:pPr>
            <w:r>
              <w:rPr>
                <w:rFonts w:ascii="宋体" w:hAnsi="宋体" w:hint="eastAsia"/>
                <w:b/>
                <w:szCs w:val="24"/>
              </w:rPr>
              <w:t>年化【</w:t>
            </w:r>
            <w:r>
              <w:rPr>
                <w:rFonts w:ascii="宋体" w:hAnsi="宋体" w:hint="eastAsia"/>
                <w:b/>
                <w:szCs w:val="24"/>
              </w:rPr>
              <w:t>2.40%-2.70%</w:t>
            </w:r>
            <w:r>
              <w:rPr>
                <w:rFonts w:ascii="宋体" w:hAnsi="宋体" w:hint="eastAsia"/>
                <w:b/>
                <w:szCs w:val="24"/>
              </w:rPr>
              <w:t>】（适用【</w:t>
            </w:r>
            <w:r>
              <w:rPr>
                <w:rFonts w:ascii="宋体" w:hAnsi="宋体" w:hint="eastAsia"/>
                <w:b/>
                <w:szCs w:val="24"/>
              </w:rPr>
              <w:t>F</w:t>
            </w:r>
            <w:r>
              <w:rPr>
                <w:rFonts w:ascii="宋体" w:hAnsi="宋体" w:hint="eastAsia"/>
                <w:b/>
                <w:szCs w:val="24"/>
              </w:rPr>
              <w:t>】类份额）</w:t>
            </w:r>
          </w:p>
          <w:p w14:paraId="5318A149" w14:textId="77777777" w:rsidR="00D8530A" w:rsidRDefault="00000000">
            <w:pPr>
              <w:widowControl/>
              <w:jc w:val="left"/>
              <w:rPr>
                <w:rFonts w:ascii="宋体" w:hAnsi="宋体" w:hint="eastAsia"/>
                <w:b/>
                <w:szCs w:val="24"/>
              </w:rPr>
            </w:pPr>
            <w:r>
              <w:rPr>
                <w:rFonts w:ascii="宋体" w:hAnsi="宋体" w:hint="eastAsia"/>
                <w:b/>
                <w:szCs w:val="24"/>
              </w:rPr>
              <w:t>年化【</w:t>
            </w:r>
            <w:r>
              <w:rPr>
                <w:rFonts w:ascii="宋体" w:hAnsi="宋体" w:hint="eastAsia"/>
                <w:b/>
                <w:szCs w:val="24"/>
              </w:rPr>
              <w:t>2.35%-2.65%</w:t>
            </w:r>
            <w:r>
              <w:rPr>
                <w:rFonts w:ascii="宋体" w:hAnsi="宋体" w:hint="eastAsia"/>
                <w:b/>
                <w:szCs w:val="24"/>
              </w:rPr>
              <w:t>】（适用【</w:t>
            </w:r>
            <w:r>
              <w:rPr>
                <w:rFonts w:ascii="宋体" w:hAnsi="宋体" w:hint="eastAsia"/>
                <w:b/>
                <w:szCs w:val="24"/>
              </w:rPr>
              <w:t>G</w:t>
            </w:r>
            <w:r>
              <w:rPr>
                <w:rFonts w:ascii="宋体" w:hAnsi="宋体" w:hint="eastAsia"/>
                <w:b/>
                <w:szCs w:val="24"/>
              </w:rPr>
              <w:t>】类份额）</w:t>
            </w:r>
          </w:p>
          <w:p w14:paraId="2D9EDE82" w14:textId="77777777" w:rsidR="00D8530A" w:rsidRDefault="00000000">
            <w:pPr>
              <w:widowControl/>
              <w:jc w:val="left"/>
              <w:rPr>
                <w:rFonts w:ascii="宋体" w:hAnsi="宋体" w:hint="eastAsia"/>
                <w:b/>
                <w:szCs w:val="24"/>
              </w:rPr>
            </w:pPr>
            <w:r>
              <w:rPr>
                <w:rFonts w:ascii="宋体" w:hAnsi="宋体" w:hint="eastAsia"/>
                <w:b/>
                <w:szCs w:val="24"/>
              </w:rPr>
              <w:t>年化【</w:t>
            </w:r>
            <w:r>
              <w:rPr>
                <w:rFonts w:ascii="宋体" w:hAnsi="宋体" w:hint="eastAsia"/>
                <w:b/>
                <w:szCs w:val="24"/>
              </w:rPr>
              <w:t>2.45%-2.75%</w:t>
            </w:r>
            <w:r>
              <w:rPr>
                <w:rFonts w:ascii="宋体" w:hAnsi="宋体" w:hint="eastAsia"/>
                <w:b/>
                <w:szCs w:val="24"/>
              </w:rPr>
              <w:t>】（适用【</w:t>
            </w:r>
            <w:r>
              <w:rPr>
                <w:rFonts w:ascii="宋体" w:hAnsi="宋体" w:hint="eastAsia"/>
                <w:b/>
                <w:szCs w:val="24"/>
              </w:rPr>
              <w:t>H</w:t>
            </w:r>
            <w:r>
              <w:rPr>
                <w:rFonts w:ascii="宋体" w:hAnsi="宋体" w:hint="eastAsia"/>
                <w:b/>
                <w:szCs w:val="24"/>
              </w:rPr>
              <w:t>】类份额）</w:t>
            </w:r>
          </w:p>
          <w:p w14:paraId="0AF90A36" w14:textId="77777777" w:rsidR="00D8530A" w:rsidRDefault="00000000">
            <w:pPr>
              <w:widowControl/>
              <w:jc w:val="left"/>
              <w:rPr>
                <w:rFonts w:ascii="宋体" w:hAnsi="宋体" w:hint="eastAsia"/>
                <w:b/>
                <w:szCs w:val="24"/>
              </w:rPr>
            </w:pPr>
            <w:r>
              <w:rPr>
                <w:rFonts w:ascii="宋体" w:eastAsia="宋体" w:hAnsi="宋体" w:cs="东文宋体" w:hint="eastAsia"/>
                <w:szCs w:val="24"/>
              </w:rPr>
              <w:t>□</w:t>
            </w:r>
            <w:r>
              <w:rPr>
                <w:rFonts w:ascii="宋体" w:hAnsi="宋体" w:hint="eastAsia"/>
                <w:b/>
                <w:szCs w:val="24"/>
              </w:rPr>
              <w:t>本产品</w:t>
            </w:r>
            <w:r>
              <w:rPr>
                <w:rFonts w:ascii="宋体" w:hAnsi="宋体"/>
                <w:b/>
                <w:szCs w:val="24"/>
              </w:rPr>
              <w:t>不</w:t>
            </w:r>
            <w:r>
              <w:rPr>
                <w:rFonts w:ascii="宋体" w:hAnsi="宋体" w:hint="eastAsia"/>
                <w:b/>
                <w:szCs w:val="24"/>
              </w:rPr>
              <w:t>设置</w:t>
            </w:r>
            <w:r>
              <w:rPr>
                <w:rFonts w:ascii="宋体" w:hAnsi="宋体"/>
                <w:b/>
                <w:szCs w:val="24"/>
              </w:rPr>
              <w:t>业绩比较基准</w:t>
            </w:r>
            <w:r>
              <w:rPr>
                <w:rFonts w:ascii="宋体" w:hAnsi="宋体" w:hint="eastAsia"/>
                <w:b/>
                <w:szCs w:val="24"/>
              </w:rPr>
              <w:t>。</w:t>
            </w:r>
          </w:p>
          <w:p w14:paraId="6290B0C4" w14:textId="77777777" w:rsidR="00D8530A" w:rsidRDefault="00000000">
            <w:pPr>
              <w:widowControl/>
              <w:spacing w:line="400" w:lineRule="exact"/>
              <w:jc w:val="left"/>
              <w:textAlignment w:val="center"/>
              <w:rPr>
                <w:rFonts w:ascii="宋体" w:hAnsi="宋体" w:hint="eastAsia"/>
                <w:b/>
                <w:szCs w:val="24"/>
              </w:rPr>
            </w:pPr>
            <w:r>
              <w:rPr>
                <w:rFonts w:ascii="宋体" w:hAnsi="宋体" w:hint="eastAsia"/>
                <w:b/>
                <w:szCs w:val="24"/>
              </w:rPr>
              <w:t>2</w:t>
            </w:r>
            <w:r>
              <w:rPr>
                <w:rFonts w:ascii="宋体" w:hAnsi="宋体"/>
                <w:b/>
                <w:szCs w:val="24"/>
              </w:rPr>
              <w:t>.</w:t>
            </w:r>
            <w:r>
              <w:rPr>
                <w:rFonts w:ascii="宋体" w:hAnsi="宋体" w:hint="eastAsia"/>
                <w:b/>
                <w:szCs w:val="24"/>
              </w:rPr>
              <w:t>业绩</w:t>
            </w:r>
            <w:r>
              <w:rPr>
                <w:rFonts w:ascii="宋体" w:hAnsi="宋体"/>
                <w:b/>
                <w:szCs w:val="24"/>
              </w:rPr>
              <w:t>比较基准</w:t>
            </w:r>
            <w:r>
              <w:rPr>
                <w:rFonts w:ascii="宋体" w:hAnsi="宋体" w:hint="eastAsia"/>
                <w:b/>
                <w:szCs w:val="24"/>
              </w:rPr>
              <w:t>提示</w:t>
            </w:r>
          </w:p>
          <w:p w14:paraId="052DAB0B" w14:textId="77777777" w:rsidR="00D8530A" w:rsidRDefault="00000000">
            <w:pPr>
              <w:widowControl/>
              <w:spacing w:line="400" w:lineRule="exact"/>
              <w:jc w:val="left"/>
              <w:textAlignment w:val="center"/>
              <w:rPr>
                <w:rFonts w:ascii="宋体" w:hAnsi="宋体" w:hint="eastAsia"/>
                <w:b/>
                <w:szCs w:val="24"/>
              </w:rPr>
            </w:pPr>
            <w:r>
              <w:rPr>
                <w:rFonts w:ascii="宋体" w:hAnsi="宋体" w:hint="eastAsia"/>
                <w:b/>
                <w:szCs w:val="24"/>
              </w:rPr>
              <w:t>本理财产品为净值型产品，业绩表现将随市场波动，具有不确定性。业绩比较基准是管理人基于投资范围内各类资产的收益率水平、投资比例、市场情况等因素进行静态测算和情景分析所得出和设定的投资目标。</w:t>
            </w:r>
          </w:p>
          <w:p w14:paraId="4E2D0F0D" w14:textId="77777777" w:rsidR="00D8530A" w:rsidRDefault="00000000">
            <w:pPr>
              <w:widowControl/>
              <w:spacing w:line="400" w:lineRule="exact"/>
              <w:jc w:val="left"/>
              <w:textAlignment w:val="center"/>
              <w:rPr>
                <w:rFonts w:ascii="宋体" w:hAnsi="宋体" w:hint="eastAsia"/>
                <w:b/>
                <w:bCs/>
                <w:szCs w:val="24"/>
              </w:rPr>
            </w:pPr>
            <w:r>
              <w:rPr>
                <w:rFonts w:asciiTheme="minorEastAsia" w:hAnsiTheme="minorEastAsia" w:hint="eastAsia"/>
                <w:kern w:val="0"/>
                <w:szCs w:val="24"/>
              </w:rPr>
              <w:t>本理财产品</w:t>
            </w:r>
            <w:r>
              <w:rPr>
                <w:rFonts w:ascii="宋体" w:hAnsi="宋体" w:hint="eastAsia"/>
                <w:b/>
                <w:szCs w:val="24"/>
              </w:rPr>
              <w:t>投向债权类资产投资比例不低于</w:t>
            </w:r>
            <w:r>
              <w:rPr>
                <w:rFonts w:ascii="宋体" w:hAnsi="宋体" w:hint="eastAsia"/>
                <w:b/>
                <w:szCs w:val="24"/>
              </w:rPr>
              <w:t>80%</w:t>
            </w:r>
            <w:r>
              <w:rPr>
                <w:rFonts w:ascii="宋体" w:hAnsi="宋体" w:hint="eastAsia"/>
                <w:b/>
                <w:szCs w:val="24"/>
              </w:rPr>
              <w:t>，投向权益类资产、商品及金融衍生品类资产不高于</w:t>
            </w:r>
            <w:r>
              <w:rPr>
                <w:rFonts w:ascii="宋体" w:hAnsi="宋体" w:hint="eastAsia"/>
                <w:b/>
                <w:szCs w:val="24"/>
              </w:rPr>
              <w:t>20%</w:t>
            </w:r>
            <w:r>
              <w:rPr>
                <w:rFonts w:ascii="宋体" w:hAnsi="宋体" w:hint="eastAsia"/>
                <w:b/>
                <w:szCs w:val="24"/>
              </w:rPr>
              <w:t>。</w:t>
            </w:r>
            <w:r>
              <w:rPr>
                <w:rFonts w:ascii="仿宋_GB2312" w:hAnsi="宋体" w:cs="宋体" w:hint="eastAsia"/>
                <w:bCs/>
                <w:kern w:val="0"/>
                <w:szCs w:val="24"/>
              </w:rPr>
              <w:t>本理财</w:t>
            </w:r>
            <w:r>
              <w:rPr>
                <w:rFonts w:ascii="仿宋_GB2312" w:hAnsi="宋体" w:cs="宋体"/>
                <w:bCs/>
                <w:kern w:val="0"/>
                <w:szCs w:val="24"/>
              </w:rPr>
              <w:t>产品在投资</w:t>
            </w:r>
            <w:r>
              <w:rPr>
                <w:rFonts w:ascii="仿宋_GB2312" w:hAnsi="宋体" w:cs="宋体" w:hint="eastAsia"/>
                <w:bCs/>
                <w:kern w:val="0"/>
                <w:szCs w:val="24"/>
              </w:rPr>
              <w:t>于</w:t>
            </w:r>
            <w:r>
              <w:rPr>
                <w:rFonts w:ascii="仿宋_GB2312" w:hAnsi="宋体" w:cs="宋体"/>
                <w:bCs/>
                <w:kern w:val="0"/>
                <w:szCs w:val="24"/>
              </w:rPr>
              <w:t>商品及金融衍生品类资产之前，管理人应获得相应的业务经营范围或投资交易资格</w:t>
            </w:r>
            <w:r>
              <w:rPr>
                <w:rFonts w:ascii="宋体" w:hAnsi="宋体" w:hint="eastAsia"/>
                <w:b/>
                <w:bCs/>
                <w:szCs w:val="24"/>
              </w:rPr>
              <w:t>，管理人根据拟投资资产种类、配置比例、运作策略等因素，结合宏观经济情况和市场趋势的预判分析，综合测算、确定本理财产品的业绩比较基准。</w:t>
            </w:r>
          </w:p>
          <w:p w14:paraId="4020C907" w14:textId="77777777" w:rsidR="00D8530A" w:rsidRDefault="00000000">
            <w:pPr>
              <w:widowControl/>
              <w:spacing w:line="400" w:lineRule="exact"/>
              <w:jc w:val="left"/>
              <w:textAlignment w:val="center"/>
              <w:rPr>
                <w:rFonts w:asciiTheme="minorEastAsia" w:hAnsiTheme="minorEastAsia" w:cstheme="minorEastAsia" w:hint="eastAsia"/>
                <w:b/>
              </w:rPr>
            </w:pPr>
            <w:r>
              <w:rPr>
                <w:rFonts w:asciiTheme="minorEastAsia" w:hAnsiTheme="minorEastAsia" w:cstheme="minorEastAsia" w:hint="eastAsia"/>
                <w:b/>
              </w:rPr>
              <w:t>业绩比较基准不是预期收益率，不代表产品的未来表现和实际收益，仅作为业绩参考和</w:t>
            </w:r>
            <w:r>
              <w:rPr>
                <w:rFonts w:asciiTheme="minorEastAsia" w:hAnsiTheme="minorEastAsia" w:cstheme="minorEastAsia"/>
                <w:b/>
              </w:rPr>
              <w:t>计算</w:t>
            </w:r>
            <w:r>
              <w:rPr>
                <w:rFonts w:asciiTheme="minorEastAsia" w:hAnsiTheme="minorEastAsia" w:cstheme="minorEastAsia" w:hint="eastAsia"/>
                <w:b/>
              </w:rPr>
              <w:t>浮动管理费（如有）的依据，不构成对该理财产品的任何收益承诺，投资者能获得的最终收益以实际支付为准。</w:t>
            </w:r>
          </w:p>
          <w:p w14:paraId="7E35F41E" w14:textId="77777777" w:rsidR="00D8530A" w:rsidRDefault="00000000">
            <w:pPr>
              <w:widowControl/>
              <w:spacing w:line="400" w:lineRule="exact"/>
              <w:jc w:val="left"/>
              <w:textAlignment w:val="center"/>
              <w:rPr>
                <w:rFonts w:ascii="仿宋_GB2312" w:hAnsi="等线" w:cs="仿宋_GB2312" w:hint="eastAsia"/>
                <w:bCs/>
                <w:color w:val="000000" w:themeColor="text1"/>
              </w:rPr>
            </w:pPr>
            <w:r>
              <w:rPr>
                <w:rFonts w:asciiTheme="minorEastAsia" w:hAnsiTheme="minorEastAsia" w:cstheme="minorEastAsia" w:hint="eastAsia"/>
                <w:b/>
              </w:rPr>
              <w:t>理财产品存续期内，管理人有权根据市场情况对业绩比较基准进行调整，该调整将通过本《产品说明书》之“信息披露”约定的方式进行信息披露，如未披露调整，以最新披露的业绩比较基准为准。</w:t>
            </w:r>
          </w:p>
        </w:tc>
      </w:tr>
      <w:tr w:rsidR="00D8530A" w14:paraId="38E98AAE" w14:textId="77777777">
        <w:trPr>
          <w:trHeight w:val="270"/>
        </w:trPr>
        <w:tc>
          <w:tcPr>
            <w:tcW w:w="9425" w:type="dxa"/>
            <w:gridSpan w:val="2"/>
            <w:tcBorders>
              <w:top w:val="single" w:sz="4" w:space="0" w:color="auto"/>
              <w:left w:val="single" w:sz="4" w:space="0" w:color="auto"/>
              <w:bottom w:val="single" w:sz="4" w:space="0" w:color="auto"/>
              <w:right w:val="single" w:sz="4" w:space="0" w:color="auto"/>
            </w:tcBorders>
            <w:vAlign w:val="center"/>
          </w:tcPr>
          <w:p w14:paraId="11F9D83E" w14:textId="77777777" w:rsidR="00D8530A" w:rsidRDefault="00000000">
            <w:pPr>
              <w:widowControl/>
              <w:spacing w:line="400" w:lineRule="exact"/>
              <w:jc w:val="center"/>
              <w:textAlignment w:val="center"/>
              <w:rPr>
                <w:rFonts w:ascii="楷体_GB2312" w:eastAsia="楷体_GB2312" w:hAnsi="等线" w:cs="楷体_GB2312" w:hint="eastAsia"/>
                <w:bCs/>
                <w:color w:val="000000" w:themeColor="text1"/>
              </w:rPr>
            </w:pPr>
            <w:r>
              <w:rPr>
                <w:rFonts w:ascii="楷体_GB2312" w:eastAsia="楷体_GB2312" w:hAnsi="等线" w:cs="楷体_GB2312" w:hint="eastAsia"/>
                <w:b/>
                <w:color w:val="000000" w:themeColor="text1"/>
                <w:kern w:val="0"/>
                <w:lang w:bidi="ar"/>
              </w:rPr>
              <w:lastRenderedPageBreak/>
              <w:t>（七）投资范围与策略</w:t>
            </w:r>
          </w:p>
        </w:tc>
      </w:tr>
      <w:tr w:rsidR="00D8530A" w14:paraId="273301A4" w14:textId="77777777">
        <w:trPr>
          <w:trHeight w:val="1420"/>
        </w:trPr>
        <w:tc>
          <w:tcPr>
            <w:tcW w:w="2453" w:type="dxa"/>
            <w:tcBorders>
              <w:top w:val="single" w:sz="4" w:space="0" w:color="auto"/>
              <w:left w:val="single" w:sz="4" w:space="0" w:color="auto"/>
              <w:bottom w:val="single" w:sz="4" w:space="0" w:color="auto"/>
              <w:right w:val="single" w:sz="4" w:space="0" w:color="auto"/>
            </w:tcBorders>
            <w:vAlign w:val="center"/>
          </w:tcPr>
          <w:p w14:paraId="727A0BFA" w14:textId="77777777" w:rsidR="00D8530A" w:rsidRDefault="00000000">
            <w:pPr>
              <w:widowControl/>
              <w:spacing w:line="560" w:lineRule="exact"/>
              <w:jc w:val="center"/>
              <w:textAlignment w:val="center"/>
              <w:rPr>
                <w:rFonts w:ascii="仿宋_GB2312" w:hAnsi="等线" w:cs="仿宋_GB2312" w:hint="eastAsia"/>
                <w:color w:val="000000" w:themeColor="text1"/>
              </w:rPr>
            </w:pPr>
            <w:r>
              <w:rPr>
                <w:rFonts w:ascii="仿宋_GB2312" w:hAnsi="等线" w:cs="仿宋_GB2312" w:hint="eastAsia"/>
                <w:color w:val="000000" w:themeColor="text1"/>
                <w:kern w:val="0"/>
                <w:lang w:bidi="ar"/>
              </w:rPr>
              <w:t>投资范围</w:t>
            </w:r>
          </w:p>
        </w:tc>
        <w:tc>
          <w:tcPr>
            <w:tcW w:w="6972" w:type="dxa"/>
            <w:tcBorders>
              <w:top w:val="single" w:sz="4" w:space="0" w:color="auto"/>
              <w:left w:val="single" w:sz="4" w:space="0" w:color="auto"/>
              <w:bottom w:val="single" w:sz="4" w:space="0" w:color="auto"/>
              <w:right w:val="single" w:sz="4" w:space="0" w:color="auto"/>
            </w:tcBorders>
            <w:vAlign w:val="center"/>
          </w:tcPr>
          <w:p w14:paraId="138D9785" w14:textId="77777777" w:rsidR="00D8530A" w:rsidRDefault="00000000">
            <w:pPr>
              <w:tabs>
                <w:tab w:val="left" w:pos="3119"/>
              </w:tabs>
              <w:autoSpaceDE w:val="0"/>
              <w:autoSpaceDN w:val="0"/>
              <w:spacing w:line="360" w:lineRule="auto"/>
              <w:ind w:rightChars="15" w:right="36" w:firstLineChars="200" w:firstLine="480"/>
              <w:rPr>
                <w:rFonts w:ascii="仿宋_GB2312" w:hAnsi="宋体" w:cs="宋体" w:hint="eastAsia"/>
                <w:bCs/>
                <w:kern w:val="0"/>
                <w:szCs w:val="24"/>
              </w:rPr>
            </w:pPr>
            <w:r>
              <w:rPr>
                <w:rFonts w:ascii="仿宋_GB2312" w:hAnsi="宋体" w:cs="宋体" w:hint="eastAsia"/>
                <w:bCs/>
                <w:kern w:val="0"/>
                <w:szCs w:val="24"/>
              </w:rPr>
              <w:t>本理财产品投资于境内外现金、银行存款、大额存单、同业存单、回购等货币市场工具及国债、地方政府债券、中央银行票据、政府支持机构债、金融债、非金融企业债务融资工具、公司债、企业债、可交换债券、可转换债券、资产支持票据、资产支</w:t>
            </w:r>
            <w:r>
              <w:rPr>
                <w:rFonts w:ascii="仿宋_GB2312" w:hAnsi="宋体" w:cs="宋体" w:hint="eastAsia"/>
                <w:bCs/>
                <w:kern w:val="0"/>
                <w:szCs w:val="24"/>
              </w:rPr>
              <w:lastRenderedPageBreak/>
              <w:t>持证券、次级债（包括二级资本债）、永续债、非标准化债权等债权类资产，优先股、上市公司股票、公募REITs、交易型开放式指数基金（ETF）、上市型开放式基金（LOF）等权益类资产，远期、国债期货、股指期货、商品期货、收益互换、利率互换、期权、债券借贷、结构性存款等商品和金融衍生品类资产，主要投向上述资产类别且符合监管机构要求的公募证券投资基金、信托计划、资产管理计划等资产管理产品以及国务院银行业监督管理机构认可的其他资产。</w:t>
            </w:r>
          </w:p>
          <w:p w14:paraId="1C9C9B04" w14:textId="77777777" w:rsidR="00D8530A" w:rsidRDefault="00000000">
            <w:pPr>
              <w:tabs>
                <w:tab w:val="left" w:pos="3119"/>
              </w:tabs>
              <w:autoSpaceDE w:val="0"/>
              <w:autoSpaceDN w:val="0"/>
              <w:spacing w:line="360" w:lineRule="auto"/>
              <w:ind w:rightChars="15" w:right="36" w:firstLineChars="200" w:firstLine="480"/>
              <w:rPr>
                <w:rFonts w:ascii="仿宋_GB2312" w:hAnsi="宋体" w:cs="宋体" w:hint="eastAsia"/>
                <w:bCs/>
                <w:kern w:val="0"/>
                <w:szCs w:val="24"/>
              </w:rPr>
            </w:pPr>
            <w:r>
              <w:rPr>
                <w:rFonts w:ascii="仿宋_GB2312" w:hAnsi="宋体" w:cs="宋体"/>
                <w:bCs/>
                <w:kern w:val="0"/>
                <w:szCs w:val="24"/>
              </w:rPr>
              <w:t>本理财产品在投资于境外资产之前，管理人应获得相应的业务经营范围或投资交易资格。</w:t>
            </w:r>
          </w:p>
          <w:p w14:paraId="26714C7C" w14:textId="77777777" w:rsidR="00D8530A" w:rsidRDefault="00000000">
            <w:pPr>
              <w:tabs>
                <w:tab w:val="left" w:pos="3119"/>
              </w:tabs>
              <w:autoSpaceDE w:val="0"/>
              <w:autoSpaceDN w:val="0"/>
              <w:spacing w:line="360" w:lineRule="auto"/>
              <w:ind w:rightChars="15" w:right="36" w:firstLineChars="200" w:firstLine="480"/>
              <w:rPr>
                <w:rFonts w:ascii="仿宋_GB2312" w:hAnsi="宋体" w:cs="宋体" w:hint="eastAsia"/>
                <w:bCs/>
                <w:kern w:val="0"/>
                <w:szCs w:val="24"/>
              </w:rPr>
            </w:pPr>
            <w:r>
              <w:rPr>
                <w:rFonts w:ascii="仿宋_GB2312" w:hAnsi="宋体" w:cs="宋体" w:hint="eastAsia"/>
                <w:bCs/>
                <w:kern w:val="0"/>
                <w:szCs w:val="24"/>
              </w:rPr>
              <w:t>本理财</w:t>
            </w:r>
            <w:r>
              <w:rPr>
                <w:rFonts w:ascii="仿宋_GB2312" w:hAnsi="宋体" w:cs="宋体"/>
                <w:bCs/>
                <w:kern w:val="0"/>
                <w:szCs w:val="24"/>
              </w:rPr>
              <w:t>产品在投资</w:t>
            </w:r>
            <w:r>
              <w:rPr>
                <w:rFonts w:ascii="仿宋_GB2312" w:hAnsi="宋体" w:cs="宋体" w:hint="eastAsia"/>
                <w:bCs/>
                <w:kern w:val="0"/>
                <w:szCs w:val="24"/>
              </w:rPr>
              <w:t>于</w:t>
            </w:r>
            <w:r>
              <w:rPr>
                <w:rFonts w:ascii="仿宋_GB2312" w:hAnsi="宋体" w:cs="宋体"/>
                <w:bCs/>
                <w:kern w:val="0"/>
                <w:szCs w:val="24"/>
              </w:rPr>
              <w:t>商品及金融衍生品类资产之前，管理人应获得相应的业务经营范围或投资交易资格。</w:t>
            </w:r>
          </w:p>
          <w:p w14:paraId="795319CA" w14:textId="77777777" w:rsidR="00D8530A" w:rsidRDefault="00000000">
            <w:pPr>
              <w:tabs>
                <w:tab w:val="left" w:pos="3119"/>
              </w:tabs>
              <w:autoSpaceDE w:val="0"/>
              <w:autoSpaceDN w:val="0"/>
              <w:spacing w:line="360" w:lineRule="auto"/>
              <w:ind w:rightChars="15" w:right="36" w:firstLineChars="200" w:firstLine="480"/>
              <w:rPr>
                <w:rFonts w:ascii="仿宋_GB2312" w:hAnsi="宋体" w:cs="宋体" w:hint="eastAsia"/>
                <w:bCs/>
                <w:kern w:val="0"/>
                <w:szCs w:val="24"/>
              </w:rPr>
            </w:pPr>
            <w:r>
              <w:rPr>
                <w:rFonts w:ascii="仿宋_GB2312" w:hAnsi="宋体" w:cs="宋体" w:hint="eastAsia"/>
                <w:bCs/>
                <w:kern w:val="0"/>
                <w:szCs w:val="24"/>
              </w:rPr>
              <w:t>本理财产品投资的资产范围须完全符合法律法规或监管规定，如因法律法规或监管规定的变更、修订或更新导致本理财产品投资某类资产受到限制或禁止的，该类资产将被视为从上述资产范围中自动剔除。</w:t>
            </w:r>
          </w:p>
        </w:tc>
      </w:tr>
      <w:tr w:rsidR="00D8530A" w14:paraId="6E2B0927" w14:textId="77777777">
        <w:trPr>
          <w:trHeight w:val="780"/>
        </w:trPr>
        <w:tc>
          <w:tcPr>
            <w:tcW w:w="2453" w:type="dxa"/>
            <w:tcBorders>
              <w:top w:val="single" w:sz="4" w:space="0" w:color="auto"/>
              <w:left w:val="single" w:sz="4" w:space="0" w:color="auto"/>
              <w:bottom w:val="single" w:sz="4" w:space="0" w:color="auto"/>
              <w:right w:val="single" w:sz="4" w:space="0" w:color="auto"/>
            </w:tcBorders>
            <w:vAlign w:val="center"/>
          </w:tcPr>
          <w:p w14:paraId="6AD2B669" w14:textId="77777777" w:rsidR="00D8530A" w:rsidRDefault="00000000">
            <w:pPr>
              <w:widowControl/>
              <w:spacing w:line="560" w:lineRule="exact"/>
              <w:jc w:val="center"/>
              <w:textAlignment w:val="center"/>
              <w:rPr>
                <w:rFonts w:ascii="仿宋_GB2312" w:hAnsi="等线" w:cs="仿宋_GB2312" w:hint="eastAsia"/>
                <w:color w:val="000000" w:themeColor="text1"/>
              </w:rPr>
            </w:pPr>
            <w:r>
              <w:rPr>
                <w:rFonts w:ascii="仿宋_GB2312" w:hAnsi="等线" w:cs="仿宋_GB2312" w:hint="eastAsia"/>
                <w:color w:val="000000" w:themeColor="text1"/>
                <w:kern w:val="0"/>
                <w:lang w:bidi="ar"/>
              </w:rPr>
              <w:lastRenderedPageBreak/>
              <w:t>投资策略</w:t>
            </w:r>
          </w:p>
        </w:tc>
        <w:tc>
          <w:tcPr>
            <w:tcW w:w="6972" w:type="dxa"/>
            <w:tcBorders>
              <w:top w:val="single" w:sz="4" w:space="0" w:color="auto"/>
              <w:left w:val="single" w:sz="4" w:space="0" w:color="auto"/>
              <w:bottom w:val="single" w:sz="4" w:space="0" w:color="auto"/>
              <w:right w:val="single" w:sz="4" w:space="0" w:color="auto"/>
            </w:tcBorders>
            <w:vAlign w:val="center"/>
          </w:tcPr>
          <w:p w14:paraId="6C4D19CA" w14:textId="77777777" w:rsidR="00D8530A" w:rsidRDefault="00000000">
            <w:pPr>
              <w:tabs>
                <w:tab w:val="left" w:pos="3119"/>
              </w:tabs>
              <w:autoSpaceDE w:val="0"/>
              <w:autoSpaceDN w:val="0"/>
              <w:adjustRightInd w:val="0"/>
              <w:snapToGrid w:val="0"/>
              <w:spacing w:line="360" w:lineRule="auto"/>
              <w:ind w:rightChars="15" w:right="36" w:firstLineChars="200" w:firstLine="480"/>
              <w:rPr>
                <w:rFonts w:ascii="仿宋_GB2312" w:hAnsi="宋体" w:cs="宋体" w:hint="eastAsia"/>
                <w:bCs/>
                <w:kern w:val="0"/>
                <w:szCs w:val="24"/>
              </w:rPr>
            </w:pPr>
            <w:r>
              <w:rPr>
                <w:rFonts w:ascii="仿宋_GB2312" w:hAnsi="宋体" w:cs="宋体" w:hint="eastAsia"/>
                <w:bCs/>
                <w:kern w:val="0"/>
                <w:szCs w:val="24"/>
              </w:rPr>
              <w:t>本系列产品本着稳健投资的理念，通过对宏观经济的研究，在较低风险资产间进行合理配置，在有效控制信用风险的基础上尽可能提高投资组合收益。理财产品主要投资于各类银行存款、同业存单、回购等货币市场工具以及债券、非标准化债权等债权类资产，以及优先股等权益类资产，同时根据宏观经济、货币政策和信用环境等因素，制定多种投资策略。在投资组合构建和调</w:t>
            </w:r>
            <w:r>
              <w:rPr>
                <w:rFonts w:ascii="仿宋_GB2312" w:hAnsi="宋体" w:cs="宋体" w:hint="eastAsia"/>
                <w:bCs/>
                <w:kern w:val="0"/>
                <w:szCs w:val="24"/>
              </w:rPr>
              <w:lastRenderedPageBreak/>
              <w:t>整的过程中，根据投资品种的变化，如收益率、流动性状况变化或品种到期等，不定期的对组合进行优化调整。</w:t>
            </w:r>
          </w:p>
          <w:p w14:paraId="7DFD4C83" w14:textId="77777777" w:rsidR="00D8530A" w:rsidRDefault="00000000">
            <w:pPr>
              <w:tabs>
                <w:tab w:val="left" w:pos="3119"/>
              </w:tabs>
              <w:autoSpaceDE w:val="0"/>
              <w:autoSpaceDN w:val="0"/>
              <w:adjustRightInd w:val="0"/>
              <w:snapToGrid w:val="0"/>
              <w:spacing w:line="360" w:lineRule="auto"/>
              <w:ind w:rightChars="15" w:right="36" w:firstLineChars="200" w:firstLine="480"/>
              <w:rPr>
                <w:rFonts w:ascii="仿宋_GB2312" w:hAnsi="等线" w:cs="仿宋_GB2312" w:hint="eastAsia"/>
                <w:bCs/>
                <w:color w:val="000000" w:themeColor="text1"/>
              </w:rPr>
            </w:pPr>
            <w:r>
              <w:rPr>
                <w:rFonts w:ascii="仿宋_GB2312" w:hAnsi="宋体" w:cs="宋体" w:hint="eastAsia"/>
                <w:bCs/>
                <w:kern w:val="0"/>
                <w:szCs w:val="24"/>
              </w:rPr>
              <w:t>本产品可在符合监管规定的前提下适当运用杠杆原理，通过回购操作，增强投资组合的收益</w:t>
            </w:r>
            <w:proofErr w:type="gramStart"/>
            <w:r>
              <w:rPr>
                <w:rFonts w:ascii="仿宋_GB2312" w:hAnsi="宋体" w:cs="宋体" w:hint="eastAsia"/>
                <w:bCs/>
                <w:kern w:val="0"/>
                <w:szCs w:val="24"/>
              </w:rPr>
              <w:t>水平,</w:t>
            </w:r>
            <w:proofErr w:type="gramEnd"/>
            <w:r>
              <w:rPr>
                <w:rFonts w:ascii="仿宋_GB2312" w:hAnsi="宋体" w:cs="宋体" w:hint="eastAsia"/>
                <w:bCs/>
                <w:kern w:val="0"/>
                <w:szCs w:val="24"/>
              </w:rPr>
              <w:t>但本理财产品总资产不超过净资产的200%。</w:t>
            </w:r>
          </w:p>
        </w:tc>
      </w:tr>
      <w:tr w:rsidR="00D8530A" w14:paraId="4F8C35FD" w14:textId="77777777">
        <w:trPr>
          <w:trHeight w:val="555"/>
        </w:trPr>
        <w:tc>
          <w:tcPr>
            <w:tcW w:w="2453" w:type="dxa"/>
            <w:tcBorders>
              <w:top w:val="single" w:sz="4" w:space="0" w:color="auto"/>
              <w:left w:val="single" w:sz="4" w:space="0" w:color="auto"/>
              <w:bottom w:val="single" w:sz="4" w:space="0" w:color="auto"/>
              <w:right w:val="single" w:sz="4" w:space="0" w:color="auto"/>
            </w:tcBorders>
            <w:vAlign w:val="center"/>
          </w:tcPr>
          <w:p w14:paraId="040B016D" w14:textId="77777777" w:rsidR="00D8530A" w:rsidRDefault="00000000">
            <w:pPr>
              <w:widowControl/>
              <w:spacing w:line="560" w:lineRule="exact"/>
              <w:jc w:val="center"/>
              <w:textAlignment w:val="center"/>
              <w:rPr>
                <w:rFonts w:ascii="仿宋_GB2312" w:hAnsi="等线" w:cs="仿宋_GB2312" w:hint="eastAsia"/>
                <w:color w:val="000000" w:themeColor="text1"/>
              </w:rPr>
            </w:pPr>
            <w:r>
              <w:rPr>
                <w:rFonts w:ascii="仿宋_GB2312" w:hAnsi="等线" w:cs="仿宋_GB2312" w:hint="eastAsia"/>
                <w:color w:val="000000" w:themeColor="text1"/>
                <w:kern w:val="0"/>
                <w:lang w:bidi="ar"/>
              </w:rPr>
              <w:lastRenderedPageBreak/>
              <w:t>债权类资产投资上限</w:t>
            </w:r>
          </w:p>
        </w:tc>
        <w:tc>
          <w:tcPr>
            <w:tcW w:w="6972" w:type="dxa"/>
            <w:tcBorders>
              <w:top w:val="single" w:sz="4" w:space="0" w:color="auto"/>
              <w:left w:val="single" w:sz="4" w:space="0" w:color="auto"/>
              <w:bottom w:val="single" w:sz="4" w:space="0" w:color="auto"/>
              <w:right w:val="single" w:sz="4" w:space="0" w:color="auto"/>
            </w:tcBorders>
            <w:vAlign w:val="center"/>
          </w:tcPr>
          <w:p w14:paraId="35426793" w14:textId="77777777" w:rsidR="00D8530A" w:rsidRDefault="00000000">
            <w:pPr>
              <w:widowControl/>
              <w:spacing w:line="560" w:lineRule="exact"/>
              <w:jc w:val="left"/>
              <w:textAlignment w:val="center"/>
              <w:rPr>
                <w:rFonts w:ascii="仿宋_GB2312" w:hAnsi="仿宋_GB2312" w:cs="仿宋_GB2312" w:hint="eastAsia"/>
                <w:bCs/>
                <w:color w:val="000000" w:themeColor="text1"/>
              </w:rPr>
            </w:pPr>
            <w:r>
              <w:rPr>
                <w:rFonts w:ascii="仿宋_GB2312" w:hAnsi="仿宋_GB2312" w:cs="仿宋_GB2312" w:hint="eastAsia"/>
                <w:szCs w:val="24"/>
                <w:lang w:bidi="ar"/>
              </w:rPr>
              <w:t>100%</w:t>
            </w:r>
          </w:p>
        </w:tc>
      </w:tr>
      <w:tr w:rsidR="00D8530A" w14:paraId="6B0C1C96" w14:textId="77777777">
        <w:trPr>
          <w:trHeight w:val="555"/>
        </w:trPr>
        <w:tc>
          <w:tcPr>
            <w:tcW w:w="2453" w:type="dxa"/>
            <w:tcBorders>
              <w:top w:val="single" w:sz="4" w:space="0" w:color="auto"/>
              <w:left w:val="single" w:sz="4" w:space="0" w:color="auto"/>
              <w:bottom w:val="single" w:sz="4" w:space="0" w:color="auto"/>
              <w:right w:val="single" w:sz="4" w:space="0" w:color="auto"/>
            </w:tcBorders>
            <w:vAlign w:val="center"/>
          </w:tcPr>
          <w:p w14:paraId="50FFFE9B" w14:textId="77777777" w:rsidR="00D8530A" w:rsidRDefault="00000000">
            <w:pPr>
              <w:widowControl/>
              <w:spacing w:line="560" w:lineRule="exact"/>
              <w:jc w:val="center"/>
              <w:textAlignment w:val="center"/>
              <w:rPr>
                <w:rFonts w:ascii="仿宋_GB2312" w:hAnsi="等线" w:cs="仿宋_GB2312" w:hint="eastAsia"/>
                <w:color w:val="000000" w:themeColor="text1"/>
              </w:rPr>
            </w:pPr>
            <w:r>
              <w:rPr>
                <w:rFonts w:ascii="仿宋_GB2312" w:hAnsi="等线" w:cs="仿宋_GB2312" w:hint="eastAsia"/>
                <w:color w:val="000000" w:themeColor="text1"/>
                <w:kern w:val="0"/>
                <w:lang w:bidi="ar"/>
              </w:rPr>
              <w:t>债权类资产投资下限</w:t>
            </w:r>
          </w:p>
        </w:tc>
        <w:tc>
          <w:tcPr>
            <w:tcW w:w="6972" w:type="dxa"/>
            <w:tcBorders>
              <w:top w:val="single" w:sz="4" w:space="0" w:color="auto"/>
              <w:left w:val="single" w:sz="4" w:space="0" w:color="auto"/>
              <w:bottom w:val="single" w:sz="4" w:space="0" w:color="auto"/>
              <w:right w:val="single" w:sz="4" w:space="0" w:color="auto"/>
            </w:tcBorders>
            <w:vAlign w:val="center"/>
          </w:tcPr>
          <w:p w14:paraId="07D75608" w14:textId="77777777" w:rsidR="00D8530A" w:rsidRDefault="00000000">
            <w:pPr>
              <w:widowControl/>
              <w:spacing w:line="560" w:lineRule="exact"/>
              <w:jc w:val="left"/>
              <w:textAlignment w:val="center"/>
              <w:rPr>
                <w:rFonts w:ascii="仿宋_GB2312" w:hAnsi="仿宋_GB2312" w:cs="仿宋_GB2312" w:hint="eastAsia"/>
                <w:bCs/>
                <w:color w:val="000000" w:themeColor="text1"/>
              </w:rPr>
            </w:pPr>
            <w:r>
              <w:rPr>
                <w:rFonts w:ascii="仿宋_GB2312" w:hAnsi="仿宋_GB2312" w:cs="仿宋_GB2312" w:hint="eastAsia"/>
                <w:bCs/>
                <w:color w:val="000000" w:themeColor="text1"/>
              </w:rPr>
              <w:t>80%</w:t>
            </w:r>
          </w:p>
        </w:tc>
      </w:tr>
      <w:tr w:rsidR="00D8530A" w14:paraId="27A1AC2B" w14:textId="77777777">
        <w:trPr>
          <w:trHeight w:val="555"/>
        </w:trPr>
        <w:tc>
          <w:tcPr>
            <w:tcW w:w="2453" w:type="dxa"/>
            <w:tcBorders>
              <w:top w:val="single" w:sz="4" w:space="0" w:color="auto"/>
              <w:left w:val="single" w:sz="4" w:space="0" w:color="auto"/>
              <w:bottom w:val="single" w:sz="4" w:space="0" w:color="auto"/>
              <w:right w:val="single" w:sz="4" w:space="0" w:color="auto"/>
            </w:tcBorders>
            <w:vAlign w:val="center"/>
          </w:tcPr>
          <w:p w14:paraId="4AB1A2B9" w14:textId="77777777" w:rsidR="00D8530A" w:rsidRDefault="00000000">
            <w:pPr>
              <w:widowControl/>
              <w:spacing w:line="560" w:lineRule="exact"/>
              <w:jc w:val="center"/>
              <w:textAlignment w:val="center"/>
              <w:rPr>
                <w:rFonts w:ascii="仿宋_GB2312" w:hAnsi="等线" w:cs="仿宋_GB2312" w:hint="eastAsia"/>
                <w:color w:val="000000" w:themeColor="text1"/>
              </w:rPr>
            </w:pPr>
            <w:r>
              <w:rPr>
                <w:rFonts w:ascii="仿宋_GB2312" w:hAnsi="等线" w:cs="仿宋_GB2312" w:hint="eastAsia"/>
                <w:color w:val="000000" w:themeColor="text1"/>
                <w:kern w:val="0"/>
                <w:lang w:bidi="ar"/>
              </w:rPr>
              <w:t>权益类资产投资上限</w:t>
            </w:r>
          </w:p>
        </w:tc>
        <w:tc>
          <w:tcPr>
            <w:tcW w:w="6972" w:type="dxa"/>
            <w:tcBorders>
              <w:top w:val="single" w:sz="4" w:space="0" w:color="auto"/>
              <w:left w:val="single" w:sz="4" w:space="0" w:color="auto"/>
              <w:bottom w:val="single" w:sz="4" w:space="0" w:color="auto"/>
              <w:right w:val="single" w:sz="4" w:space="0" w:color="auto"/>
            </w:tcBorders>
            <w:vAlign w:val="center"/>
          </w:tcPr>
          <w:p w14:paraId="1BBC7358" w14:textId="77777777" w:rsidR="00D8530A" w:rsidRDefault="00000000">
            <w:pPr>
              <w:widowControl/>
              <w:spacing w:line="560" w:lineRule="exact"/>
              <w:jc w:val="left"/>
              <w:textAlignment w:val="center"/>
              <w:rPr>
                <w:rFonts w:ascii="仿宋_GB2312" w:hAnsi="仿宋_GB2312" w:cs="仿宋_GB2312" w:hint="eastAsia"/>
                <w:bCs/>
                <w:color w:val="000000" w:themeColor="text1"/>
              </w:rPr>
            </w:pPr>
            <w:r>
              <w:rPr>
                <w:rFonts w:ascii="仿宋_GB2312" w:hAnsi="仿宋_GB2312" w:cs="仿宋_GB2312" w:hint="eastAsia"/>
                <w:szCs w:val="24"/>
                <w:lang w:bidi="ar"/>
              </w:rPr>
              <w:t>20%</w:t>
            </w:r>
          </w:p>
        </w:tc>
      </w:tr>
      <w:tr w:rsidR="00D8530A" w14:paraId="094FD47F" w14:textId="77777777">
        <w:trPr>
          <w:trHeight w:val="555"/>
        </w:trPr>
        <w:tc>
          <w:tcPr>
            <w:tcW w:w="2453" w:type="dxa"/>
            <w:tcBorders>
              <w:top w:val="single" w:sz="4" w:space="0" w:color="auto"/>
              <w:left w:val="single" w:sz="4" w:space="0" w:color="auto"/>
              <w:bottom w:val="single" w:sz="4" w:space="0" w:color="auto"/>
              <w:right w:val="single" w:sz="4" w:space="0" w:color="auto"/>
            </w:tcBorders>
            <w:vAlign w:val="center"/>
          </w:tcPr>
          <w:p w14:paraId="0056C61E" w14:textId="77777777" w:rsidR="00D8530A" w:rsidRDefault="00000000">
            <w:pPr>
              <w:widowControl/>
              <w:spacing w:line="560" w:lineRule="exact"/>
              <w:jc w:val="center"/>
              <w:textAlignment w:val="center"/>
              <w:rPr>
                <w:rFonts w:ascii="仿宋_GB2312" w:hAnsi="等线" w:cs="仿宋_GB2312" w:hint="eastAsia"/>
                <w:color w:val="000000" w:themeColor="text1"/>
              </w:rPr>
            </w:pPr>
            <w:r>
              <w:rPr>
                <w:rFonts w:ascii="仿宋_GB2312" w:hAnsi="等线" w:cs="仿宋_GB2312" w:hint="eastAsia"/>
                <w:color w:val="000000" w:themeColor="text1"/>
                <w:kern w:val="0"/>
                <w:lang w:bidi="ar"/>
              </w:rPr>
              <w:t>权益类资产投资下限</w:t>
            </w:r>
          </w:p>
        </w:tc>
        <w:tc>
          <w:tcPr>
            <w:tcW w:w="6972" w:type="dxa"/>
            <w:tcBorders>
              <w:top w:val="single" w:sz="4" w:space="0" w:color="auto"/>
              <w:left w:val="single" w:sz="4" w:space="0" w:color="auto"/>
              <w:bottom w:val="single" w:sz="4" w:space="0" w:color="auto"/>
              <w:right w:val="single" w:sz="4" w:space="0" w:color="auto"/>
            </w:tcBorders>
            <w:vAlign w:val="center"/>
          </w:tcPr>
          <w:p w14:paraId="1BFB0DDF" w14:textId="77777777" w:rsidR="00D8530A" w:rsidRDefault="00000000">
            <w:pPr>
              <w:widowControl/>
              <w:spacing w:line="560" w:lineRule="exact"/>
              <w:jc w:val="left"/>
              <w:textAlignment w:val="center"/>
              <w:rPr>
                <w:rFonts w:ascii="仿宋_GB2312" w:hAnsi="仿宋_GB2312" w:cs="仿宋_GB2312" w:hint="eastAsia"/>
                <w:bCs/>
                <w:color w:val="000000" w:themeColor="text1"/>
              </w:rPr>
            </w:pPr>
            <w:r>
              <w:rPr>
                <w:rFonts w:ascii="仿宋_GB2312" w:hAnsi="仿宋_GB2312" w:cs="仿宋_GB2312" w:hint="eastAsia"/>
                <w:bCs/>
                <w:color w:val="000000" w:themeColor="text1"/>
              </w:rPr>
              <w:t>0%</w:t>
            </w:r>
          </w:p>
        </w:tc>
      </w:tr>
      <w:tr w:rsidR="00D8530A" w14:paraId="0DFFFBF1" w14:textId="77777777">
        <w:trPr>
          <w:trHeight w:val="555"/>
        </w:trPr>
        <w:tc>
          <w:tcPr>
            <w:tcW w:w="2453" w:type="dxa"/>
            <w:tcBorders>
              <w:top w:val="single" w:sz="4" w:space="0" w:color="auto"/>
              <w:left w:val="single" w:sz="4" w:space="0" w:color="auto"/>
              <w:bottom w:val="single" w:sz="4" w:space="0" w:color="auto"/>
              <w:right w:val="single" w:sz="4" w:space="0" w:color="auto"/>
            </w:tcBorders>
            <w:vAlign w:val="center"/>
          </w:tcPr>
          <w:p w14:paraId="5697BBA4" w14:textId="77777777" w:rsidR="00D8530A" w:rsidRDefault="00000000">
            <w:pPr>
              <w:widowControl/>
              <w:spacing w:line="560" w:lineRule="exact"/>
              <w:jc w:val="center"/>
              <w:textAlignment w:val="center"/>
              <w:rPr>
                <w:rFonts w:ascii="仿宋_GB2312" w:hAnsi="等线" w:cs="仿宋_GB2312" w:hint="eastAsia"/>
                <w:color w:val="000000" w:themeColor="text1"/>
              </w:rPr>
            </w:pPr>
            <w:r>
              <w:rPr>
                <w:rFonts w:ascii="仿宋_GB2312" w:hAnsi="等线" w:cs="仿宋_GB2312" w:hint="eastAsia"/>
                <w:color w:val="000000" w:themeColor="text1"/>
                <w:kern w:val="0"/>
                <w:lang w:bidi="ar"/>
              </w:rPr>
              <w:t>商品及金融衍生品类资产投资上限</w:t>
            </w:r>
          </w:p>
        </w:tc>
        <w:tc>
          <w:tcPr>
            <w:tcW w:w="6972" w:type="dxa"/>
            <w:tcBorders>
              <w:top w:val="single" w:sz="4" w:space="0" w:color="auto"/>
              <w:left w:val="single" w:sz="4" w:space="0" w:color="auto"/>
              <w:bottom w:val="single" w:sz="4" w:space="0" w:color="auto"/>
              <w:right w:val="single" w:sz="4" w:space="0" w:color="auto"/>
            </w:tcBorders>
            <w:vAlign w:val="center"/>
          </w:tcPr>
          <w:p w14:paraId="16066290" w14:textId="77777777" w:rsidR="00D8530A" w:rsidRDefault="00000000">
            <w:pPr>
              <w:widowControl/>
              <w:spacing w:line="560" w:lineRule="exact"/>
              <w:jc w:val="left"/>
              <w:textAlignment w:val="center"/>
              <w:rPr>
                <w:rFonts w:ascii="仿宋_GB2312" w:hAnsi="仿宋_GB2312" w:cs="仿宋_GB2312" w:hint="eastAsia"/>
                <w:bCs/>
                <w:color w:val="000000" w:themeColor="text1"/>
              </w:rPr>
            </w:pPr>
            <w:r>
              <w:rPr>
                <w:rFonts w:ascii="仿宋_GB2312" w:hAnsi="仿宋_GB2312" w:cs="仿宋_GB2312" w:hint="eastAsia"/>
                <w:bCs/>
                <w:color w:val="000000" w:themeColor="text1"/>
              </w:rPr>
              <w:t>20%</w:t>
            </w:r>
          </w:p>
        </w:tc>
      </w:tr>
      <w:tr w:rsidR="00D8530A" w14:paraId="1519CB50" w14:textId="77777777">
        <w:trPr>
          <w:trHeight w:val="555"/>
        </w:trPr>
        <w:tc>
          <w:tcPr>
            <w:tcW w:w="2453" w:type="dxa"/>
            <w:tcBorders>
              <w:top w:val="single" w:sz="4" w:space="0" w:color="auto"/>
              <w:left w:val="single" w:sz="4" w:space="0" w:color="auto"/>
              <w:bottom w:val="single" w:sz="4" w:space="0" w:color="auto"/>
              <w:right w:val="single" w:sz="4" w:space="0" w:color="auto"/>
            </w:tcBorders>
            <w:vAlign w:val="center"/>
          </w:tcPr>
          <w:p w14:paraId="307106EC" w14:textId="77777777" w:rsidR="00D8530A" w:rsidRDefault="00000000">
            <w:pPr>
              <w:widowControl/>
              <w:spacing w:line="560" w:lineRule="exact"/>
              <w:jc w:val="center"/>
              <w:textAlignment w:val="center"/>
              <w:rPr>
                <w:rFonts w:ascii="仿宋_GB2312" w:hAnsi="等线" w:cs="仿宋_GB2312" w:hint="eastAsia"/>
                <w:color w:val="000000" w:themeColor="text1"/>
              </w:rPr>
            </w:pPr>
            <w:r>
              <w:rPr>
                <w:rFonts w:ascii="仿宋_GB2312" w:hAnsi="等线" w:cs="仿宋_GB2312" w:hint="eastAsia"/>
                <w:color w:val="000000" w:themeColor="text1"/>
                <w:kern w:val="0"/>
                <w:lang w:bidi="ar"/>
              </w:rPr>
              <w:t>商品及金融衍生品类资产投资下限</w:t>
            </w:r>
          </w:p>
        </w:tc>
        <w:tc>
          <w:tcPr>
            <w:tcW w:w="6972" w:type="dxa"/>
            <w:tcBorders>
              <w:top w:val="single" w:sz="4" w:space="0" w:color="auto"/>
              <w:left w:val="single" w:sz="4" w:space="0" w:color="auto"/>
              <w:bottom w:val="single" w:sz="4" w:space="0" w:color="auto"/>
              <w:right w:val="single" w:sz="4" w:space="0" w:color="auto"/>
            </w:tcBorders>
            <w:vAlign w:val="center"/>
          </w:tcPr>
          <w:p w14:paraId="7B235250" w14:textId="77777777" w:rsidR="00D8530A" w:rsidRDefault="00000000">
            <w:pPr>
              <w:widowControl/>
              <w:spacing w:line="560" w:lineRule="exact"/>
              <w:jc w:val="left"/>
              <w:textAlignment w:val="center"/>
              <w:rPr>
                <w:rFonts w:ascii="仿宋_GB2312" w:hAnsi="仿宋_GB2312" w:cs="仿宋_GB2312" w:hint="eastAsia"/>
                <w:bCs/>
                <w:color w:val="000000" w:themeColor="text1"/>
              </w:rPr>
            </w:pPr>
            <w:r>
              <w:rPr>
                <w:rFonts w:ascii="仿宋_GB2312" w:hAnsi="仿宋_GB2312" w:cs="仿宋_GB2312" w:hint="eastAsia"/>
                <w:bCs/>
                <w:color w:val="000000" w:themeColor="text1"/>
              </w:rPr>
              <w:t>0%</w:t>
            </w:r>
          </w:p>
        </w:tc>
      </w:tr>
      <w:tr w:rsidR="00D8530A" w14:paraId="31C86B3B" w14:textId="77777777">
        <w:trPr>
          <w:trHeight w:val="270"/>
        </w:trPr>
        <w:tc>
          <w:tcPr>
            <w:tcW w:w="9425" w:type="dxa"/>
            <w:gridSpan w:val="2"/>
            <w:tcBorders>
              <w:top w:val="single" w:sz="4" w:space="0" w:color="auto"/>
              <w:left w:val="single" w:sz="4" w:space="0" w:color="auto"/>
              <w:bottom w:val="single" w:sz="4" w:space="0" w:color="auto"/>
              <w:right w:val="single" w:sz="4" w:space="0" w:color="auto"/>
            </w:tcBorders>
            <w:vAlign w:val="center"/>
          </w:tcPr>
          <w:p w14:paraId="19998678" w14:textId="77777777" w:rsidR="00D8530A" w:rsidRDefault="00000000">
            <w:pPr>
              <w:widowControl/>
              <w:spacing w:line="560" w:lineRule="exact"/>
              <w:jc w:val="center"/>
              <w:textAlignment w:val="center"/>
              <w:rPr>
                <w:rFonts w:ascii="楷体_GB2312" w:eastAsia="楷体_GB2312" w:hAnsi="等线" w:cs="楷体_GB2312" w:hint="eastAsia"/>
                <w:bCs/>
                <w:color w:val="000000" w:themeColor="text1"/>
              </w:rPr>
            </w:pPr>
            <w:r>
              <w:rPr>
                <w:rFonts w:ascii="楷体_GB2312" w:eastAsia="楷体_GB2312" w:hAnsi="等线" w:cs="楷体_GB2312" w:hint="eastAsia"/>
                <w:b/>
                <w:color w:val="000000" w:themeColor="text1"/>
                <w:kern w:val="0"/>
                <w:lang w:bidi="ar"/>
              </w:rPr>
              <w:t>（八）其他约定</w:t>
            </w:r>
          </w:p>
        </w:tc>
      </w:tr>
      <w:tr w:rsidR="00D8530A" w14:paraId="57E9EFF0" w14:textId="77777777">
        <w:trPr>
          <w:trHeight w:val="1010"/>
        </w:trPr>
        <w:tc>
          <w:tcPr>
            <w:tcW w:w="2453" w:type="dxa"/>
            <w:tcBorders>
              <w:top w:val="single" w:sz="4" w:space="0" w:color="auto"/>
              <w:left w:val="single" w:sz="4" w:space="0" w:color="auto"/>
              <w:bottom w:val="single" w:sz="4" w:space="0" w:color="auto"/>
              <w:right w:val="single" w:sz="4" w:space="0" w:color="auto"/>
            </w:tcBorders>
            <w:vAlign w:val="center"/>
          </w:tcPr>
          <w:p w14:paraId="00408DCE" w14:textId="77777777" w:rsidR="00D8530A" w:rsidRDefault="00000000">
            <w:pPr>
              <w:snapToGrid w:val="0"/>
              <w:ind w:leftChars="-74" w:left="-163" w:hanging="15"/>
              <w:jc w:val="center"/>
              <w:rPr>
                <w:rFonts w:ascii="仿宋_GB2312" w:hAnsi="等线" w:cs="仿宋_GB2312" w:hint="eastAsia"/>
                <w:color w:val="000000" w:themeColor="text1"/>
                <w:kern w:val="0"/>
                <w:lang w:bidi="ar"/>
              </w:rPr>
            </w:pPr>
            <w:r>
              <w:rPr>
                <w:rFonts w:ascii="宋体" w:hAnsi="宋体" w:hint="eastAsia"/>
                <w:kern w:val="0"/>
                <w:szCs w:val="24"/>
              </w:rPr>
              <w:t>信息披露</w:t>
            </w:r>
          </w:p>
        </w:tc>
        <w:tc>
          <w:tcPr>
            <w:tcW w:w="6972" w:type="dxa"/>
            <w:tcBorders>
              <w:top w:val="single" w:sz="4" w:space="0" w:color="auto"/>
              <w:left w:val="single" w:sz="4" w:space="0" w:color="auto"/>
              <w:bottom w:val="single" w:sz="4" w:space="0" w:color="auto"/>
              <w:right w:val="single" w:sz="4" w:space="0" w:color="auto"/>
            </w:tcBorders>
            <w:vAlign w:val="center"/>
          </w:tcPr>
          <w:p w14:paraId="0BA7918F" w14:textId="77777777" w:rsidR="00D8530A" w:rsidRDefault="00000000">
            <w:pPr>
              <w:snapToGrid w:val="0"/>
              <w:rPr>
                <w:rFonts w:ascii="宋体" w:hAnsi="宋体" w:hint="eastAsia"/>
                <w:b/>
                <w:szCs w:val="24"/>
              </w:rPr>
            </w:pPr>
            <w:r>
              <w:rPr>
                <w:rFonts w:ascii="宋体" w:hAnsi="宋体" w:hint="eastAsia"/>
                <w:b/>
                <w:szCs w:val="24"/>
              </w:rPr>
              <w:t>本产品成立后，管理人将通过《产品说明书》之“信息披露”约定的方式进行信息披露。</w:t>
            </w:r>
            <w:r>
              <w:rPr>
                <w:rFonts w:ascii="宋体" w:hAnsi="宋体" w:hint="eastAsia"/>
                <w:b/>
                <w:szCs w:val="24"/>
              </w:rPr>
              <w:t xml:space="preserve"> </w:t>
            </w:r>
            <w:r>
              <w:rPr>
                <w:rFonts w:ascii="宋体" w:hAnsi="宋体" w:hint="eastAsia"/>
                <w:b/>
                <w:szCs w:val="24"/>
              </w:rPr>
              <w:t>详细内容见本《产品说明书》之“信息披露”。</w:t>
            </w:r>
          </w:p>
          <w:p w14:paraId="2A5D4C56" w14:textId="77777777" w:rsidR="00D8530A" w:rsidRDefault="00000000">
            <w:pPr>
              <w:snapToGrid w:val="0"/>
              <w:rPr>
                <w:rFonts w:ascii="宋体" w:hAnsi="宋体" w:hint="eastAsia"/>
                <w:b/>
                <w:bCs/>
                <w:iCs/>
                <w:szCs w:val="24"/>
              </w:rPr>
            </w:pPr>
            <w:r>
              <w:rPr>
                <w:rFonts w:asciiTheme="minorEastAsia" w:hAnsiTheme="minorEastAsia" w:hint="eastAsia"/>
                <w:szCs w:val="24"/>
              </w:rPr>
              <w:t>本产品成立、运行、到期、净值等信息将通过产品管理人</w:t>
            </w:r>
            <w:r>
              <w:rPr>
                <w:rFonts w:asciiTheme="minorEastAsia" w:hAnsiTheme="minorEastAsia"/>
                <w:szCs w:val="24"/>
              </w:rPr>
              <w:t>官方网站</w:t>
            </w:r>
            <w:r>
              <w:rPr>
                <w:rFonts w:ascii="仿宋_GB2312" w:hAnsi="宋体" w:cs="宋体" w:hint="eastAsia"/>
                <w:kern w:val="0"/>
                <w:szCs w:val="24"/>
              </w:rPr>
              <w:t>【</w:t>
            </w:r>
            <w:r>
              <w:rPr>
                <w:rFonts w:ascii="仿宋_GB2312" w:hAnsi="宋体" w:cs="宋体"/>
                <w:kern w:val="0"/>
                <w:szCs w:val="24"/>
              </w:rPr>
              <w:t>www.czbank-wm.com</w:t>
            </w:r>
            <w:r>
              <w:rPr>
                <w:rFonts w:ascii="仿宋_GB2312" w:hAnsi="宋体" w:cs="宋体" w:hint="eastAsia"/>
                <w:kern w:val="0"/>
                <w:szCs w:val="24"/>
              </w:rPr>
              <w:t>】、销售机构官方网站、个人手机银行或其他约定的方式等</w:t>
            </w:r>
            <w:r>
              <w:rPr>
                <w:rFonts w:asciiTheme="minorEastAsia" w:hAnsiTheme="minorEastAsia" w:cs="宋体" w:hint="eastAsia"/>
                <w:kern w:val="0"/>
                <w:szCs w:val="24"/>
              </w:rPr>
              <w:t>一种或多种渠道进行信息披露，</w:t>
            </w:r>
            <w:r>
              <w:rPr>
                <w:rFonts w:asciiTheme="minorEastAsia" w:hAnsiTheme="minorEastAsia" w:hint="eastAsia"/>
                <w:szCs w:val="24"/>
              </w:rPr>
              <w:t>请投资者持续关注并及时查看。</w:t>
            </w:r>
          </w:p>
        </w:tc>
      </w:tr>
      <w:tr w:rsidR="00D8530A" w14:paraId="54FA536C" w14:textId="77777777">
        <w:trPr>
          <w:trHeight w:val="1010"/>
        </w:trPr>
        <w:tc>
          <w:tcPr>
            <w:tcW w:w="2453" w:type="dxa"/>
            <w:tcBorders>
              <w:top w:val="single" w:sz="4" w:space="0" w:color="auto"/>
              <w:left w:val="single" w:sz="4" w:space="0" w:color="auto"/>
              <w:bottom w:val="single" w:sz="4" w:space="0" w:color="auto"/>
              <w:right w:val="single" w:sz="4" w:space="0" w:color="auto"/>
            </w:tcBorders>
            <w:vAlign w:val="center"/>
          </w:tcPr>
          <w:p w14:paraId="70C694C4" w14:textId="77777777" w:rsidR="00D8530A" w:rsidRDefault="00000000">
            <w:pPr>
              <w:widowControl/>
              <w:spacing w:line="560" w:lineRule="exact"/>
              <w:jc w:val="center"/>
              <w:textAlignment w:val="center"/>
              <w:rPr>
                <w:rFonts w:ascii="仿宋_GB2312" w:hAnsi="等线" w:cs="仿宋_GB2312" w:hint="eastAsia"/>
                <w:color w:val="000000" w:themeColor="text1"/>
              </w:rPr>
            </w:pPr>
            <w:r>
              <w:rPr>
                <w:rFonts w:ascii="仿宋_GB2312" w:hAnsi="等线" w:cs="仿宋_GB2312" w:hint="eastAsia"/>
                <w:color w:val="000000" w:themeColor="text1"/>
                <w:kern w:val="0"/>
                <w:lang w:bidi="ar"/>
              </w:rPr>
              <w:t>其他约定</w:t>
            </w:r>
          </w:p>
        </w:tc>
        <w:tc>
          <w:tcPr>
            <w:tcW w:w="6972" w:type="dxa"/>
            <w:tcBorders>
              <w:top w:val="single" w:sz="4" w:space="0" w:color="auto"/>
              <w:left w:val="single" w:sz="4" w:space="0" w:color="auto"/>
              <w:bottom w:val="single" w:sz="4" w:space="0" w:color="auto"/>
              <w:right w:val="single" w:sz="4" w:space="0" w:color="auto"/>
            </w:tcBorders>
            <w:vAlign w:val="center"/>
          </w:tcPr>
          <w:p w14:paraId="1157A8DA" w14:textId="77777777" w:rsidR="00D8530A" w:rsidRDefault="00000000">
            <w:pPr>
              <w:snapToGrid w:val="0"/>
              <w:jc w:val="left"/>
              <w:rPr>
                <w:rFonts w:ascii="宋体" w:hAnsi="宋体" w:hint="eastAsia"/>
                <w:b/>
                <w:bCs/>
                <w:iCs/>
                <w:szCs w:val="24"/>
              </w:rPr>
            </w:pPr>
            <w:r>
              <w:rPr>
                <w:rFonts w:ascii="宋体" w:hAnsi="宋体"/>
                <w:b/>
                <w:bCs/>
                <w:iCs/>
                <w:szCs w:val="24"/>
              </w:rPr>
              <w:t>1.</w:t>
            </w:r>
            <w:r>
              <w:rPr>
                <w:rFonts w:ascii="宋体" w:hAnsi="宋体" w:hint="eastAsia"/>
                <w:b/>
                <w:bCs/>
                <w:iCs/>
                <w:szCs w:val="24"/>
              </w:rPr>
              <w:t>募集期内认购资金是否计息以销售机构为准，但利息不计入认购本金份额。</w:t>
            </w:r>
          </w:p>
          <w:p w14:paraId="04D05417" w14:textId="77777777" w:rsidR="00D8530A" w:rsidRDefault="00000000">
            <w:pPr>
              <w:widowControl/>
              <w:snapToGrid w:val="0"/>
              <w:jc w:val="left"/>
              <w:rPr>
                <w:rFonts w:ascii="宋体" w:hAnsi="宋体" w:hint="eastAsia"/>
                <w:b/>
                <w:bCs/>
                <w:iCs/>
                <w:szCs w:val="24"/>
              </w:rPr>
            </w:pPr>
            <w:r>
              <w:rPr>
                <w:rFonts w:ascii="宋体" w:hAnsi="宋体" w:hint="eastAsia"/>
                <w:b/>
                <w:bCs/>
                <w:iCs/>
                <w:szCs w:val="24"/>
              </w:rPr>
              <w:t>2.</w:t>
            </w:r>
            <w:r>
              <w:rPr>
                <w:rFonts w:ascii="宋体" w:hAnsi="宋体" w:hint="eastAsia"/>
                <w:b/>
                <w:bCs/>
                <w:iCs/>
                <w:szCs w:val="24"/>
              </w:rPr>
              <w:t>本产品到期日（或提前</w:t>
            </w:r>
            <w:r>
              <w:rPr>
                <w:rFonts w:ascii="宋体" w:hAnsi="宋体" w:hint="eastAsia"/>
                <w:b/>
                <w:bCs/>
                <w:iCs/>
                <w:szCs w:val="24"/>
              </w:rPr>
              <w:t>/</w:t>
            </w:r>
            <w:r>
              <w:rPr>
                <w:rFonts w:ascii="宋体" w:hAnsi="宋体" w:hint="eastAsia"/>
                <w:b/>
                <w:bCs/>
                <w:iCs/>
                <w:szCs w:val="24"/>
              </w:rPr>
              <w:t>延期终止日）至资金到账日期间，投资者理财资金如因清算安排实际产生利息的，相关利息归投资者所有。</w:t>
            </w:r>
          </w:p>
          <w:p w14:paraId="46832DD0" w14:textId="77777777" w:rsidR="00D8530A" w:rsidRDefault="00000000">
            <w:pPr>
              <w:widowControl/>
              <w:snapToGrid w:val="0"/>
              <w:jc w:val="left"/>
              <w:rPr>
                <w:rFonts w:ascii="仿宋_GB2312" w:hAnsi="等线" w:cs="仿宋_GB2312" w:hint="eastAsia"/>
                <w:bCs/>
                <w:color w:val="000000" w:themeColor="text1"/>
              </w:rPr>
            </w:pPr>
            <w:r>
              <w:rPr>
                <w:rFonts w:ascii="宋体" w:hAnsi="宋体" w:hint="eastAsia"/>
                <w:b/>
                <w:bCs/>
                <w:iCs/>
                <w:szCs w:val="24"/>
              </w:rPr>
              <w:t>3.</w:t>
            </w:r>
            <w:r>
              <w:rPr>
                <w:rFonts w:ascii="宋体" w:hAnsi="宋体" w:hint="eastAsia"/>
                <w:b/>
                <w:bCs/>
                <w:iCs/>
                <w:szCs w:val="24"/>
              </w:rPr>
              <w:t>理财产品份额转让</w:t>
            </w:r>
            <w:r>
              <w:rPr>
                <w:rFonts w:ascii="宋体" w:hAnsi="宋体"/>
                <w:b/>
                <w:bCs/>
                <w:iCs/>
                <w:szCs w:val="24"/>
              </w:rPr>
              <w:t>、</w:t>
            </w:r>
            <w:r>
              <w:rPr>
                <w:rFonts w:ascii="宋体" w:hAnsi="宋体" w:hint="eastAsia"/>
                <w:b/>
                <w:bCs/>
                <w:iCs/>
                <w:szCs w:val="24"/>
              </w:rPr>
              <w:t>质押将依照销售机构与管理人的业务政策执行。</w:t>
            </w:r>
          </w:p>
        </w:tc>
      </w:tr>
    </w:tbl>
    <w:p w14:paraId="623602EB" w14:textId="77777777" w:rsidR="00D8530A" w:rsidRDefault="00D8530A">
      <w:pPr>
        <w:widowControl/>
        <w:snapToGrid w:val="0"/>
        <w:jc w:val="center"/>
        <w:rPr>
          <w:rFonts w:ascii="方正小标宋简体" w:eastAsia="方正小标宋简体" w:hAnsi="宋体" w:cs="宋体" w:hint="eastAsia"/>
          <w:bCs/>
          <w:kern w:val="0"/>
          <w:sz w:val="36"/>
          <w:szCs w:val="36"/>
        </w:rPr>
      </w:pPr>
    </w:p>
    <w:p w14:paraId="10A83763" w14:textId="77777777" w:rsidR="00D8530A" w:rsidRDefault="00D8530A">
      <w:pPr>
        <w:widowControl/>
        <w:snapToGrid w:val="0"/>
        <w:jc w:val="center"/>
        <w:rPr>
          <w:rFonts w:ascii="方正小标宋简体" w:eastAsia="方正小标宋简体" w:hAnsi="宋体" w:cs="宋体" w:hint="eastAsia"/>
          <w:bCs/>
          <w:kern w:val="0"/>
          <w:sz w:val="36"/>
          <w:szCs w:val="36"/>
        </w:rPr>
      </w:pPr>
    </w:p>
    <w:p w14:paraId="6CE36453" w14:textId="77777777" w:rsidR="00D8530A" w:rsidRDefault="00D8530A">
      <w:pPr>
        <w:widowControl/>
        <w:snapToGrid w:val="0"/>
        <w:jc w:val="center"/>
        <w:rPr>
          <w:rFonts w:ascii="方正小标宋简体" w:eastAsia="方正小标宋简体" w:hAnsi="宋体" w:cs="宋体" w:hint="eastAsia"/>
          <w:bCs/>
          <w:kern w:val="0"/>
          <w:sz w:val="36"/>
          <w:szCs w:val="36"/>
        </w:rPr>
      </w:pPr>
    </w:p>
    <w:p w14:paraId="009936A5" w14:textId="77777777" w:rsidR="00D8530A" w:rsidRDefault="00D8530A">
      <w:pPr>
        <w:widowControl/>
        <w:snapToGrid w:val="0"/>
        <w:jc w:val="center"/>
        <w:rPr>
          <w:rFonts w:ascii="方正小标宋简体" w:eastAsia="方正小标宋简体" w:hAnsi="宋体" w:cs="宋体" w:hint="eastAsia"/>
          <w:bCs/>
          <w:kern w:val="0"/>
          <w:sz w:val="36"/>
          <w:szCs w:val="36"/>
        </w:rPr>
      </w:pPr>
    </w:p>
    <w:p w14:paraId="3704EDB1" w14:textId="77777777" w:rsidR="00D8530A" w:rsidRDefault="00D8530A">
      <w:pPr>
        <w:widowControl/>
        <w:snapToGrid w:val="0"/>
        <w:jc w:val="center"/>
        <w:rPr>
          <w:rFonts w:ascii="方正小标宋简体" w:eastAsia="方正小标宋简体" w:hAnsi="宋体" w:cs="宋体" w:hint="eastAsia"/>
          <w:bCs/>
          <w:kern w:val="0"/>
          <w:sz w:val="36"/>
          <w:szCs w:val="36"/>
        </w:rPr>
      </w:pPr>
    </w:p>
    <w:p w14:paraId="7DB46C26" w14:textId="77777777" w:rsidR="00D8530A" w:rsidRDefault="00000000">
      <w:pPr>
        <w:rPr>
          <w:rFonts w:ascii="方正小标宋简体" w:eastAsia="方正小标宋简体" w:hAnsi="宋体" w:cs="宋体" w:hint="eastAsia"/>
          <w:bCs/>
          <w:kern w:val="0"/>
          <w:sz w:val="36"/>
          <w:szCs w:val="36"/>
        </w:rPr>
      </w:pPr>
      <w:r>
        <w:rPr>
          <w:rFonts w:ascii="方正小标宋简体" w:eastAsia="方正小标宋简体" w:hAnsi="宋体" w:cs="宋体"/>
          <w:bCs/>
          <w:kern w:val="0"/>
          <w:sz w:val="36"/>
          <w:szCs w:val="36"/>
        </w:rPr>
        <w:br w:type="page"/>
      </w:r>
    </w:p>
    <w:p w14:paraId="03E93492" w14:textId="77777777" w:rsidR="00D8530A" w:rsidRDefault="00000000">
      <w:pPr>
        <w:pStyle w:val="1"/>
        <w:rPr>
          <w:rFonts w:ascii="黑体" w:hAnsi="宋体" w:cs="宋体" w:hint="eastAsia"/>
          <w:bCs/>
          <w:kern w:val="0"/>
          <w:szCs w:val="28"/>
        </w:rPr>
      </w:pPr>
      <w:r>
        <w:rPr>
          <w:rFonts w:ascii="黑体" w:hAnsi="宋体" w:cs="宋体" w:hint="eastAsia"/>
          <w:bCs/>
          <w:kern w:val="0"/>
          <w:szCs w:val="28"/>
        </w:rPr>
        <w:lastRenderedPageBreak/>
        <w:t>重要提示</w:t>
      </w:r>
    </w:p>
    <w:p w14:paraId="26B8868B" w14:textId="77777777" w:rsidR="00D8530A" w:rsidRDefault="00000000">
      <w:pPr>
        <w:widowControl/>
        <w:tabs>
          <w:tab w:val="left" w:pos="709"/>
        </w:tabs>
        <w:snapToGrid w:val="0"/>
        <w:spacing w:line="360" w:lineRule="auto"/>
        <w:rPr>
          <w:rFonts w:ascii="仿宋_GB2312" w:hAnsi="宋体" w:cs="宋体" w:hint="eastAsia"/>
          <w:b/>
          <w:bCs/>
          <w:kern w:val="0"/>
          <w:szCs w:val="24"/>
        </w:rPr>
      </w:pPr>
      <w:r>
        <w:rPr>
          <w:rFonts w:ascii="仿宋_GB2312" w:hAnsi="宋体" w:cs="宋体" w:hint="eastAsia"/>
          <w:b/>
          <w:bCs/>
          <w:kern w:val="0"/>
          <w:szCs w:val="32"/>
        </w:rPr>
        <w:t>●</w:t>
      </w:r>
      <w:r>
        <w:rPr>
          <w:rFonts w:ascii="仿宋_GB2312" w:hAnsi="宋体" w:cs="宋体" w:hint="eastAsia"/>
          <w:b/>
          <w:bCs/>
          <w:kern w:val="0"/>
          <w:szCs w:val="24"/>
        </w:rPr>
        <w:t>理财非存款、产品有风险、投资须谨慎。</w:t>
      </w:r>
    </w:p>
    <w:p w14:paraId="6491CB7C" w14:textId="77777777" w:rsidR="00D8530A" w:rsidRDefault="00000000">
      <w:pPr>
        <w:widowControl/>
        <w:tabs>
          <w:tab w:val="left" w:pos="709"/>
        </w:tabs>
        <w:snapToGrid w:val="0"/>
        <w:spacing w:line="360" w:lineRule="auto"/>
        <w:rPr>
          <w:rFonts w:ascii="仿宋_GB2312" w:hAnsi="宋体" w:cs="宋体" w:hint="eastAsia"/>
          <w:b/>
          <w:bCs/>
          <w:kern w:val="0"/>
          <w:szCs w:val="24"/>
        </w:rPr>
      </w:pPr>
      <w:r>
        <w:rPr>
          <w:rFonts w:ascii="仿宋_GB2312" w:hAnsi="宋体" w:cs="宋体" w:hint="eastAsia"/>
          <w:b/>
          <w:bCs/>
          <w:kern w:val="0"/>
          <w:szCs w:val="24"/>
        </w:rPr>
        <w:t>●浙银理财有限责任公司（以下称“浙银</w:t>
      </w:r>
      <w:r>
        <w:rPr>
          <w:rFonts w:ascii="仿宋_GB2312" w:hAnsi="宋体" w:cs="宋体"/>
          <w:b/>
          <w:bCs/>
          <w:kern w:val="0"/>
          <w:szCs w:val="24"/>
        </w:rPr>
        <w:t>理财</w:t>
      </w:r>
      <w:r>
        <w:rPr>
          <w:rFonts w:ascii="仿宋_GB2312" w:hAnsi="宋体" w:cs="宋体" w:hint="eastAsia"/>
          <w:b/>
          <w:bCs/>
          <w:kern w:val="0"/>
          <w:szCs w:val="24"/>
        </w:rPr>
        <w:t>”）郑重提示：在购买理财产品前，请投资者应确保自己完全明白该项投资的性质和所涉及的风险，详细了解和审慎评估该理财产品的资金投资方向及风险类型等基本情况，在慎重考虑后自行决定购买与自身风险承受能力和资产管理需求匹配的理财产品，并承受由此产生的收益与风险。如影响投资者风险承受能力的因素发生变化，请及时完成风险承受能力评估</w:t>
      </w:r>
      <w:r>
        <w:rPr>
          <w:rFonts w:hint="eastAsia"/>
          <w:b/>
        </w:rPr>
        <w:t>。</w:t>
      </w:r>
    </w:p>
    <w:p w14:paraId="5FB14E36" w14:textId="77777777" w:rsidR="00D8530A" w:rsidRDefault="00000000">
      <w:pPr>
        <w:pStyle w:val="af"/>
        <w:spacing w:line="360" w:lineRule="auto"/>
        <w:ind w:firstLineChars="0" w:firstLine="0"/>
        <w:rPr>
          <w:rFonts w:ascii="仿宋_GB2312" w:hAnsi="宋体" w:cs="宋体" w:hint="eastAsia"/>
          <w:b/>
          <w:bCs/>
          <w:kern w:val="0"/>
          <w:szCs w:val="24"/>
        </w:rPr>
      </w:pPr>
      <w:r>
        <w:rPr>
          <w:rFonts w:ascii="仿宋_GB2312" w:hAnsi="宋体" w:cs="宋体" w:hint="eastAsia"/>
          <w:b/>
          <w:bCs/>
          <w:kern w:val="0"/>
          <w:szCs w:val="24"/>
        </w:rPr>
        <w:t>●</w:t>
      </w:r>
      <w:r>
        <w:rPr>
          <w:rFonts w:ascii="仿宋_GB2312" w:hAnsi="宋体" w:cs="宋体" w:hint="eastAsia"/>
          <w:bCs/>
          <w:kern w:val="0"/>
          <w:szCs w:val="24"/>
        </w:rPr>
        <w:t>本理财产品说明书与《风险揭示书》《投资协议书》《投资者权益须知》《（代理）销售协议书》等共同构成本理财产品完整</w:t>
      </w:r>
      <w:r>
        <w:rPr>
          <w:rFonts w:ascii="仿宋_GB2312" w:hAnsi="宋体" w:cs="宋体"/>
          <w:bCs/>
          <w:kern w:val="0"/>
          <w:szCs w:val="24"/>
        </w:rPr>
        <w:t>的</w:t>
      </w:r>
      <w:r>
        <w:rPr>
          <w:rFonts w:ascii="仿宋_GB2312" w:hAnsi="宋体" w:cs="宋体" w:hint="eastAsia"/>
          <w:bCs/>
          <w:kern w:val="0"/>
          <w:szCs w:val="24"/>
        </w:rPr>
        <w:t>、</w:t>
      </w:r>
      <w:r>
        <w:rPr>
          <w:rFonts w:ascii="仿宋_GB2312" w:hAnsi="宋体" w:cs="宋体"/>
          <w:bCs/>
          <w:kern w:val="0"/>
          <w:szCs w:val="24"/>
        </w:rPr>
        <w:t>不可</w:t>
      </w:r>
      <w:r>
        <w:rPr>
          <w:rFonts w:ascii="仿宋_GB2312" w:hAnsi="宋体" w:cs="宋体" w:hint="eastAsia"/>
          <w:bCs/>
          <w:kern w:val="0"/>
          <w:szCs w:val="24"/>
        </w:rPr>
        <w:t>分割</w:t>
      </w:r>
      <w:r>
        <w:rPr>
          <w:rFonts w:ascii="仿宋_GB2312" w:hAnsi="宋体" w:cs="宋体"/>
          <w:bCs/>
          <w:kern w:val="0"/>
          <w:szCs w:val="24"/>
        </w:rPr>
        <w:t>的</w:t>
      </w:r>
      <w:r>
        <w:rPr>
          <w:rFonts w:ascii="仿宋_GB2312" w:hAnsi="宋体" w:cs="宋体" w:hint="eastAsia"/>
          <w:bCs/>
          <w:kern w:val="0"/>
          <w:szCs w:val="24"/>
        </w:rPr>
        <w:t>销售文件。</w:t>
      </w:r>
      <w:r>
        <w:rPr>
          <w:rFonts w:ascii="仿宋_GB2312" w:hAnsi="宋体" w:cs="宋体" w:hint="eastAsia"/>
          <w:b/>
          <w:bCs/>
          <w:kern w:val="0"/>
          <w:szCs w:val="24"/>
        </w:rPr>
        <w:t>为了维护投资者的合法权益，请在投资前仔细阅读本说明书及其他销售文件，了解理财产品具体情况。</w:t>
      </w:r>
    </w:p>
    <w:p w14:paraId="2FE9A914" w14:textId="77777777" w:rsidR="00D8530A" w:rsidRDefault="00000000">
      <w:pPr>
        <w:pStyle w:val="af"/>
        <w:spacing w:line="360" w:lineRule="auto"/>
        <w:ind w:firstLineChars="0" w:firstLine="0"/>
        <w:rPr>
          <w:rFonts w:ascii="仿宋_GB2312" w:hAnsi="宋体" w:cs="宋体" w:hint="eastAsia"/>
          <w:b/>
          <w:bCs/>
          <w:kern w:val="0"/>
          <w:szCs w:val="24"/>
        </w:rPr>
      </w:pPr>
      <w:r>
        <w:rPr>
          <w:rFonts w:ascii="仿宋_GB2312" w:hAnsi="宋体" w:cs="宋体" w:hint="eastAsia"/>
          <w:b/>
          <w:bCs/>
          <w:kern w:val="0"/>
          <w:szCs w:val="24"/>
        </w:rPr>
        <w:t>●</w:t>
      </w:r>
      <w:r>
        <w:rPr>
          <w:rFonts w:ascii="仿宋_GB2312" w:hAnsi="宋体" w:cs="宋体" w:hint="eastAsia"/>
          <w:bCs/>
          <w:kern w:val="0"/>
          <w:szCs w:val="24"/>
        </w:rPr>
        <w:t>本理财产品为</w:t>
      </w:r>
      <w:r>
        <w:rPr>
          <w:rFonts w:ascii="仿宋_GB2312" w:hAnsi="宋体" w:cs="宋体" w:hint="eastAsia"/>
          <w:b/>
          <w:bCs/>
          <w:kern w:val="0"/>
          <w:szCs w:val="24"/>
        </w:rPr>
        <w:t>非保本浮动收益型理财产品，与银行存款存在显著区别，不受</w:t>
      </w:r>
      <w:r>
        <w:rPr>
          <w:rFonts w:ascii="仿宋_GB2312" w:hAnsi="宋体" w:cs="宋体" w:hint="eastAsia"/>
          <w:b/>
          <w:bCs/>
          <w:kern w:val="0"/>
          <w:szCs w:val="32"/>
        </w:rPr>
        <w:t>存款保险及其他保障机制的保障。</w:t>
      </w:r>
      <w:r>
        <w:rPr>
          <w:rFonts w:ascii="仿宋_GB2312" w:hAnsi="宋体" w:cs="宋体" w:hint="eastAsia"/>
          <w:b/>
          <w:bCs/>
          <w:kern w:val="0"/>
          <w:szCs w:val="24"/>
        </w:rPr>
        <w:t>本理财产品不保证投资者理财本金安全及最低收益，投资者投资/持有本理财产品可能因市场变化、突发事件等因素遭受收益乃至本金损失</w:t>
      </w:r>
      <w:r>
        <w:rPr>
          <w:rFonts w:ascii="仿宋_GB2312" w:hAnsi="宋体" w:cs="宋体" w:hint="eastAsia"/>
          <w:b/>
          <w:bCs/>
          <w:kern w:val="0"/>
          <w:szCs w:val="32"/>
        </w:rPr>
        <w:t>，</w:t>
      </w:r>
      <w:r>
        <w:rPr>
          <w:rFonts w:ascii="宋体" w:hAnsi="宋体" w:cs="宋体" w:hint="eastAsia"/>
          <w:b/>
          <w:bCs/>
          <w:kern w:val="0"/>
          <w:szCs w:val="24"/>
        </w:rPr>
        <w:t>请</w:t>
      </w:r>
      <w:r>
        <w:rPr>
          <w:rFonts w:ascii="仿宋_GB2312" w:hAnsi="宋体" w:cs="宋体" w:hint="eastAsia"/>
          <w:b/>
          <w:bCs/>
          <w:kern w:val="0"/>
          <w:szCs w:val="24"/>
        </w:rPr>
        <w:t>投资者充分知晓、理解投资风险，谨慎投资。</w:t>
      </w:r>
    </w:p>
    <w:p w14:paraId="26BB8C18" w14:textId="77777777" w:rsidR="00D8530A" w:rsidRDefault="00000000">
      <w:pPr>
        <w:pStyle w:val="af"/>
        <w:spacing w:line="360" w:lineRule="auto"/>
        <w:ind w:firstLineChars="0" w:firstLine="0"/>
        <w:rPr>
          <w:rFonts w:ascii="仿宋_GB2312" w:hAnsi="宋体" w:cs="宋体" w:hint="eastAsia"/>
          <w:b/>
          <w:bCs/>
          <w:kern w:val="0"/>
          <w:szCs w:val="24"/>
        </w:rPr>
      </w:pPr>
      <w:r>
        <w:rPr>
          <w:rFonts w:ascii="仿宋_GB2312" w:hAnsi="宋体" w:cs="宋体" w:hint="eastAsia"/>
          <w:b/>
          <w:bCs/>
          <w:kern w:val="0"/>
          <w:szCs w:val="24"/>
        </w:rPr>
        <w:t>●</w:t>
      </w:r>
      <w:r>
        <w:rPr>
          <w:rFonts w:ascii="仿宋_GB2312" w:hAnsi="宋体" w:cs="宋体" w:hint="eastAsia"/>
          <w:bCs/>
          <w:kern w:val="0"/>
          <w:szCs w:val="24"/>
        </w:rPr>
        <w:t>本理财产品涉及的主要风险包括政策风险、信用风险、市场风险、流动性风险、经营管理风险、交易对手风险、操作风险、代销风险、募集期延长/缩短风险、产品不成立风险、提前终止风险、延期分配风险、信息传递风险、关联关系及关联交易风险、再投资风险、估值风险、托管及清算风险、税务风险、不同理财产品份额类别存在差异的风险、其他风险等，</w:t>
      </w:r>
      <w:r>
        <w:rPr>
          <w:rFonts w:ascii="仿宋_GB2312" w:hAnsi="宋体" w:cs="宋体" w:hint="eastAsia"/>
          <w:b/>
          <w:bCs/>
          <w:kern w:val="0"/>
          <w:szCs w:val="24"/>
        </w:rPr>
        <w:t>请投资者仔细阅读《风险揭示书》。</w:t>
      </w:r>
    </w:p>
    <w:p w14:paraId="79FB5EE2" w14:textId="77777777" w:rsidR="00D8530A" w:rsidRDefault="00000000">
      <w:pPr>
        <w:pStyle w:val="af"/>
        <w:spacing w:line="360" w:lineRule="auto"/>
        <w:ind w:firstLineChars="0" w:firstLine="0"/>
        <w:rPr>
          <w:rFonts w:ascii="仿宋_GB2312" w:hAnsi="宋体" w:cs="宋体" w:hint="eastAsia"/>
          <w:b/>
          <w:bCs/>
          <w:kern w:val="0"/>
          <w:szCs w:val="24"/>
        </w:rPr>
      </w:pPr>
      <w:r>
        <w:rPr>
          <w:rFonts w:ascii="仿宋_GB2312" w:hAnsi="宋体" w:cs="宋体" w:hint="eastAsia"/>
          <w:b/>
          <w:bCs/>
          <w:kern w:val="0"/>
          <w:szCs w:val="24"/>
        </w:rPr>
        <w:t>●本理财产品销售文件中的任何“业绩比较基准”“业绩比较基准区间”以及其他类似表述均不代表投资者可能获得的实际收益，亦不构成管理人对本理财产品的任何收益承诺，不具有法律效力。</w:t>
      </w:r>
    </w:p>
    <w:p w14:paraId="7040800C" w14:textId="77777777" w:rsidR="00D8530A" w:rsidRDefault="00000000">
      <w:pPr>
        <w:pStyle w:val="af"/>
        <w:spacing w:line="360" w:lineRule="auto"/>
        <w:ind w:firstLineChars="0" w:firstLine="0"/>
        <w:rPr>
          <w:rFonts w:ascii="仿宋_GB2312" w:hAnsi="宋体" w:cs="宋体" w:hint="eastAsia"/>
          <w:b/>
          <w:bCs/>
          <w:kern w:val="0"/>
          <w:szCs w:val="24"/>
        </w:rPr>
      </w:pPr>
      <w:r>
        <w:rPr>
          <w:rFonts w:ascii="仿宋_GB2312" w:hAnsi="宋体" w:cs="宋体" w:hint="eastAsia"/>
          <w:b/>
          <w:bCs/>
          <w:kern w:val="0"/>
          <w:szCs w:val="24"/>
        </w:rPr>
        <w:t>●本理财</w:t>
      </w:r>
      <w:r>
        <w:rPr>
          <w:rFonts w:ascii="仿宋_GB2312" w:hAnsi="宋体" w:cs="宋体"/>
          <w:b/>
          <w:bCs/>
          <w:kern w:val="0"/>
          <w:szCs w:val="24"/>
        </w:rPr>
        <w:t>产品的投资运作情况体现为产品净值变化，</w:t>
      </w:r>
      <w:r>
        <w:rPr>
          <w:rFonts w:ascii="仿宋_GB2312" w:hAnsi="宋体" w:cs="宋体" w:hint="eastAsia"/>
          <w:b/>
          <w:bCs/>
          <w:kern w:val="0"/>
          <w:szCs w:val="24"/>
        </w:rPr>
        <w:t>投资者最终理财收益以实际到账为准。本理财产品过往业绩不代表其未来表现，不等于投资者未来可获得的实际收益。</w:t>
      </w:r>
    </w:p>
    <w:p w14:paraId="020639E4" w14:textId="77777777" w:rsidR="00D8530A" w:rsidRDefault="00000000">
      <w:pPr>
        <w:pStyle w:val="af"/>
        <w:spacing w:line="360" w:lineRule="auto"/>
        <w:ind w:firstLineChars="0" w:firstLine="0"/>
        <w:rPr>
          <w:rFonts w:ascii="仿宋_GB2312" w:hAnsi="宋体" w:cs="宋体" w:hint="eastAsia"/>
          <w:b/>
          <w:kern w:val="0"/>
          <w:szCs w:val="24"/>
        </w:rPr>
      </w:pPr>
      <w:r>
        <w:rPr>
          <w:rFonts w:ascii="仿宋_GB2312" w:hAnsi="宋体" w:cs="宋体" w:hint="eastAsia"/>
          <w:b/>
          <w:bCs/>
          <w:kern w:val="0"/>
          <w:szCs w:val="24"/>
        </w:rPr>
        <w:t>●本理财产品仅向依据中华人民共和国法律法规及监管规定可以购买本类理财产品的投资者发售。</w:t>
      </w:r>
      <w:r>
        <w:rPr>
          <w:rFonts w:ascii="仿宋_GB2312" w:hAnsi="宋体" w:cs="宋体"/>
          <w:b/>
          <w:kern w:val="0"/>
          <w:szCs w:val="24"/>
        </w:rPr>
        <w:t>投</w:t>
      </w:r>
      <w:r>
        <w:rPr>
          <w:rFonts w:ascii="仿宋_GB2312" w:hAnsi="宋体" w:cs="宋体"/>
          <w:b/>
          <w:kern w:val="0"/>
          <w:szCs w:val="24"/>
        </w:rPr>
        <w:lastRenderedPageBreak/>
        <w:t>资者通过销售机构与浙银理财签订理财产品销售文件后，销售机构或浙银理财在划款时，不再通过任何方式与投资者进行最后确认，直接划款。</w:t>
      </w:r>
      <w:r>
        <w:rPr>
          <w:rFonts w:hint="eastAsia"/>
          <w:b/>
        </w:rPr>
        <w:t>投</w:t>
      </w:r>
      <w:r>
        <w:rPr>
          <w:rFonts w:ascii="仿宋_GB2312" w:hAnsi="宋体" w:cs="宋体"/>
          <w:b/>
          <w:kern w:val="0"/>
          <w:szCs w:val="24"/>
        </w:rPr>
        <w:t>资者通过销售机构电子渠道购买本理财产品，成功提交认购/申购申请后视同为投资者已完全知悉并接受本理财产品销售文件载明的风险揭示、重要提示以及其他约定，与浙银理财已完成理财产品销售</w:t>
      </w:r>
      <w:r>
        <w:rPr>
          <w:rFonts w:ascii="仿宋_GB2312" w:hAnsi="宋体" w:cs="宋体" w:hint="eastAsia"/>
          <w:b/>
          <w:kern w:val="0"/>
          <w:szCs w:val="24"/>
        </w:rPr>
        <w:t>文件</w:t>
      </w:r>
      <w:r>
        <w:rPr>
          <w:rFonts w:ascii="仿宋_GB2312" w:hAnsi="宋体" w:cs="宋体"/>
          <w:b/>
          <w:kern w:val="0"/>
          <w:szCs w:val="24"/>
        </w:rPr>
        <w:t>的签订。</w:t>
      </w:r>
    </w:p>
    <w:p w14:paraId="4CB1045B" w14:textId="77777777" w:rsidR="00D8530A" w:rsidRDefault="00000000">
      <w:pPr>
        <w:pStyle w:val="af"/>
        <w:spacing w:line="360" w:lineRule="auto"/>
        <w:ind w:firstLineChars="0" w:firstLine="0"/>
        <w:rPr>
          <w:rFonts w:ascii="仿宋_GB2312" w:hAnsi="宋体" w:cs="宋体" w:hint="eastAsia"/>
          <w:b/>
          <w:bCs/>
          <w:kern w:val="0"/>
          <w:szCs w:val="24"/>
        </w:rPr>
      </w:pPr>
      <w:r>
        <w:rPr>
          <w:rFonts w:ascii="仿宋_GB2312" w:hAnsi="宋体" w:cs="宋体" w:hint="eastAsia"/>
          <w:b/>
          <w:bCs/>
          <w:kern w:val="0"/>
          <w:szCs w:val="24"/>
        </w:rPr>
        <w:t>●</w:t>
      </w:r>
      <w:r>
        <w:rPr>
          <w:rFonts w:ascii="仿宋_GB2312" w:hAnsi="宋体" w:cs="宋体" w:hint="eastAsia"/>
          <w:bCs/>
          <w:kern w:val="0"/>
          <w:szCs w:val="24"/>
        </w:rPr>
        <w:t>投资本理财产品后，投资者应随时关注本理财产品的信息披露情况，及时获取相关信息。相关信息以销售文件约定的信息披露方式进行披露。</w:t>
      </w:r>
    </w:p>
    <w:p w14:paraId="0F66061C" w14:textId="77777777" w:rsidR="00D8530A" w:rsidRDefault="00000000">
      <w:pPr>
        <w:tabs>
          <w:tab w:val="left" w:pos="709"/>
        </w:tabs>
        <w:snapToGrid w:val="0"/>
        <w:spacing w:line="360" w:lineRule="auto"/>
        <w:rPr>
          <w:rFonts w:ascii="仿宋_GB2312" w:hAnsi="宋体" w:cs="宋体" w:hint="eastAsia"/>
          <w:b/>
          <w:bCs/>
          <w:kern w:val="0"/>
          <w:szCs w:val="24"/>
        </w:rPr>
      </w:pPr>
      <w:r>
        <w:rPr>
          <w:rFonts w:ascii="仿宋_GB2312" w:hAnsi="宋体" w:cs="宋体" w:hint="eastAsia"/>
          <w:b/>
          <w:bCs/>
          <w:kern w:val="0"/>
          <w:szCs w:val="24"/>
        </w:rPr>
        <w:t>●</w:t>
      </w:r>
      <w:r>
        <w:rPr>
          <w:rFonts w:ascii="仿宋_GB2312" w:hAnsi="宋体" w:cs="宋体" w:hint="eastAsia"/>
          <w:bCs/>
          <w:kern w:val="0"/>
          <w:szCs w:val="24"/>
        </w:rPr>
        <w:t>投资者承诺其用于购买本理财产品的资金来源合法合规，并且其系为合法之目的投资本理财产品，而非为洗钱等违法犯罪目的；投资者应确保用于投资本理财产品的资金不来源于贷款、发行债券等筹集的非自有资金。（受托管理的资产管理产品除外）</w:t>
      </w:r>
    </w:p>
    <w:p w14:paraId="3EAF5521" w14:textId="77777777" w:rsidR="00D8530A" w:rsidRDefault="00000000">
      <w:pPr>
        <w:tabs>
          <w:tab w:val="left" w:pos="709"/>
        </w:tabs>
        <w:snapToGrid w:val="0"/>
        <w:spacing w:line="360" w:lineRule="auto"/>
        <w:rPr>
          <w:rFonts w:ascii="仿宋_GB2312" w:hAnsi="宋体" w:cs="宋体" w:hint="eastAsia"/>
          <w:bCs/>
          <w:kern w:val="0"/>
          <w:szCs w:val="24"/>
        </w:rPr>
      </w:pPr>
      <w:r>
        <w:rPr>
          <w:rFonts w:ascii="仿宋_GB2312" w:hAnsi="宋体" w:cs="宋体" w:hint="eastAsia"/>
          <w:b/>
          <w:bCs/>
          <w:kern w:val="0"/>
          <w:szCs w:val="24"/>
        </w:rPr>
        <w:t>●</w:t>
      </w:r>
      <w:r>
        <w:rPr>
          <w:rFonts w:ascii="仿宋_GB2312" w:hAnsi="宋体" w:cs="宋体"/>
          <w:b/>
          <w:kern w:val="0"/>
          <w:szCs w:val="24"/>
        </w:rPr>
        <w:t>在本理财产品存续期内，</w:t>
      </w:r>
      <w:r>
        <w:rPr>
          <w:rFonts w:ascii="仿宋_GB2312" w:hAnsi="宋体" w:cs="宋体"/>
          <w:b/>
          <w:kern w:val="0"/>
          <w:szCs w:val="32"/>
        </w:rPr>
        <w:t>如因维持本理财产品正常运营的需要且在不损害投资者利益的前提下，或因监管政策、法律法规发生变化</w:t>
      </w:r>
      <w:r>
        <w:rPr>
          <w:rFonts w:ascii="仿宋_GB2312" w:hAnsi="宋体" w:cs="宋体"/>
          <w:b/>
          <w:kern w:val="0"/>
          <w:szCs w:val="24"/>
        </w:rPr>
        <w:t>，浙银理财有权单方对本理财产品销售文件条款进行修订，并按本理财产品说明书约定的披露方式向投资者进行信息披露。浙银理财按照前述规则发布该信息披露即视为该修订通知已送达投资者并对投资者具有法律约束力。</w:t>
      </w:r>
    </w:p>
    <w:p w14:paraId="07EDC8B3" w14:textId="77777777" w:rsidR="00D8530A" w:rsidRDefault="00000000">
      <w:pPr>
        <w:tabs>
          <w:tab w:val="left" w:pos="709"/>
        </w:tabs>
        <w:snapToGrid w:val="0"/>
        <w:spacing w:line="360" w:lineRule="auto"/>
      </w:pPr>
      <w:r>
        <w:rPr>
          <w:rFonts w:ascii="仿宋_GB2312" w:hAnsi="宋体" w:cs="宋体" w:hint="eastAsia"/>
          <w:bCs/>
          <w:kern w:val="0"/>
          <w:szCs w:val="32"/>
        </w:rPr>
        <w:t>●</w:t>
      </w:r>
      <w:r>
        <w:rPr>
          <w:rFonts w:ascii="仿宋_GB2312" w:hAnsiTheme="minorEastAsia" w:cs="宋体" w:hint="eastAsia"/>
          <w:bCs/>
          <w:kern w:val="0"/>
          <w:szCs w:val="32"/>
        </w:rPr>
        <w:t>如对本理财产品、服务有任何疑问、意见或建议，敬请联系您的销售服务机构，具体联系方式以《产品说明书》等销售文件的披露为准；或反馈至浙银理财服务电话：0571-57192881。</w:t>
      </w:r>
    </w:p>
    <w:p w14:paraId="1F82D420" w14:textId="77777777" w:rsidR="00D8530A" w:rsidRDefault="00000000">
      <w:r>
        <w:br w:type="page"/>
      </w:r>
    </w:p>
    <w:p w14:paraId="2AE30E5E" w14:textId="77777777" w:rsidR="00D8530A" w:rsidRDefault="00000000">
      <w:pPr>
        <w:pStyle w:val="1"/>
      </w:pPr>
      <w:r>
        <w:rPr>
          <w:rFonts w:hint="eastAsia"/>
        </w:rPr>
        <w:lastRenderedPageBreak/>
        <w:t>释义</w:t>
      </w:r>
    </w:p>
    <w:p w14:paraId="0705EFFB" w14:textId="77777777" w:rsidR="00D8530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本说明书中，除非另有明确说明，否则下列词语或简称具有如下含义：</w:t>
      </w:r>
    </w:p>
    <w:p w14:paraId="0B865AF8" w14:textId="77777777" w:rsidR="00D8530A" w:rsidRDefault="00000000">
      <w:pPr>
        <w:pStyle w:val="2"/>
        <w:ind w:firstLine="482"/>
        <w:rPr>
          <w:rFonts w:ascii="仿宋_GB2312" w:hAnsi="宋体" w:cs="宋体" w:hint="eastAsia"/>
          <w:bCs/>
          <w:kern w:val="0"/>
          <w:szCs w:val="24"/>
        </w:rPr>
      </w:pPr>
      <w:r>
        <w:rPr>
          <w:rFonts w:ascii="仿宋_GB2312" w:hAnsi="宋体" w:cs="宋体" w:hint="eastAsia"/>
          <w:bCs/>
          <w:kern w:val="0"/>
          <w:szCs w:val="24"/>
        </w:rPr>
        <w:t>产品参与主体用语</w:t>
      </w:r>
    </w:p>
    <w:p w14:paraId="4C6DA1E5" w14:textId="77777777" w:rsidR="00D8530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1.</w:t>
      </w:r>
      <w:r>
        <w:rPr>
          <w:rFonts w:ascii="仿宋_GB2312" w:hAnsi="宋体" w:cs="宋体"/>
          <w:bCs/>
          <w:kern w:val="0"/>
          <w:szCs w:val="24"/>
        </w:rPr>
        <w:t>管理人/产品管理人/理财产品管理人</w:t>
      </w:r>
      <w:r>
        <w:rPr>
          <w:rFonts w:ascii="仿宋_GB2312" w:hAnsi="宋体" w:cs="宋体" w:hint="eastAsia"/>
          <w:bCs/>
          <w:kern w:val="0"/>
          <w:szCs w:val="24"/>
        </w:rPr>
        <w:t>/发行机构</w:t>
      </w:r>
      <w:r>
        <w:rPr>
          <w:rFonts w:ascii="仿宋_GB2312" w:hAnsi="宋体" w:cs="宋体"/>
          <w:bCs/>
          <w:kern w:val="0"/>
          <w:szCs w:val="24"/>
        </w:rPr>
        <w:t>：指浙银理财有限责任公司（简称</w:t>
      </w:r>
      <w:r>
        <w:rPr>
          <w:rFonts w:ascii="仿宋_GB2312" w:hAnsi="宋体" w:cs="宋体"/>
          <w:bCs/>
          <w:kern w:val="0"/>
          <w:szCs w:val="24"/>
        </w:rPr>
        <w:t>“</w:t>
      </w:r>
      <w:r>
        <w:rPr>
          <w:rFonts w:ascii="仿宋_GB2312" w:hAnsi="宋体" w:cs="宋体"/>
          <w:bCs/>
          <w:kern w:val="0"/>
          <w:szCs w:val="24"/>
        </w:rPr>
        <w:t>浙银理财</w:t>
      </w:r>
      <w:r>
        <w:rPr>
          <w:rFonts w:ascii="仿宋_GB2312" w:hAnsi="宋体" w:cs="宋体"/>
          <w:bCs/>
          <w:kern w:val="0"/>
          <w:szCs w:val="24"/>
        </w:rPr>
        <w:t>”</w:t>
      </w:r>
      <w:r>
        <w:rPr>
          <w:rFonts w:ascii="仿宋_GB2312" w:hAnsi="宋体" w:cs="宋体"/>
          <w:bCs/>
          <w:kern w:val="0"/>
          <w:szCs w:val="24"/>
        </w:rPr>
        <w:t>）。</w:t>
      </w:r>
    </w:p>
    <w:p w14:paraId="1F7775DB" w14:textId="77777777" w:rsidR="00D8530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bCs/>
          <w:kern w:val="0"/>
          <w:szCs w:val="24"/>
        </w:rPr>
        <w:t>2.</w:t>
      </w:r>
      <w:r>
        <w:rPr>
          <w:rFonts w:ascii="仿宋_GB2312" w:hAnsi="宋体" w:cs="宋体" w:hint="eastAsia"/>
          <w:bCs/>
          <w:kern w:val="0"/>
          <w:szCs w:val="24"/>
        </w:rPr>
        <w:t>销售机构/理财产品销售机构：指符合</w:t>
      </w:r>
      <w:r>
        <w:rPr>
          <w:rFonts w:ascii="仿宋_GB2312" w:hAnsi="宋体" w:cs="宋体"/>
          <w:bCs/>
          <w:kern w:val="0"/>
          <w:szCs w:val="24"/>
        </w:rPr>
        <w:t>监管</w:t>
      </w:r>
      <w:r>
        <w:rPr>
          <w:rFonts w:ascii="仿宋_GB2312" w:hAnsi="宋体" w:cs="宋体" w:hint="eastAsia"/>
          <w:bCs/>
          <w:kern w:val="0"/>
          <w:szCs w:val="24"/>
        </w:rPr>
        <w:t>规定</w:t>
      </w:r>
      <w:r>
        <w:rPr>
          <w:rFonts w:ascii="仿宋_GB2312" w:hAnsi="宋体" w:cs="宋体"/>
          <w:bCs/>
          <w:kern w:val="0"/>
          <w:szCs w:val="24"/>
        </w:rPr>
        <w:t>具备理财产品销售资格</w:t>
      </w:r>
      <w:r>
        <w:rPr>
          <w:rFonts w:ascii="仿宋_GB2312" w:hAnsi="宋体" w:cs="宋体" w:hint="eastAsia"/>
          <w:bCs/>
          <w:kern w:val="0"/>
          <w:szCs w:val="24"/>
        </w:rPr>
        <w:t>的</w:t>
      </w:r>
      <w:r>
        <w:rPr>
          <w:rFonts w:ascii="仿宋_GB2312" w:hAnsi="宋体" w:cs="宋体"/>
          <w:bCs/>
          <w:kern w:val="0"/>
          <w:szCs w:val="24"/>
        </w:rPr>
        <w:t>机构</w:t>
      </w:r>
      <w:r>
        <w:rPr>
          <w:rFonts w:ascii="仿宋_GB2312" w:hAnsi="宋体" w:cs="宋体" w:hint="eastAsia"/>
          <w:bCs/>
          <w:kern w:val="0"/>
          <w:szCs w:val="24"/>
        </w:rPr>
        <w:t>，</w:t>
      </w:r>
      <w:r>
        <w:rPr>
          <w:rFonts w:ascii="仿宋_GB2312" w:hAnsi="宋体" w:cs="宋体"/>
          <w:bCs/>
          <w:kern w:val="0"/>
          <w:szCs w:val="24"/>
        </w:rPr>
        <w:t>销售机构在其渠道开展向投资者</w:t>
      </w:r>
      <w:r>
        <w:rPr>
          <w:rFonts w:ascii="仿宋_GB2312" w:hAnsi="宋体" w:cs="宋体" w:hint="eastAsia"/>
          <w:bCs/>
          <w:kern w:val="0"/>
          <w:szCs w:val="24"/>
        </w:rPr>
        <w:t>进行</w:t>
      </w:r>
      <w:r>
        <w:rPr>
          <w:rFonts w:ascii="仿宋_GB2312" w:hAnsi="宋体" w:cs="宋体"/>
          <w:bCs/>
          <w:kern w:val="0"/>
          <w:szCs w:val="24"/>
        </w:rPr>
        <w:t>宣传推介</w:t>
      </w:r>
      <w:r>
        <w:rPr>
          <w:rFonts w:ascii="仿宋_GB2312" w:hAnsi="宋体" w:cs="宋体" w:hint="eastAsia"/>
          <w:bCs/>
          <w:kern w:val="0"/>
          <w:szCs w:val="24"/>
        </w:rPr>
        <w:t>，为</w:t>
      </w:r>
      <w:r>
        <w:rPr>
          <w:rFonts w:ascii="仿宋_GB2312" w:hAnsi="宋体" w:cs="宋体"/>
          <w:bCs/>
          <w:kern w:val="0"/>
          <w:szCs w:val="24"/>
        </w:rPr>
        <w:t>投资者</w:t>
      </w:r>
      <w:r>
        <w:rPr>
          <w:rFonts w:ascii="仿宋_GB2312" w:hAnsi="宋体" w:cs="宋体" w:hint="eastAsia"/>
          <w:bCs/>
          <w:kern w:val="0"/>
          <w:szCs w:val="24"/>
        </w:rPr>
        <w:t>办理理财产品认购、申购和赎回，以及监管许可的其他销售活动。理财</w:t>
      </w:r>
      <w:r>
        <w:rPr>
          <w:rFonts w:ascii="仿宋_GB2312" w:hAnsi="宋体" w:cs="宋体"/>
          <w:bCs/>
          <w:kern w:val="0"/>
          <w:szCs w:val="24"/>
        </w:rPr>
        <w:t>产品</w:t>
      </w:r>
      <w:r>
        <w:rPr>
          <w:rFonts w:ascii="仿宋_GB2312" w:hAnsi="宋体" w:cs="宋体" w:hint="eastAsia"/>
          <w:bCs/>
          <w:kern w:val="0"/>
          <w:szCs w:val="24"/>
        </w:rPr>
        <w:t>销售可分为直销和代理</w:t>
      </w:r>
      <w:r>
        <w:rPr>
          <w:rFonts w:ascii="仿宋_GB2312" w:hAnsi="宋体" w:cs="宋体"/>
          <w:bCs/>
          <w:kern w:val="0"/>
          <w:szCs w:val="24"/>
        </w:rPr>
        <w:t>销售</w:t>
      </w:r>
      <w:r>
        <w:rPr>
          <w:rFonts w:ascii="仿宋_GB2312" w:hAnsi="宋体" w:cs="宋体" w:hint="eastAsia"/>
          <w:bCs/>
          <w:kern w:val="0"/>
          <w:szCs w:val="24"/>
        </w:rPr>
        <w:t>，直销机构指销售本公司发行理财产品的理财公司，代销机构指接受理财公司委托销售发行理财产品的代理销售机构。销售机构在其渠道开展向投资者宣传推介、销售产品管理人依法发行的资产管理产品的活动。</w:t>
      </w:r>
    </w:p>
    <w:p w14:paraId="1AE441C8" w14:textId="77777777" w:rsidR="00D8530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bCs/>
          <w:kern w:val="0"/>
          <w:szCs w:val="24"/>
        </w:rPr>
        <w:t>3.</w:t>
      </w:r>
      <w:r>
        <w:rPr>
          <w:rFonts w:ascii="仿宋_GB2312" w:hAnsi="宋体" w:cs="宋体" w:hint="eastAsia"/>
          <w:bCs/>
          <w:kern w:val="0"/>
          <w:szCs w:val="24"/>
        </w:rPr>
        <w:t>托管人</w:t>
      </w:r>
      <w:r>
        <w:rPr>
          <w:rFonts w:ascii="仿宋_GB2312" w:hAnsi="宋体" w:cs="宋体"/>
          <w:bCs/>
          <w:kern w:val="0"/>
          <w:szCs w:val="24"/>
        </w:rPr>
        <w:t>/</w:t>
      </w:r>
      <w:r>
        <w:rPr>
          <w:rFonts w:ascii="仿宋_GB2312" w:hAnsi="宋体" w:cs="宋体" w:hint="eastAsia"/>
          <w:bCs/>
          <w:kern w:val="0"/>
          <w:szCs w:val="24"/>
        </w:rPr>
        <w:t>产品托管人</w:t>
      </w:r>
      <w:r>
        <w:rPr>
          <w:rFonts w:ascii="仿宋_GB2312" w:hAnsi="宋体" w:cs="宋体"/>
          <w:bCs/>
          <w:kern w:val="0"/>
          <w:szCs w:val="24"/>
        </w:rPr>
        <w:t>/</w:t>
      </w:r>
      <w:r>
        <w:rPr>
          <w:rFonts w:ascii="仿宋_GB2312" w:hAnsi="宋体" w:cs="宋体" w:hint="eastAsia"/>
          <w:bCs/>
          <w:kern w:val="0"/>
          <w:szCs w:val="24"/>
        </w:rPr>
        <w:t>理财产品托管人/托管机构：</w:t>
      </w:r>
      <w:r>
        <w:rPr>
          <w:rFonts w:ascii="仿宋_GB2312" w:hAnsi="宋体" w:cs="宋体"/>
          <w:bCs/>
          <w:kern w:val="0"/>
          <w:szCs w:val="24"/>
        </w:rPr>
        <w:t>指</w:t>
      </w:r>
      <w:r>
        <w:rPr>
          <w:rFonts w:ascii="仿宋_GB2312" w:hAnsi="宋体" w:cs="宋体" w:hint="eastAsia"/>
          <w:bCs/>
          <w:kern w:val="0"/>
          <w:szCs w:val="24"/>
        </w:rPr>
        <w:t>根据管理人委托对理财产品财产进行托管的机构。本理财</w:t>
      </w:r>
      <w:r>
        <w:rPr>
          <w:rFonts w:ascii="仿宋_GB2312" w:hAnsi="宋体" w:cs="宋体"/>
          <w:bCs/>
          <w:kern w:val="0"/>
          <w:szCs w:val="24"/>
        </w:rPr>
        <w:t>产品托管人</w:t>
      </w:r>
      <w:r>
        <w:rPr>
          <w:rFonts w:ascii="仿宋_GB2312" w:hAnsi="宋体" w:cs="宋体" w:hint="eastAsia"/>
          <w:bCs/>
          <w:kern w:val="0"/>
          <w:szCs w:val="24"/>
        </w:rPr>
        <w:t>指浙商银行股份有限公司（简称浙商银行）。浙商银行具备理财产品托管资格。</w:t>
      </w:r>
    </w:p>
    <w:p w14:paraId="34B66D2E" w14:textId="77777777" w:rsidR="00D8530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4.投资者：指符合相关法律法规、监管规定要求的，可以购买理财产品份额的自然人、法人及</w:t>
      </w:r>
      <w:r>
        <w:rPr>
          <w:rFonts w:ascii="仿宋_GB2312" w:hAnsi="宋体" w:cs="宋体"/>
          <w:bCs/>
          <w:kern w:val="0"/>
          <w:szCs w:val="24"/>
        </w:rPr>
        <w:t>依法成立的</w:t>
      </w:r>
      <w:r>
        <w:rPr>
          <w:rFonts w:ascii="仿宋_GB2312" w:hAnsi="宋体" w:cs="宋体" w:hint="eastAsia"/>
          <w:bCs/>
          <w:kern w:val="0"/>
          <w:szCs w:val="24"/>
        </w:rPr>
        <w:t>其他</w:t>
      </w:r>
      <w:r>
        <w:rPr>
          <w:rFonts w:ascii="仿宋_GB2312" w:hAnsi="宋体" w:cs="宋体"/>
          <w:bCs/>
          <w:kern w:val="0"/>
          <w:szCs w:val="24"/>
        </w:rPr>
        <w:t>组织</w:t>
      </w:r>
      <w:r>
        <w:rPr>
          <w:rFonts w:ascii="仿宋_GB2312" w:hAnsi="宋体" w:cs="宋体" w:hint="eastAsia"/>
          <w:bCs/>
          <w:kern w:val="0"/>
          <w:szCs w:val="24"/>
        </w:rPr>
        <w:t xml:space="preserve">。 </w:t>
      </w:r>
    </w:p>
    <w:p w14:paraId="6FEF33FF" w14:textId="77777777" w:rsidR="00D8530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5.合格投资者：合格投资者是指具备相应风险识别能力和风险承受能力，投资于单只理财产品不低于一定金额且符合下列条件的自然人、法人或者依法成立的其他组织：</w:t>
      </w:r>
    </w:p>
    <w:p w14:paraId="027A2F60" w14:textId="77777777" w:rsidR="00D8530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（1）具有2年以上投资经历，且满足家庭金融净资产不低于300万元人民币，或者家庭金融资产不低于500万元人民币，或者近3年本人年均收入不低于40万元人民币；</w:t>
      </w:r>
    </w:p>
    <w:p w14:paraId="48ED5FE2" w14:textId="77777777" w:rsidR="00D8530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（2）最近1年末净资产不低于1000万元人民币的法人或者依法成立的其他组织；</w:t>
      </w:r>
    </w:p>
    <w:p w14:paraId="0CDBF431" w14:textId="77777777" w:rsidR="00D8530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（3）国务院银行业监督管理机构规定的其他情形。</w:t>
      </w:r>
    </w:p>
    <w:p w14:paraId="18842685" w14:textId="77777777" w:rsidR="00D8530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6.专业投资者：符合下列条件之一的是专业投资者：</w:t>
      </w:r>
    </w:p>
    <w:p w14:paraId="4340E195" w14:textId="77777777" w:rsidR="00D8530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（1）银行业金融机构、保险业金融机构、金融控股公司、证券基金期货经营机构、私募基金管</w:t>
      </w:r>
      <w:r>
        <w:rPr>
          <w:rFonts w:ascii="仿宋_GB2312" w:hAnsi="宋体" w:cs="宋体" w:hint="eastAsia"/>
          <w:bCs/>
          <w:kern w:val="0"/>
          <w:szCs w:val="24"/>
        </w:rPr>
        <w:lastRenderedPageBreak/>
        <w:t>理人；</w:t>
      </w:r>
    </w:p>
    <w:p w14:paraId="6932C6E4" w14:textId="77777777" w:rsidR="00D8530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（2）上述机构面向投资者发行的金融产品，信托公司管理的资产服务信托、公益慈善信托；</w:t>
      </w:r>
    </w:p>
    <w:p w14:paraId="26A50EB3" w14:textId="77777777" w:rsidR="00D8530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（3）社会保障基金、企业年金、职业年金等养老基金，慈善基金等社会公益基金，合格境外机构投资者（QFII）、人民币合格境外机构投资者（RQFII）。</w:t>
      </w:r>
    </w:p>
    <w:p w14:paraId="4713935C" w14:textId="77777777" w:rsidR="00D8530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7.普通投资者：专业投资者之外的投资者为普通投资者。</w:t>
      </w:r>
    </w:p>
    <w:p w14:paraId="1B9F9218" w14:textId="77777777" w:rsidR="00D8530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8.全国银行业理财信息登记系统：指供商业银行及商业银行理财公司进行理财产品电子化报告和信息登记的电子信息系统。</w:t>
      </w:r>
    </w:p>
    <w:p w14:paraId="0DBD32B4" w14:textId="77777777" w:rsidR="00D8530A" w:rsidRDefault="00000000">
      <w:pPr>
        <w:pStyle w:val="2"/>
        <w:ind w:firstLine="482"/>
        <w:rPr>
          <w:rFonts w:ascii="仿宋_GB2312" w:hAnsi="宋体" w:cs="宋体" w:hint="eastAsia"/>
          <w:bCs/>
          <w:kern w:val="0"/>
          <w:szCs w:val="24"/>
        </w:rPr>
      </w:pPr>
      <w:r>
        <w:rPr>
          <w:rFonts w:ascii="仿宋_GB2312" w:hAnsi="宋体" w:cs="宋体" w:hint="eastAsia"/>
          <w:bCs/>
          <w:kern w:val="0"/>
          <w:szCs w:val="24"/>
        </w:rPr>
        <w:t xml:space="preserve">法律文件用语 </w:t>
      </w:r>
    </w:p>
    <w:p w14:paraId="05C50550" w14:textId="77777777" w:rsidR="00D8530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1.理财产品销售文件/销售文件：指产品管理人向投资者提供的，用于描述产品特征，约定权利义务的文件。具体指浙银理财琮简富春268号理财产品全套销售文件，包括《投资协议书》、《产品说明书》、《（代理）销售协议书》、《风险揭示书》、《投资者权益须知》以及对该文件的有效修改或补充。上述文件共同构成一份完整且不可分割的理财产品销售文件。经产品管理人委托，代理销售机构可以编制《（代理）销售协议书》、《风险揭示书》、《投资者权益须知》。</w:t>
      </w:r>
    </w:p>
    <w:p w14:paraId="4D3936EC" w14:textId="77777777" w:rsidR="00D8530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2.《投资协议书》：指管理人统一编制的《浙银理财理财产品投资协议书》，以及对该文件的有效修改或补充。</w:t>
      </w:r>
    </w:p>
    <w:p w14:paraId="5915B6AC" w14:textId="77777777" w:rsidR="00D8530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3.《产品说明书》：指管理人统一编制的《浙银理财琮简富春268号理财产品说明书》，以及对该文件的有效修改或补充。</w:t>
      </w:r>
    </w:p>
    <w:p w14:paraId="09AAF19E" w14:textId="77777777" w:rsidR="00D8530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4.《（代理）销售协议书》：指管理人统一编制的《浙银理财理财产品（代理）销售协议书》或代理销售机构接受产品管理人委托自行编制的《理财产品（代理）销售协议书》（文件名称以代理销售机构实际编制为准），以及对该文件的有效修改或补充。</w:t>
      </w:r>
    </w:p>
    <w:p w14:paraId="51BC2C4F" w14:textId="77777777" w:rsidR="00D8530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5.《风险揭示书》：指管理人统一编制的《浙银理财琮简富春268号理财产品风险揭示书》或代理销售机构接受产品管理人委托自行编制的《浙银理财琮简富春268号理财产品风险揭示书》（文件名称以代理销售机构实际编制为准），以及对该文件的有效修改或补充。</w:t>
      </w:r>
    </w:p>
    <w:p w14:paraId="4544475C" w14:textId="77777777" w:rsidR="00D8530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lastRenderedPageBreak/>
        <w:t>6.《投资者权益须知》：指管理人统一编制的《理财产品投资者权益须知》或代理销售机构接受产品管理人委托自行编制的《理财产品投资者权益须知》（文件名称以代理销售机构实际编制为准），以及对该文件的有效修改或补充。</w:t>
      </w:r>
    </w:p>
    <w:p w14:paraId="6887C7BC" w14:textId="77777777" w:rsidR="00D8530A" w:rsidRDefault="00000000">
      <w:pPr>
        <w:pStyle w:val="2"/>
        <w:ind w:firstLine="482"/>
        <w:rPr>
          <w:rFonts w:ascii="仿宋_GB2312" w:hAnsi="宋体" w:cs="宋体" w:hint="eastAsia"/>
          <w:bCs/>
          <w:kern w:val="0"/>
          <w:szCs w:val="24"/>
        </w:rPr>
      </w:pPr>
      <w:r>
        <w:rPr>
          <w:rFonts w:ascii="仿宋_GB2312" w:hAnsi="宋体" w:cs="宋体" w:hint="eastAsia"/>
          <w:bCs/>
          <w:kern w:val="0"/>
          <w:szCs w:val="24"/>
        </w:rPr>
        <w:t xml:space="preserve">理财产品用语 </w:t>
      </w:r>
    </w:p>
    <w:p w14:paraId="1C87A267" w14:textId="77777777" w:rsidR="00D8530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1.理财产品登记编码/产品登记编码：指本款理财产品在全国银行业理财信息登记系统对理财产品进行信息登记后，由全国银行业理财信息登记系统发放的唯一性的理财产品编码。投资者可依据登记编码在中国理财网（www.chinawealth.com.cn）查询产品信息。</w:t>
      </w:r>
    </w:p>
    <w:p w14:paraId="2F496BAF" w14:textId="77777777" w:rsidR="00D8530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2.理财产品代码/产品代码：指产品管理人在全国银行业理财信息登记系统中为理财产品设置的内部识别码。</w:t>
      </w:r>
    </w:p>
    <w:p w14:paraId="5FF547D0" w14:textId="77777777" w:rsidR="00D8530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3.理财产品销售代码/销售代码/份额代码：指本款理财产品若设置不同产品份额类别，为在理财产品销售管理过程中区分不同产品份额类别，管理人在同一理财产品代码项下，为每类份额类别设置的唯一性内部识别码。</w:t>
      </w:r>
    </w:p>
    <w:p w14:paraId="6577E184" w14:textId="77777777" w:rsidR="00D8530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4.理财产品风险等级：理财产品风险等级为产品管理人和销售机构经过审慎评估后确定的产品风险等级。若本产品通过代理销售机构销售的，理财产品风险等级以代理销售机构最终披露的风险等级结果为准。产品管理人和代理销售机构对理财产品的风险等级评估结果不一致时，代理销售机构应采用对应较高风险的评级结果。</w:t>
      </w:r>
      <w:r>
        <w:rPr>
          <w:rFonts w:ascii="宋体" w:hAnsi="宋体" w:hint="eastAsia"/>
          <w:b/>
          <w:bCs/>
          <w:szCs w:val="24"/>
        </w:rPr>
        <w:t>产品管理人在符合监管政策的前提下可对产品风险评级进行动态管理，如产品风险等级发生调整，将提前通过本《产品说明书》“信息披露”约定的方式通知投资者。</w:t>
      </w:r>
    </w:p>
    <w:p w14:paraId="0E46CD0E" w14:textId="77777777" w:rsidR="00D8530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5.投资者风险承受能力评估：指销售机构对理财投资者的风险承受能力进行评价的过程。</w:t>
      </w:r>
    </w:p>
    <w:p w14:paraId="74D37F4D" w14:textId="77777777" w:rsidR="00D8530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6.理财产品份额：指投资者持有本理财产品的单位数额。投资者基于其所持有的理财产品单位数额享有理财产品利益、承担理财产品风险。理财产品份额四舍五入保留2位小数。</w:t>
      </w:r>
    </w:p>
    <w:p w14:paraId="63FBF848" w14:textId="77777777" w:rsidR="00D8530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7.理财产品资产净值/理财资产净值/产品资产净值：理财产品资产净值=理财产品资产总值-理财产品负债总值。</w:t>
      </w:r>
    </w:p>
    <w:p w14:paraId="157741FF" w14:textId="77777777" w:rsidR="00D8530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理财产品资产总值是指理财产品拥有的各类有价证券、银行存款、应收款项及其他资产的价值总</w:t>
      </w:r>
      <w:r>
        <w:rPr>
          <w:rFonts w:ascii="仿宋_GB2312" w:hAnsi="宋体" w:cs="宋体" w:hint="eastAsia"/>
          <w:bCs/>
          <w:kern w:val="0"/>
          <w:szCs w:val="24"/>
        </w:rPr>
        <w:lastRenderedPageBreak/>
        <w:t>和。</w:t>
      </w:r>
    </w:p>
    <w:p w14:paraId="11DAA9C7" w14:textId="77777777" w:rsidR="00D8530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理财产品负债总值是指理财产品运作及融资时形成的负债价值总和，包括融资资金本息、</w:t>
      </w:r>
      <w:r>
        <w:rPr>
          <w:rFonts w:ascii="仿宋_GB2312" w:hAnsi="宋体" w:cs="宋体" w:hint="eastAsia"/>
          <w:bCs/>
          <w:kern w:val="0"/>
          <w:sz w:val="22"/>
        </w:rPr>
        <w:t>应付各项费用</w:t>
      </w:r>
      <w:r>
        <w:rPr>
          <w:rFonts w:ascii="仿宋_GB2312" w:hAnsi="宋体" w:cs="宋体" w:hint="eastAsia"/>
          <w:bCs/>
          <w:kern w:val="0"/>
          <w:szCs w:val="24"/>
        </w:rPr>
        <w:t>（包括托管费、认购费、固定管理费、浮动管理费、其他费用等）、应付税金及其他应付款项等。</w:t>
      </w:r>
    </w:p>
    <w:p w14:paraId="309DCF6A" w14:textId="77777777" w:rsidR="00D8530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8.理财产品份额净值/理财份额净值/产品份额净值：指理财产品份额的单位净值，即每1份理财产品份额以人民币计价的价格。理财产品份额净值=理财资产净值/产品总份额。投资者按该份额净值进行理财产品申购、赎回时分配。理财产品份额净值四舍五入保留【6位】小数。</w:t>
      </w:r>
    </w:p>
    <w:p w14:paraId="308214F1" w14:textId="77777777" w:rsidR="00D8530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理财产品份额净值可以展示为</w:t>
      </w:r>
      <w:r>
        <w:rPr>
          <w:rFonts w:ascii="仿宋_GB2312" w:hAnsi="宋体" w:cs="宋体"/>
          <w:b/>
          <w:kern w:val="0"/>
          <w:szCs w:val="24"/>
        </w:rPr>
        <w:t>当前理财产品份额净值</w:t>
      </w:r>
      <w:r>
        <w:rPr>
          <w:rFonts w:ascii="仿宋_GB2312" w:hAnsi="宋体" w:cs="宋体" w:hint="eastAsia"/>
          <w:bCs/>
          <w:kern w:val="0"/>
          <w:szCs w:val="24"/>
        </w:rPr>
        <w:t>和</w:t>
      </w:r>
      <w:r>
        <w:rPr>
          <w:rFonts w:ascii="仿宋_GB2312" w:hAnsi="宋体" w:cs="宋体"/>
          <w:b/>
          <w:kern w:val="0"/>
          <w:szCs w:val="24"/>
        </w:rPr>
        <w:t>累计理财产品份额净值</w:t>
      </w:r>
      <w:r>
        <w:rPr>
          <w:rFonts w:ascii="仿宋_GB2312" w:hAnsi="宋体" w:cs="宋体" w:hint="eastAsia"/>
          <w:bCs/>
          <w:kern w:val="0"/>
          <w:szCs w:val="24"/>
        </w:rPr>
        <w:t>。</w:t>
      </w:r>
    </w:p>
    <w:p w14:paraId="0B556216" w14:textId="77777777" w:rsidR="00D8530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当前理财产品份额净值，指产品当前的份额净值。</w:t>
      </w:r>
    </w:p>
    <w:p w14:paraId="31DF5BDD" w14:textId="77777777" w:rsidR="00D8530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累计理财产品份额净值，指产品当前份额净值及产品成立到现在单位理财产品份额分红之和。</w:t>
      </w:r>
    </w:p>
    <w:p w14:paraId="09EF0454" w14:textId="77777777" w:rsidR="00D8530A" w:rsidRDefault="00000000">
      <w:pPr>
        <w:tabs>
          <w:tab w:val="left" w:pos="709"/>
        </w:tabs>
        <w:snapToGrid w:val="0"/>
        <w:spacing w:line="360" w:lineRule="auto"/>
        <w:ind w:firstLineChars="200" w:firstLine="480"/>
        <w:rPr>
          <w:rFonts w:ascii="仿宋_GB2312" w:hAnsi="宋体" w:cs="宋体" w:hint="eastAsia"/>
          <w:b/>
          <w:kern w:val="0"/>
          <w:szCs w:val="24"/>
        </w:rPr>
      </w:pPr>
      <w:r>
        <w:rPr>
          <w:rFonts w:ascii="仿宋_GB2312" w:hAnsi="宋体" w:cs="宋体"/>
          <w:b/>
          <w:kern w:val="0"/>
          <w:szCs w:val="24"/>
        </w:rPr>
        <w:t>（注：若无特别说明，理财产品份额净值通常指当前理财产品份额净值）</w:t>
      </w:r>
    </w:p>
    <w:p w14:paraId="631F4DDE" w14:textId="77777777" w:rsidR="00D8530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9.理财产品估值：指计算评估理财产品资产和理财产品负债的价值，以确定理财产品份额净值的过程。</w:t>
      </w:r>
    </w:p>
    <w:p w14:paraId="769282D2" w14:textId="77777777" w:rsidR="00D8530A" w:rsidRDefault="00000000">
      <w:pPr>
        <w:tabs>
          <w:tab w:val="left" w:pos="709"/>
        </w:tabs>
        <w:snapToGrid w:val="0"/>
        <w:spacing w:line="360" w:lineRule="auto"/>
        <w:ind w:firstLineChars="200" w:firstLine="480"/>
        <w:rPr>
          <w:rFonts w:ascii="仿宋_GB2312" w:hAnsi="宋体" w:cs="宋体" w:hint="eastAsia"/>
          <w:b/>
          <w:kern w:val="0"/>
          <w:szCs w:val="24"/>
        </w:rPr>
      </w:pPr>
      <w:r>
        <w:rPr>
          <w:rFonts w:ascii="仿宋_GB2312" w:hAnsi="宋体" w:cs="宋体" w:hint="eastAsia"/>
          <w:bCs/>
          <w:kern w:val="0"/>
          <w:szCs w:val="24"/>
        </w:rPr>
        <w:t>10.业绩比较基准：指管理人基于过往投资经验及对产品存续期投资市场波动的预判而对本产品所设定的投资目标。</w:t>
      </w:r>
      <w:r>
        <w:rPr>
          <w:rFonts w:ascii="仿宋_GB2312" w:hAnsi="宋体" w:cs="宋体"/>
          <w:b/>
          <w:kern w:val="0"/>
          <w:szCs w:val="24"/>
        </w:rPr>
        <w:t>业绩比较基准不代表理财产品未来表现，不等于理财产品实际收益，不作为产品收益的业绩保证，投资须谨慎。</w:t>
      </w:r>
    </w:p>
    <w:p w14:paraId="5DB644EE" w14:textId="77777777" w:rsidR="00D8530A" w:rsidRDefault="00000000">
      <w:pPr>
        <w:tabs>
          <w:tab w:val="left" w:pos="709"/>
        </w:tabs>
        <w:snapToGrid w:val="0"/>
        <w:spacing w:line="360" w:lineRule="auto"/>
        <w:ind w:firstLineChars="200" w:firstLine="480"/>
        <w:rPr>
          <w:rFonts w:ascii="仿宋_GB2312" w:hAnsi="宋体" w:cs="宋体" w:hint="eastAsia"/>
          <w:b/>
          <w:kern w:val="0"/>
          <w:szCs w:val="24"/>
        </w:rPr>
      </w:pPr>
      <w:r>
        <w:rPr>
          <w:rFonts w:ascii="仿宋_GB2312" w:hAnsi="宋体" w:cs="宋体" w:hint="eastAsia"/>
          <w:bCs/>
          <w:kern w:val="0"/>
          <w:szCs w:val="24"/>
        </w:rPr>
        <w:t>11.浮动管理费计提基准：指管理人收取浮动管理费的参照相关数值标准。</w:t>
      </w:r>
      <w:r>
        <w:rPr>
          <w:rFonts w:ascii="仿宋_GB2312" w:hAnsi="宋体" w:cs="宋体" w:hint="eastAsia"/>
          <w:b/>
          <w:kern w:val="0"/>
          <w:szCs w:val="24"/>
        </w:rPr>
        <w:t>浮动管理费计提基准</w:t>
      </w:r>
      <w:r>
        <w:rPr>
          <w:rFonts w:ascii="仿宋_GB2312" w:hAnsi="宋体" w:cs="宋体"/>
          <w:b/>
          <w:kern w:val="0"/>
          <w:szCs w:val="24"/>
        </w:rPr>
        <w:t>不代表理财产品未来表现，不等于理财产品实际收益，不作为产品收益的业绩保证，投资须谨慎。</w:t>
      </w:r>
    </w:p>
    <w:p w14:paraId="7FBF60A7" w14:textId="77777777" w:rsidR="00D8530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12.理财产品利益/理财利益/理财产品收益/理财收益：指投资者因持有理财产品份额，按照销售文件约定取得或有权取得的理财产品管理人分配的理财产品资产。</w:t>
      </w:r>
    </w:p>
    <w:p w14:paraId="31FE7729" w14:textId="77777777" w:rsidR="00D8530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 xml:space="preserve">13.收益分配：指产品管理人向投资者进行理财产品收益分配。 </w:t>
      </w:r>
    </w:p>
    <w:p w14:paraId="40A76997" w14:textId="77777777" w:rsidR="00D8530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 xml:space="preserve">14.期间分配：指在理财产品终止日（不含当日）前的理财产品收益分配。 </w:t>
      </w:r>
    </w:p>
    <w:p w14:paraId="2DACFB9C" w14:textId="77777777" w:rsidR="00D8530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15.终止分配：指在理财产品终止日当日及之后的理财产品收益分配。</w:t>
      </w:r>
    </w:p>
    <w:p w14:paraId="69A3019A" w14:textId="77777777" w:rsidR="00D8530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 xml:space="preserve">16.认购：指投资者根据本协议约定在认购期/募集期内申请购买本产品理财产品份额的行为。 </w:t>
      </w:r>
    </w:p>
    <w:p w14:paraId="0007CCD3" w14:textId="77777777" w:rsidR="00D8530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17.申购：指理财产品成立后，在理财产品申购期内，投资者申请购买理财产品份额的行为。</w:t>
      </w:r>
    </w:p>
    <w:p w14:paraId="2F8AC77A" w14:textId="77777777" w:rsidR="00D8530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首次申购，指未进行认购的投资者，在理财产品成立后申请购买理财产品份额的行为。投资者全额赎回不再持有理财产品份额后再次申购的，视同首次申购处理。</w:t>
      </w:r>
    </w:p>
    <w:p w14:paraId="181D2F40" w14:textId="77777777" w:rsidR="00D8530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追加申购，指已经完成认购或首次申购的投资者，在理财产品成立后申请购买理财产品份额的行为。</w:t>
      </w:r>
    </w:p>
    <w:p w14:paraId="1CDC813F" w14:textId="77777777" w:rsidR="00D8530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18.赎回：指理财产品成立后，在理财产品赎回期内，投资者申请赎回理财产品份额的行为，即投资者申请将理财产品份额兑换为现金。</w:t>
      </w:r>
    </w:p>
    <w:p w14:paraId="091F91B1" w14:textId="77777777" w:rsidR="00D8530A" w:rsidRDefault="00000000">
      <w:pPr>
        <w:pStyle w:val="2"/>
        <w:ind w:firstLine="482"/>
        <w:rPr>
          <w:rFonts w:ascii="仿宋_GB2312" w:hAnsi="宋体" w:cs="宋体" w:hint="eastAsia"/>
          <w:bCs/>
          <w:kern w:val="0"/>
          <w:szCs w:val="24"/>
        </w:rPr>
      </w:pPr>
      <w:r>
        <w:rPr>
          <w:rFonts w:ascii="仿宋_GB2312" w:hAnsi="宋体" w:cs="宋体" w:hint="eastAsia"/>
          <w:bCs/>
          <w:kern w:val="0"/>
          <w:szCs w:val="24"/>
        </w:rPr>
        <w:t xml:space="preserve">期间与日期 </w:t>
      </w:r>
    </w:p>
    <w:p w14:paraId="39998227" w14:textId="77777777" w:rsidR="00D8530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1.日：指自然日。</w:t>
      </w:r>
    </w:p>
    <w:p w14:paraId="6C06A596" w14:textId="77777777" w:rsidR="00D8530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 xml:space="preserve">2.交易日：指证券交易所的正常开盘交易日。 </w:t>
      </w:r>
    </w:p>
    <w:p w14:paraId="165610AB" w14:textId="77777777" w:rsidR="00D8530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 xml:space="preserve">3.工作日：指国家法定工作日。 </w:t>
      </w:r>
    </w:p>
    <w:p w14:paraId="43B719D0" w14:textId="77777777" w:rsidR="00D8530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4.成立日：指达到《产品说明书》约定的成立条件后本产品开始运作的日期。</w:t>
      </w:r>
    </w:p>
    <w:p w14:paraId="2E3394C5" w14:textId="77777777" w:rsidR="00D8530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5.到期日/终止日：指本产品终止的日期，包括理财产品正常到期之日、提前终止之日及延期终止之日。根据《产品说明书》的约定，管理人有权在发生终止事件时终止该理财产品。如管理人终止理财产品，将通过约定方式向投资者进行信息披露。</w:t>
      </w:r>
    </w:p>
    <w:p w14:paraId="241D034F" w14:textId="77777777" w:rsidR="00D8530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6.收益分配基准日/分配基准日：指本产品管理人以该日日终产品份额净值计算并确定可供分配的投资期间理财收益的日期。</w:t>
      </w:r>
    </w:p>
    <w:p w14:paraId="1540A016" w14:textId="77777777" w:rsidR="00D8530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7.除权日：指本产品的份额净值扣除收益分配金额的日期。</w:t>
      </w:r>
    </w:p>
    <w:p w14:paraId="02B7B1C4" w14:textId="77777777" w:rsidR="00D8530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8.权益登记日：指本产品理财产品收益分配时，权益登记日登记在册的理财产品份额持有人为分配对象。</w:t>
      </w:r>
    </w:p>
    <w:p w14:paraId="084991C4" w14:textId="77777777" w:rsidR="00D8530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9.分配日：指产品管理人向投资者进行理财产品收益分配的日期。</w:t>
      </w:r>
    </w:p>
    <w:p w14:paraId="249A7CB1" w14:textId="77777777" w:rsidR="00D8530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10.募集期/认购期：指理财产品成立前，理财产品管理人接受理财产品认购的时间。但在该期间</w:t>
      </w:r>
      <w:r>
        <w:rPr>
          <w:rFonts w:ascii="仿宋_GB2312" w:hAnsi="宋体" w:cs="宋体" w:hint="eastAsia"/>
          <w:bCs/>
          <w:kern w:val="0"/>
          <w:szCs w:val="24"/>
        </w:rPr>
        <w:lastRenderedPageBreak/>
        <w:t>内如认购人提交认购申请的认购份额提前达到《产品说明书》所载的发行规模上限的，管理人有权选择认购期提前结束并停止接受认购申请。该情形下，产品成立日维持《产品说明书》的约定，保持不变。</w:t>
      </w:r>
    </w:p>
    <w:p w14:paraId="0409C0B7" w14:textId="77777777" w:rsidR="00D8530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11.持有期：指自产品成立日/申购确认日起，投资者持有该产品份额的期间。</w:t>
      </w:r>
    </w:p>
    <w:p w14:paraId="547B54C5" w14:textId="77777777" w:rsidR="00D8530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12.产品存续期：指自理财产品成立日起，至理财产品终止日的期间。</w:t>
      </w:r>
    </w:p>
    <w:p w14:paraId="1F3DB257" w14:textId="77777777" w:rsidR="00D8530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13.清算期：指自本理财产品终止日至投资者理财利益到账日之间的期间。</w:t>
      </w:r>
    </w:p>
    <w:p w14:paraId="590894DB" w14:textId="77777777" w:rsidR="00D8530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14.申购/赎回日：指投资者提交申购、赎回申请的日期。</w:t>
      </w:r>
    </w:p>
    <w:p w14:paraId="71AABB72" w14:textId="77777777" w:rsidR="00D8530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15.申购/赎回确认日：指投资者提交申购、赎回申请后，管理人对申购、赎回申请进行确认的日期。</w:t>
      </w:r>
    </w:p>
    <w:p w14:paraId="37B26D60" w14:textId="77777777" w:rsidR="00D8530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16.T日：指某一事件或行为发生的当日。</w:t>
      </w:r>
    </w:p>
    <w:p w14:paraId="395B1A2D" w14:textId="77777777" w:rsidR="00D8530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17.T+n日：指T日后（不包括T日）的第n个工作日。</w:t>
      </w:r>
    </w:p>
    <w:p w14:paraId="155FFF7A" w14:textId="77777777" w:rsidR="00D8530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18.T-n日：指T前（不包括T日）的第n个工作日。</w:t>
      </w:r>
    </w:p>
    <w:p w14:paraId="4EB9E066" w14:textId="77777777" w:rsidR="00D8530A" w:rsidRDefault="00000000">
      <w:pPr>
        <w:pStyle w:val="2"/>
        <w:ind w:firstLine="482"/>
        <w:rPr>
          <w:rFonts w:ascii="仿宋_GB2312" w:hAnsi="宋体" w:cs="宋体" w:hint="eastAsia"/>
          <w:bCs/>
          <w:kern w:val="0"/>
          <w:szCs w:val="24"/>
        </w:rPr>
      </w:pPr>
      <w:r>
        <w:rPr>
          <w:rFonts w:ascii="仿宋_GB2312" w:hAnsi="宋体" w:cs="宋体" w:hint="eastAsia"/>
          <w:bCs/>
          <w:kern w:val="0"/>
          <w:szCs w:val="24"/>
        </w:rPr>
        <w:t>费用</w:t>
      </w:r>
    </w:p>
    <w:p w14:paraId="39DE22D7" w14:textId="77777777" w:rsidR="00D8530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1.认购费：指投资者认购产品时需缴纳的费用。</w:t>
      </w:r>
    </w:p>
    <w:p w14:paraId="30C2B98C" w14:textId="77777777" w:rsidR="00D8530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2.申购费：指投资者申购产品时需缴纳的费用。</w:t>
      </w:r>
    </w:p>
    <w:p w14:paraId="7FDDF9D8" w14:textId="77777777" w:rsidR="00D8530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3.赎回费：指投资者赎回产品时需缴纳的费用。</w:t>
      </w:r>
    </w:p>
    <w:p w14:paraId="6E0B81C6" w14:textId="77777777" w:rsidR="00D8530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4.销售服务费：指因理财产品销售行为产生，销售机构所收取的费用。</w:t>
      </w:r>
    </w:p>
    <w:p w14:paraId="4271544E" w14:textId="77777777" w:rsidR="00D8530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5.固定管理费：指因理财产品投资管理产生，管理人所收取的费用。</w:t>
      </w:r>
    </w:p>
    <w:p w14:paraId="32D65203" w14:textId="77777777" w:rsidR="00D8530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6.托管费：指因理财产品进行托管产生，托管人收取的费用。</w:t>
      </w:r>
    </w:p>
    <w:p w14:paraId="51E2BBD2" w14:textId="77777777" w:rsidR="00D8530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7.浮动管理费：指产品管理人依照理财产品销售文件约定规则收取的浮动性质的管理费用。</w:t>
      </w:r>
    </w:p>
    <w:p w14:paraId="003F5872" w14:textId="77777777" w:rsidR="00D8530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8.信息服务费：指银行业理财登记托管中心有限公司对管理人在理财产品中央数据交换平台开展数据交换的理财产品收取的信息技术服务费用。</w:t>
      </w:r>
    </w:p>
    <w:p w14:paraId="7C62BC6D" w14:textId="77777777" w:rsidR="00D8530A" w:rsidRDefault="00000000">
      <w:pPr>
        <w:tabs>
          <w:tab w:val="left" w:pos="709"/>
        </w:tabs>
        <w:snapToGrid w:val="0"/>
        <w:spacing w:line="360" w:lineRule="auto"/>
        <w:ind w:firstLineChars="200" w:firstLine="480"/>
      </w:pPr>
      <w:r>
        <w:rPr>
          <w:rFonts w:ascii="仿宋_GB2312" w:hAnsi="宋体" w:cs="宋体" w:hint="eastAsia"/>
          <w:bCs/>
          <w:kern w:val="0"/>
          <w:szCs w:val="24"/>
        </w:rPr>
        <w:t>9.其他费用（如有）：</w:t>
      </w:r>
      <w:r>
        <w:rPr>
          <w:rFonts w:hint="eastAsia"/>
        </w:rPr>
        <w:t>与理财</w:t>
      </w:r>
      <w:r>
        <w:t>产品相关的</w:t>
      </w:r>
      <w:r>
        <w:rPr>
          <w:rFonts w:hint="eastAsia"/>
        </w:rPr>
        <w:t>账户服务费用、资产服务费用、交易费用（包括但不限</w:t>
      </w:r>
      <w:r>
        <w:rPr>
          <w:rFonts w:hint="eastAsia"/>
        </w:rPr>
        <w:lastRenderedPageBreak/>
        <w:t>于交易佣金、撮合费用等）、注册登记费、验资费、审计费、信息披露费、清算费用、执行费用（包括但不限于律师费、诉讼费、仲裁费、公证费、保全费、执行费等）以及按照法律法规、监管规定和理财产品销售文件约定可以列入的其他费用，具体以实际发生为准。</w:t>
      </w:r>
    </w:p>
    <w:p w14:paraId="5799DF6C" w14:textId="77777777" w:rsidR="00D8530A" w:rsidRDefault="00000000">
      <w:pPr>
        <w:pStyle w:val="2"/>
        <w:snapToGrid w:val="0"/>
        <w:ind w:firstLineChars="200" w:firstLine="480"/>
        <w:rPr>
          <w:rFonts w:ascii="仿宋_GB2312" w:hAnsi="宋体" w:cs="宋体" w:hint="eastAsia"/>
          <w:bCs/>
          <w:kern w:val="0"/>
          <w:szCs w:val="24"/>
        </w:rPr>
      </w:pPr>
      <w:r>
        <w:rPr>
          <w:rFonts w:ascii="仿宋_GB2312" w:hAnsi="宋体" w:cs="宋体" w:hint="eastAsia"/>
          <w:bCs/>
          <w:kern w:val="0"/>
          <w:szCs w:val="24"/>
        </w:rPr>
        <w:t xml:space="preserve">其他 </w:t>
      </w:r>
    </w:p>
    <w:p w14:paraId="62DA3F9C" w14:textId="77777777" w:rsidR="00D8530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1.不可抗力：指理财产品各方不能预见、不能避免且不能克服的客观情况，该事件妨碍、影响或延误任何一方依相关理财产品销售文件履行其全部或部分义务。该事件包括但不限于：</w:t>
      </w:r>
    </w:p>
    <w:p w14:paraId="5D449894" w14:textId="77777777" w:rsidR="00D8530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A、地震、台风、海啸、洪水、火灾、停电、瘟疫；</w:t>
      </w:r>
    </w:p>
    <w:p w14:paraId="7A358AA5" w14:textId="77777777" w:rsidR="00D8530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B、战争、政变、恐怖主义行动、骚乱、罢工；</w:t>
      </w:r>
    </w:p>
    <w:p w14:paraId="3BF6952D" w14:textId="77777777" w:rsidR="00D8530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C、新的适用法律或国家政策的颁布或实施、对原适用法律或国家政策的修改；</w:t>
      </w:r>
    </w:p>
    <w:p w14:paraId="3F90832A" w14:textId="77777777" w:rsidR="00D8530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D、金融管理部门强制要求终止理财产品（该等强制要求不可归咎于任何一方）；</w:t>
      </w:r>
    </w:p>
    <w:p w14:paraId="5A4F43CD" w14:textId="77777777" w:rsidR="00D8530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E、因理财产品各方和/或其关联方运营网络系统遭受黑客攻击、电信部门技术调整或故障等原因而造成的理财产品各方和/或其关联方之服务、营业的中断或者延迟。</w:t>
      </w:r>
    </w:p>
    <w:p w14:paraId="43784290" w14:textId="77777777" w:rsidR="00D8530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 xml:space="preserve">2.元：指人民币元。 </w:t>
      </w:r>
    </w:p>
    <w:p w14:paraId="604BCF10" w14:textId="77777777" w:rsidR="00D8530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3.适用法律：指在理财产品销售文件签署日和履行过程中，适用中华人民共和国法律（为本协议之目的，在此不包括香港、澳门特别行政区和台湾地区的法律），包括中国任何立法机构、政府部门、银行业理财登记托管中心、银行间交易商协会、证券交易所、证券登记结算机构、相关行业协会依法颁布的，适用于本理财产品相关事宜的法律、行政法规、地方法规、部委规章、地方政府规章、规范性文件、规则、通知、须知、业务指南、指引或操作规程，及其有效的修改、更新或补充。</w:t>
      </w:r>
      <w:r>
        <w:rPr>
          <w:rFonts w:ascii="仿宋_GB2312" w:hAnsi="宋体" w:cs="宋体" w:hint="eastAsia"/>
          <w:bCs/>
          <w:kern w:val="0"/>
          <w:szCs w:val="24"/>
        </w:rPr>
        <w:br w:type="page"/>
      </w:r>
    </w:p>
    <w:p w14:paraId="62C1961E" w14:textId="77777777" w:rsidR="00D8530A" w:rsidRDefault="00000000">
      <w:pPr>
        <w:pStyle w:val="1"/>
      </w:pPr>
      <w:r>
        <w:rPr>
          <w:rFonts w:hint="eastAsia"/>
        </w:rPr>
        <w:lastRenderedPageBreak/>
        <w:t>理财产品的认购与成立</w:t>
      </w:r>
    </w:p>
    <w:p w14:paraId="05A2A962" w14:textId="77777777" w:rsidR="00D8530A" w:rsidRDefault="00000000">
      <w:pPr>
        <w:pStyle w:val="2"/>
        <w:widowControl/>
        <w:adjustRightInd w:val="0"/>
        <w:snapToGrid w:val="0"/>
        <w:ind w:firstLine="482"/>
        <w:rPr>
          <w:rFonts w:ascii="仿宋_GB2312" w:hAnsi="宋体" w:cs="宋体" w:hint="eastAsia"/>
          <w:bCs/>
          <w:kern w:val="0"/>
          <w:szCs w:val="24"/>
        </w:rPr>
      </w:pPr>
      <w:r>
        <w:rPr>
          <w:rFonts w:ascii="仿宋_GB2312" w:hAnsi="宋体" w:cs="宋体" w:hint="eastAsia"/>
          <w:bCs/>
          <w:kern w:val="0"/>
          <w:szCs w:val="24"/>
        </w:rPr>
        <w:t>参与主体及主要职责</w:t>
      </w:r>
    </w:p>
    <w:p w14:paraId="4670DB0E"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bCs/>
          <w:kern w:val="0"/>
          <w:szCs w:val="24"/>
        </w:rPr>
        <w:t>1.</w:t>
      </w:r>
      <w:r>
        <w:rPr>
          <w:rFonts w:ascii="仿宋_GB2312" w:hAnsi="宋体" w:cs="宋体" w:hint="eastAsia"/>
          <w:bCs/>
          <w:kern w:val="0"/>
          <w:szCs w:val="24"/>
        </w:rPr>
        <w:t>产品管理人</w:t>
      </w:r>
    </w:p>
    <w:p w14:paraId="4FA8FF4C"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名称：浙银理财有限责任公司</w:t>
      </w:r>
    </w:p>
    <w:p w14:paraId="586EB005"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注册地：浙江省杭州市萧山区宁围街道民和路939号浙江商会大厦2幢20-22楼</w:t>
      </w:r>
    </w:p>
    <w:p w14:paraId="5CE5A988"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浙银理财负责本产品的投资运作和产品管理，</w:t>
      </w:r>
      <w:r>
        <w:rPr>
          <w:rFonts w:ascii="仿宋_GB2312" w:hAnsi="宋体" w:cs="宋体" w:hint="eastAsia"/>
          <w:b/>
          <w:kern w:val="0"/>
          <w:szCs w:val="24"/>
        </w:rPr>
        <w:t>投资者在此授权并同意浙银理财享有以下权利</w:t>
      </w:r>
      <w:r>
        <w:rPr>
          <w:rFonts w:ascii="仿宋_GB2312" w:hAnsi="宋体" w:cs="宋体" w:hint="eastAsia"/>
          <w:bCs/>
          <w:kern w:val="0"/>
          <w:szCs w:val="24"/>
        </w:rPr>
        <w:t>：</w:t>
      </w:r>
    </w:p>
    <w:p w14:paraId="0F091209" w14:textId="77777777" w:rsidR="00D8530A" w:rsidRDefault="00000000">
      <w:pPr>
        <w:widowControl/>
        <w:numPr>
          <w:ilvl w:val="0"/>
          <w:numId w:val="2"/>
        </w:numPr>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按照本产品销售文件的约定，管理、运用和处分理财产品资金；</w:t>
      </w:r>
    </w:p>
    <w:p w14:paraId="65F16C7A" w14:textId="77777777" w:rsidR="00D8530A" w:rsidRDefault="00000000">
      <w:pPr>
        <w:widowControl/>
        <w:numPr>
          <w:ilvl w:val="0"/>
          <w:numId w:val="2"/>
        </w:numPr>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按照本产品销售文件的约定，及时、足额获得管理费和本产品说明书约定的其他费用（如有）；</w:t>
      </w:r>
    </w:p>
    <w:p w14:paraId="6AA3003B" w14:textId="77777777" w:rsidR="00D8530A" w:rsidRDefault="00000000">
      <w:pPr>
        <w:widowControl/>
        <w:numPr>
          <w:ilvl w:val="0"/>
          <w:numId w:val="2"/>
        </w:numPr>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管理人以其固有财产先行垫付因处理本产品相关事务所支出的理财产品费用及税费的，对理财产品资金享有优先受偿权；</w:t>
      </w:r>
    </w:p>
    <w:p w14:paraId="7E73B737" w14:textId="77777777" w:rsidR="00D8530A" w:rsidRDefault="00000000">
      <w:pPr>
        <w:widowControl/>
        <w:numPr>
          <w:ilvl w:val="0"/>
          <w:numId w:val="2"/>
        </w:numPr>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管理人有权根据本产品销售文件的约定提前终止或延长本理财产品的期限；</w:t>
      </w:r>
    </w:p>
    <w:p w14:paraId="7986E6E9"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（5）管理人有权单方调整本产品的发行规模上限、认/申购起点金额、投资者累计认/申购上限、赎回上限等要素；</w:t>
      </w:r>
    </w:p>
    <w:p w14:paraId="2638D348"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（6）管理人有权按照法律法规和监管机构的要求将投资者的信息向有权部门或相关机构披露；</w:t>
      </w:r>
    </w:p>
    <w:p w14:paraId="3F1D8584"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（7）以理财产品管理人的名义，依照法律法规相关规定以及为理财产品的利益，对被投资的各类资产行使出资人/投资者权利（包括但不限于表决投票的权利）；</w:t>
      </w:r>
    </w:p>
    <w:p w14:paraId="333A86A2"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8）以理财产品管理人的名义，依照法律法规相关规定以及代表理财产品份额持有人的利益代为行使追索的权利（包括但不限于提起诉讼/仲裁、申请保全/执行的权利）或者实施其他风险处置、行使、放弃、变更相关权利义务的法律行为；</w:t>
      </w:r>
    </w:p>
    <w:p w14:paraId="07CBF731"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（9）法律法规、监管政策及本产品销售文件约定的其他权利。</w:t>
      </w:r>
    </w:p>
    <w:p w14:paraId="23F635CB"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2.产品托管机构</w:t>
      </w:r>
    </w:p>
    <w:p w14:paraId="71D93131"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名称：浙商银行股份有限公司</w:t>
      </w:r>
    </w:p>
    <w:p w14:paraId="3C8B9479"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lastRenderedPageBreak/>
        <w:t>注册地：浙江省杭州市萧山区鸿宁路</w:t>
      </w:r>
      <w:r>
        <w:rPr>
          <w:rFonts w:ascii="仿宋_GB2312" w:hAnsi="宋体" w:cs="宋体"/>
          <w:bCs/>
          <w:kern w:val="0"/>
          <w:szCs w:val="24"/>
        </w:rPr>
        <w:t>1788</w:t>
      </w:r>
      <w:r>
        <w:rPr>
          <w:rFonts w:ascii="仿宋_GB2312" w:hAnsi="宋体" w:cs="宋体" w:hint="eastAsia"/>
          <w:bCs/>
          <w:kern w:val="0"/>
          <w:szCs w:val="24"/>
        </w:rPr>
        <w:t>号</w:t>
      </w:r>
    </w:p>
    <w:p w14:paraId="0C40AF91"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w:t>
      </w:r>
      <w:r>
        <w:rPr>
          <w:rFonts w:ascii="仿宋_GB2312" w:hAnsi="宋体" w:cs="宋体"/>
          <w:bCs/>
          <w:kern w:val="0"/>
          <w:szCs w:val="24"/>
        </w:rPr>
        <w:t>95527</w:t>
      </w:r>
    </w:p>
    <w:p w14:paraId="38BBB644"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托管机构主要职责：提供包括账户开立、资金保管、资金清算、估值核算、投资监督等理财产品托管服务。</w:t>
      </w:r>
    </w:p>
    <w:p w14:paraId="656A6E0F"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产品管理人为理财产品资金管理之目的，以本产品的名义在托管人处单独开立资金账户，理财产品资金的一切收支活动，包括但不限于划付对外投资资金、缴纳理财产品税费、接收理财产品回收资金、支付理财产品费用，均必须通过该账户进行。</w:t>
      </w:r>
    </w:p>
    <w:p w14:paraId="6072A30F"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bCs/>
          <w:kern w:val="0"/>
          <w:szCs w:val="24"/>
        </w:rPr>
        <w:t>3.</w:t>
      </w:r>
      <w:r>
        <w:rPr>
          <w:rFonts w:ascii="仿宋_GB2312" w:hAnsi="宋体" w:cs="宋体" w:hint="eastAsia"/>
          <w:bCs/>
          <w:kern w:val="0"/>
          <w:szCs w:val="24"/>
        </w:rPr>
        <w:t>产品销售机构</w:t>
      </w:r>
    </w:p>
    <w:p w14:paraId="3FA15A18"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名称：浙江长兴农村商业银行股份有限公司</w:t>
      </w:r>
    </w:p>
    <w:p w14:paraId="0AAA1035"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注册地：浙江省湖州市长兴县太湖街道明珠路1298号</w:t>
      </w:r>
    </w:p>
    <w:p w14:paraId="086D948C"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643109B5"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名称：嘉兴银行股份有限公司</w:t>
      </w:r>
    </w:p>
    <w:p w14:paraId="1866207F"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注册地：浙江省嘉兴市昌盛南路1001号</w:t>
      </w:r>
    </w:p>
    <w:p w14:paraId="1B164461"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客户服务热线：0573-96528</w:t>
      </w:r>
    </w:p>
    <w:p w14:paraId="2C0842C8"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名称：浙江岱山农村商业银行股份有限公司</w:t>
      </w:r>
    </w:p>
    <w:p w14:paraId="2D6C5D3B"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注册地：浙江省舟山市岱山县高亭镇衢山大道1009号</w:t>
      </w:r>
    </w:p>
    <w:p w14:paraId="0D492BDB"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7EB2E941"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名称：浙江遂昌农村商业银行股份有限公司</w:t>
      </w:r>
    </w:p>
    <w:p w14:paraId="191050A2"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注册地：浙江省丽水市遂昌县妙高街道溪边路100号</w:t>
      </w:r>
    </w:p>
    <w:p w14:paraId="75137CF4"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18BFA79A"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名称：浙江台州路桥农村商业银行股份有限公司</w:t>
      </w:r>
    </w:p>
    <w:p w14:paraId="77AF11FF"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注册地：浙江省台州市路桥区路北街道中心大道5789号</w:t>
      </w:r>
    </w:p>
    <w:p w14:paraId="22932244"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4A00A36C"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lastRenderedPageBreak/>
        <w:t>名称：浙江临海农村商业银行股份有限公司</w:t>
      </w:r>
    </w:p>
    <w:p w14:paraId="0D0D7CF9"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 xml:space="preserve">注册地：浙江省台州市临海市大洋街道河阳路 </w:t>
      </w:r>
      <w:proofErr w:type="gramStart"/>
      <w:r>
        <w:rPr>
          <w:rFonts w:ascii="仿宋_GB2312" w:hAnsi="宋体" w:cs="宋体" w:hint="eastAsia"/>
          <w:bCs/>
          <w:kern w:val="0"/>
          <w:szCs w:val="24"/>
        </w:rPr>
        <w:t>299 号</w:t>
      </w:r>
      <w:proofErr w:type="gramEnd"/>
    </w:p>
    <w:p w14:paraId="2A4F155C"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30E41D92"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名称：浙江龙游农村商业银行股份有限公司</w:t>
      </w:r>
    </w:p>
    <w:p w14:paraId="15FCBC43"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注册地：浙江省衢州市龙游县龙洲街道荣昌大道683、685、687号</w:t>
      </w:r>
    </w:p>
    <w:p w14:paraId="6C4B7220"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378580E7"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名称：浙江天台农村商业银行股份有限公司</w:t>
      </w:r>
    </w:p>
    <w:p w14:paraId="3950E8D7"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注册地：浙江省天台县赤城街道飞鹤路358号</w:t>
      </w:r>
    </w:p>
    <w:p w14:paraId="5AEF2C29"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67A33B6E"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名称：浙江仙居农村商业银行股份有限公司</w:t>
      </w:r>
    </w:p>
    <w:p w14:paraId="32E5594B"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注册地：浙江省台州市仙居县穿城中路21号</w:t>
      </w:r>
    </w:p>
    <w:p w14:paraId="201B9BD7"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36DE93C5"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名称：浙江温岭农村商业银行股份有限公司</w:t>
      </w:r>
    </w:p>
    <w:p w14:paraId="3F4AD11F"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注册地：浙江省台州市温岭市城东街道下保路100号</w:t>
      </w:r>
    </w:p>
    <w:p w14:paraId="4B984BE4"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5A679A15"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名称：浙江开化农村商业银行股份有限公司</w:t>
      </w:r>
    </w:p>
    <w:p w14:paraId="189B5067"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注册地：浙江省华埠镇永吉二路8号</w:t>
      </w:r>
    </w:p>
    <w:p w14:paraId="29176365"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0221B1DA"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名称：浙江杭州余杭农村商业银行股份有限公司</w:t>
      </w:r>
    </w:p>
    <w:p w14:paraId="52C00C23"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注册地：浙江省杭州市临平区南苑街道南大街72号</w:t>
      </w:r>
    </w:p>
    <w:p w14:paraId="2494755B"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679C8D5C"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名称：浙江云和农村商业银行股份有限公司</w:t>
      </w:r>
    </w:p>
    <w:p w14:paraId="07F2FDFE"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w:t>
      </w:r>
      <w:proofErr w:type="gramStart"/>
      <w:r>
        <w:rPr>
          <w:rFonts w:ascii="仿宋_GB2312" w:hAnsi="宋体" w:cs="宋体" w:hint="eastAsia"/>
          <w:bCs/>
          <w:kern w:val="0"/>
          <w:szCs w:val="24"/>
        </w:rPr>
        <w:t>： 浙江省</w:t>
      </w:r>
      <w:proofErr w:type="gramEnd"/>
      <w:r>
        <w:rPr>
          <w:rFonts w:ascii="仿宋_GB2312" w:hAnsi="宋体" w:cs="宋体" w:hint="eastAsia"/>
          <w:bCs/>
          <w:kern w:val="0"/>
          <w:szCs w:val="24"/>
        </w:rPr>
        <w:t>丽水市云和县浮云街道新建路72号</w:t>
      </w:r>
    </w:p>
    <w:p w14:paraId="34B97D8E"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lastRenderedPageBreak/>
        <w:t>客户服务热线：96596</w:t>
      </w:r>
    </w:p>
    <w:p w14:paraId="59EE6E9B"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名称：浙江富阳农村商业银行股份有限公司</w:t>
      </w:r>
    </w:p>
    <w:p w14:paraId="611ECD44"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注册地：浙江省杭州市富阳区鹿山街道依江路501号</w:t>
      </w:r>
    </w:p>
    <w:p w14:paraId="0AE9F350"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4F2E00F5"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名称：浙江嵊州农村商业银行股份有限公司</w:t>
      </w:r>
    </w:p>
    <w:p w14:paraId="4030C073"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注册地：浙江省嵊州市剡湖街道官河路398号</w:t>
      </w:r>
    </w:p>
    <w:p w14:paraId="74C32EF4"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7091EEA3"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名称：浙江舟山普陀农村商业银行股份有限公司</w:t>
      </w:r>
    </w:p>
    <w:p w14:paraId="547C155D"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 xml:space="preserve">注册地：浙江省舟山市普陀区东港街道麒麟街225号 </w:t>
      </w:r>
      <w:proofErr w:type="gramStart"/>
      <w:r>
        <w:rPr>
          <w:rFonts w:ascii="仿宋_GB2312" w:hAnsi="宋体" w:cs="宋体" w:hint="eastAsia"/>
          <w:bCs/>
          <w:kern w:val="0"/>
          <w:szCs w:val="24"/>
        </w:rPr>
        <w:t>(自贸试验区内)</w:t>
      </w:r>
      <w:proofErr w:type="gramEnd"/>
    </w:p>
    <w:p w14:paraId="504AA581"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334125B8"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名称：浙江庆元农村商业银行股份有限公司</w:t>
      </w:r>
    </w:p>
    <w:p w14:paraId="2AF3A2CF"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注册地：浙江省丽水市庆元县</w:t>
      </w:r>
      <w:proofErr w:type="gramStart"/>
      <w:r>
        <w:rPr>
          <w:rFonts w:ascii="仿宋_GB2312" w:hAnsi="宋体" w:cs="宋体" w:hint="eastAsia"/>
          <w:bCs/>
          <w:kern w:val="0"/>
          <w:szCs w:val="24"/>
        </w:rPr>
        <w:t>濛</w:t>
      </w:r>
      <w:proofErr w:type="gramEnd"/>
      <w:r>
        <w:rPr>
          <w:rFonts w:ascii="仿宋_GB2312" w:hAnsi="宋体" w:cs="宋体" w:hint="eastAsia"/>
          <w:bCs/>
          <w:kern w:val="0"/>
          <w:szCs w:val="24"/>
        </w:rPr>
        <w:t>洲街道云鹤路3号</w:t>
      </w:r>
    </w:p>
    <w:p w14:paraId="3AED1DCA"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6DFE84F6"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名称：浙江永嘉农村商业银行股份有限公司</w:t>
      </w:r>
    </w:p>
    <w:p w14:paraId="5013DAA5"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注册地：浙江省温州市永嘉县瓯北街道阳光大道3918号</w:t>
      </w:r>
    </w:p>
    <w:p w14:paraId="3016B937"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311544B0"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名称：宁波北仑农村商业银行股份有限公司</w:t>
      </w:r>
    </w:p>
    <w:p w14:paraId="56AAE7FE"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注册地：浙江省宁波市北仑区宝山路新碶街道69号凤凰国际商务大厦1号楼北仑农商银行</w:t>
      </w:r>
    </w:p>
    <w:p w14:paraId="4082C934"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1E02F63A"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名称：浙江青田农村商业银行股份有限公司</w:t>
      </w:r>
    </w:p>
    <w:p w14:paraId="55D0C506"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注册地：浙江省青田县鹤城街道鹤城东路180号</w:t>
      </w:r>
    </w:p>
    <w:p w14:paraId="36E60413"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58E1D57C"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名称：浙江玉环农村商业银行股份有限公司</w:t>
      </w:r>
    </w:p>
    <w:p w14:paraId="6660927E"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lastRenderedPageBreak/>
        <w:t>注册地：浙江省玉环市玉城街道珠港大道26号</w:t>
      </w:r>
    </w:p>
    <w:p w14:paraId="21181F1B"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3A231A18"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名称：浙江衢州衢江农村商业银行股份有限公司</w:t>
      </w:r>
    </w:p>
    <w:p w14:paraId="653B46BF"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注册地：浙江省衢州市衢江区樟潭街道信安东路37号</w:t>
      </w:r>
    </w:p>
    <w:p w14:paraId="55EA88EC"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7FC1A046"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名称：浙江禾城农村商业银行股份有限公司</w:t>
      </w:r>
    </w:p>
    <w:p w14:paraId="0DE393B1"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注册地：浙江省嘉兴市经济技术开发区文昌路1229号</w:t>
      </w:r>
    </w:p>
    <w:p w14:paraId="1CCA7E71"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46AC77A3"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名称：浙江平湖农村商业银行股份有限公司</w:t>
      </w:r>
    </w:p>
    <w:p w14:paraId="6CEC1A55"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注册地：浙江省平湖市当湖街道胜利路518号</w:t>
      </w:r>
    </w:p>
    <w:p w14:paraId="64B5BA68"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7851BA1D"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名称：浙江海盐农村商业银行股份有限公司</w:t>
      </w:r>
    </w:p>
    <w:p w14:paraId="09AD02C1"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注册地：浙江省嘉兴市海盐县武原街道盐北东路1177号</w:t>
      </w:r>
    </w:p>
    <w:p w14:paraId="1F17BE78"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7899875B"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名称：浙江萧山农村商业银行股份有限公司</w:t>
      </w:r>
    </w:p>
    <w:p w14:paraId="47D8CD7E"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注册地：浙江省杭州市萧山区盈丰街道鸿宁路2288号</w:t>
      </w:r>
    </w:p>
    <w:p w14:paraId="7CB761B7"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567844E2"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名称：浙江嵊泗农村商业银行股份有限公司</w:t>
      </w:r>
    </w:p>
    <w:p w14:paraId="5617461D"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注册地：浙江省嵊泗县菜园镇沙河路110号</w:t>
      </w:r>
    </w:p>
    <w:p w14:paraId="14282748"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73EA68C5"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名称：浙江台州椒江农村商业银行股份有限公司</w:t>
      </w:r>
    </w:p>
    <w:p w14:paraId="32DF8E9F"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注册地：浙江省台州市椒江区洪家街道中心大道4081号</w:t>
      </w:r>
    </w:p>
    <w:p w14:paraId="45855E28"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611885A2"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lastRenderedPageBreak/>
        <w:t>名称：浙江台州黄岩农村商业银行股份有限公司</w:t>
      </w:r>
    </w:p>
    <w:p w14:paraId="62F9211F"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注册地：浙江省台州市黄岩区洞天</w:t>
      </w:r>
      <w:proofErr w:type="gramStart"/>
      <w:r>
        <w:rPr>
          <w:rFonts w:ascii="仿宋_GB2312" w:hAnsi="宋体" w:cs="宋体" w:hint="eastAsia"/>
          <w:bCs/>
          <w:kern w:val="0"/>
          <w:szCs w:val="24"/>
        </w:rPr>
        <w:t xml:space="preserve">路 88 </w:t>
      </w:r>
      <w:proofErr w:type="gramEnd"/>
      <w:r>
        <w:rPr>
          <w:rFonts w:ascii="仿宋_GB2312" w:hAnsi="宋体" w:cs="宋体" w:hint="eastAsia"/>
          <w:bCs/>
          <w:kern w:val="0"/>
          <w:szCs w:val="24"/>
        </w:rPr>
        <w:t>号</w:t>
      </w:r>
    </w:p>
    <w:p w14:paraId="7B50CC52"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41C3FF74"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名称：浙江诸暨农村商业银行股份有限公司</w:t>
      </w:r>
    </w:p>
    <w:p w14:paraId="467A1FCA"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注册地：浙江省诸暨市暨阳街道大桥东路2号</w:t>
      </w:r>
    </w:p>
    <w:p w14:paraId="69A425FD"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62DE4C76"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名称：浙江东阳农村商业银行股份有限公司</w:t>
      </w:r>
    </w:p>
    <w:p w14:paraId="62CFED5A"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注册地：浙江省东阳市双岘路18号</w:t>
      </w:r>
    </w:p>
    <w:p w14:paraId="0F18E341"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36A70C88"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名称：浙江桐庐农村商业银行股份有限公司</w:t>
      </w:r>
    </w:p>
    <w:p w14:paraId="49F5433A"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注册地：浙江省杭州市桐庐县城迎春南路278号</w:t>
      </w:r>
    </w:p>
    <w:p w14:paraId="0D9B6952"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038A0C5C"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名称：浙江舟山定海海洋农村商业银行股份有限公司</w:t>
      </w:r>
    </w:p>
    <w:p w14:paraId="06DB5FE9"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注册地：浙江省舟山市定海区环城东路81号</w:t>
      </w:r>
    </w:p>
    <w:p w14:paraId="159358E9"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24AFE223"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名称：宁波象山农村商业银行股份有限公司</w:t>
      </w:r>
    </w:p>
    <w:p w14:paraId="2241CD6A"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注册地：浙江省宁波市象山县丹东街道天安路985号（地下1层，地上1-7层、9-21层）</w:t>
      </w:r>
    </w:p>
    <w:p w14:paraId="6E91BF54"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39C18A33"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名称：浙江松阳农村商业银行股份有限公司</w:t>
      </w:r>
    </w:p>
    <w:p w14:paraId="20052A56"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注册地：浙江省丽水市松阳县水南街道要津南路71号</w:t>
      </w:r>
    </w:p>
    <w:p w14:paraId="79B54873"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4144C9BD"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名称：浙江临安农村商业银行股份有限公司</w:t>
      </w:r>
    </w:p>
    <w:p w14:paraId="02D55C96"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注册地：浙江省杭州市临安区锦城街道城中街442号</w:t>
      </w:r>
    </w:p>
    <w:p w14:paraId="3427ADBC"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lastRenderedPageBreak/>
        <w:t>客户服务热线：96596</w:t>
      </w:r>
    </w:p>
    <w:p w14:paraId="2F69BADE"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名称：浙江三门农村商业银行股份有限公司</w:t>
      </w:r>
    </w:p>
    <w:p w14:paraId="3E01E9A5"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注册地：浙江省三门县海游街道上洋路68号</w:t>
      </w:r>
    </w:p>
    <w:p w14:paraId="5424CAFD"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6BD6F165"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名称：浙江金华成泰农村商业银行股份有限公司</w:t>
      </w:r>
    </w:p>
    <w:p w14:paraId="5FFB67DC"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注册地：浙江省金华市八一南街123号</w:t>
      </w:r>
    </w:p>
    <w:p w14:paraId="11A00B92"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37A3D13A"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名称：浙江新昌农村商业银行股份有限公司</w:t>
      </w:r>
    </w:p>
    <w:p w14:paraId="5DC63CFB"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注册地：浙江省新昌县七星街道七星路18号</w:t>
      </w:r>
    </w:p>
    <w:p w14:paraId="0BA1B8C0"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59CE6341"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名称：浙江绍兴恒信农村商业银行股份有限公司</w:t>
      </w:r>
    </w:p>
    <w:p w14:paraId="6538A83A"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注册地：浙江省绍兴市中兴中路159号</w:t>
      </w:r>
    </w:p>
    <w:p w14:paraId="24340885"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6A5AEFF4"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名称：浙江德清农村商业银行股份有限公司</w:t>
      </w:r>
    </w:p>
    <w:p w14:paraId="38BF772A"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注册地：浙江省德清县武康街道沈长圩街50号</w:t>
      </w:r>
    </w:p>
    <w:p w14:paraId="75C2CC91"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626DAAEA"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名称：浙江建德农村商业银行股份有限公司</w:t>
      </w:r>
    </w:p>
    <w:p w14:paraId="3292DBD1"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注册地：浙江省建德市新安江街道江滨中路176号</w:t>
      </w:r>
    </w:p>
    <w:p w14:paraId="63366B24"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4A57FE88"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名称：浙江上虞农村商业银行股份有限公司</w:t>
      </w:r>
    </w:p>
    <w:p w14:paraId="676952BF"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注册地：浙江省绍兴市上虞区百官街道德盛路55号</w:t>
      </w:r>
    </w:p>
    <w:p w14:paraId="4252DF9A"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166AF976"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名称：中原银行股份有限公司</w:t>
      </w:r>
    </w:p>
    <w:p w14:paraId="01BD86AF"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lastRenderedPageBreak/>
        <w:t>注册地：河南省郑州市郑东新区金融岛外环路9号</w:t>
      </w:r>
    </w:p>
    <w:p w14:paraId="2EBA41D7"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客户服务热线：95186</w:t>
      </w:r>
    </w:p>
    <w:p w14:paraId="438DDCEC"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名称：赣州银行股份有限公司</w:t>
      </w:r>
    </w:p>
    <w:p w14:paraId="0F1442A3"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注册地：江西省赣州市赣江源大道26号</w:t>
      </w:r>
    </w:p>
    <w:p w14:paraId="5C133FC5"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客户服务热线：40084-96296</w:t>
      </w:r>
    </w:p>
    <w:p w14:paraId="183BB3AC"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名称：浙江义乌农村商业银行股份有限公司</w:t>
      </w:r>
    </w:p>
    <w:p w14:paraId="7BF391C5"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注册地：浙江省义乌市福田街道城北路677号</w:t>
      </w:r>
    </w:p>
    <w:p w14:paraId="6BC3D6E5"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0A0A5AFD"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名称：浙江衢州柯城农村商业银行股份有限公司</w:t>
      </w:r>
    </w:p>
    <w:p w14:paraId="1844DEA3"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注册地：浙江省衢州市柯城区上街92号</w:t>
      </w:r>
    </w:p>
    <w:p w14:paraId="2415BF8B"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280A59DC"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名称：浙江龙泉农村商业银行股份有限公司</w:t>
      </w:r>
    </w:p>
    <w:p w14:paraId="6AAFD088"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注册地：浙江省丽水市龙泉市龙渊街道中山东路101号</w:t>
      </w:r>
    </w:p>
    <w:p w14:paraId="4C80B3FB"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5BA45BEC"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名称：浙江丽水莲都农村商业银行股份有限公司</w:t>
      </w:r>
    </w:p>
    <w:p w14:paraId="1825BAD1"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注册地：浙江省丽水市莲都区解放街438号</w:t>
      </w:r>
    </w:p>
    <w:p w14:paraId="3C5B994C"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2B8BB7F7"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名称：宁波奉化农村商业银行股份有限公司</w:t>
      </w:r>
    </w:p>
    <w:p w14:paraId="5C21691B"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注册地：浙江省宁波市奉化区锦屏街道中山路27号</w:t>
      </w:r>
    </w:p>
    <w:p w14:paraId="5EE66790"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2AD222D2"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名称：浙江兰溪农村商业银行股份有限公司</w:t>
      </w:r>
    </w:p>
    <w:p w14:paraId="6C603E88"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注册地：浙江省兰溪市兰江街道丹溪大道18号</w:t>
      </w:r>
    </w:p>
    <w:p w14:paraId="67587C69"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27C6B63F"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lastRenderedPageBreak/>
        <w:t>名称：宁波甬城农村商业银行股份有限公司</w:t>
      </w:r>
    </w:p>
    <w:p w14:paraId="72A0BD6F"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注册地：浙江省育才路15、17号</w:t>
      </w:r>
    </w:p>
    <w:p w14:paraId="162E1A40"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0BAA29D4"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名称：浙江武义农村商业银行股份有限公司</w:t>
      </w:r>
    </w:p>
    <w:p w14:paraId="65A539E5"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注册地：浙江省武义县武阳中路37号</w:t>
      </w:r>
    </w:p>
    <w:p w14:paraId="2B9BE37A"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客户服务热线：96596</w:t>
      </w:r>
    </w:p>
    <w:p w14:paraId="483985E8"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名称：宁波鄞州农村商业银行股份有限公司</w:t>
      </w:r>
    </w:p>
    <w:p w14:paraId="4D92BF94"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注册地：浙江省宁波市鄞州区民惠西路88号</w:t>
      </w:r>
    </w:p>
    <w:p w14:paraId="25EF9620"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客户服务热线：956058</w:t>
      </w:r>
    </w:p>
    <w:p w14:paraId="48208DF8"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
          <w:bCs/>
          <w:kern w:val="0"/>
          <w:szCs w:val="24"/>
        </w:rPr>
      </w:pPr>
      <w:r>
        <w:rPr>
          <w:rFonts w:ascii="仿宋_GB2312" w:hAnsi="宋体" w:cs="宋体" w:hint="eastAsia"/>
          <w:bCs/>
          <w:kern w:val="0"/>
          <w:szCs w:val="24"/>
        </w:rPr>
        <w:t>本产品的认购将通过销售机构的</w:t>
      </w:r>
      <w:r>
        <w:rPr>
          <w:rFonts w:ascii="仿宋_GB2312" w:hAnsi="宋体" w:cs="宋体"/>
          <w:bCs/>
          <w:kern w:val="0"/>
          <w:szCs w:val="24"/>
        </w:rPr>
        <w:t>销售渠道</w:t>
      </w:r>
      <w:r>
        <w:rPr>
          <w:rFonts w:ascii="仿宋_GB2312" w:hAnsi="宋体" w:cs="宋体" w:hint="eastAsia"/>
          <w:bCs/>
          <w:kern w:val="0"/>
          <w:szCs w:val="24"/>
        </w:rPr>
        <w:t>进行（</w:t>
      </w:r>
      <w:r>
        <w:rPr>
          <w:rFonts w:ascii="仿宋_GB2312" w:hAnsi="宋体" w:cs="宋体"/>
          <w:bCs/>
          <w:kern w:val="0"/>
          <w:szCs w:val="24"/>
        </w:rPr>
        <w:t>具体以销售机构提供的方式为</w:t>
      </w:r>
      <w:proofErr w:type="gramStart"/>
      <w:r>
        <w:rPr>
          <w:rFonts w:ascii="仿宋_GB2312" w:hAnsi="宋体" w:cs="宋体"/>
          <w:bCs/>
          <w:kern w:val="0"/>
          <w:szCs w:val="24"/>
        </w:rPr>
        <w:t>准)。</w:t>
      </w:r>
      <w:proofErr w:type="gramEnd"/>
      <w:r>
        <w:rPr>
          <w:rFonts w:ascii="仿宋_GB2312" w:hAnsi="宋体" w:cs="宋体"/>
          <w:bCs/>
          <w:kern w:val="0"/>
          <w:szCs w:val="24"/>
        </w:rPr>
        <w:t>本产品销售机构包括但不限于</w:t>
      </w:r>
      <w:r>
        <w:rPr>
          <w:rFonts w:ascii="仿宋_GB2312" w:hAnsi="宋体" w:cs="宋体" w:hint="eastAsia"/>
          <w:bCs/>
          <w:color w:val="000000" w:themeColor="text1"/>
          <w:kern w:val="0"/>
          <w:szCs w:val="24"/>
        </w:rPr>
        <w:t>【浙江长兴农村商业银行股份有限公司、嘉兴银行股份有限公司、浙江岱山农村商业银行股份有限公司、浙江遂昌农村商业银行股份有限公司、浙江台州路桥农村商业银行股份有限公司、浙江临海农村商业银行股份有限公司、浙江龙游农村商业银行股份有限公司、浙江天台农村商业银行股份有限公司、浙江仙居农村商业银行股份有限公司、浙江温岭农村商业银行股份有限公司、浙江开化农村商业银行股份有限公司、浙江杭州余杭农村商业银行股份有限公司、浙江云和农村商业银行股份有限公司、浙江富阳农村商业银行股份有限公司、浙江嵊州农村商业银行股份有限公司、浙江舟山普陀农村商业银行股份有限公司、浙江庆元农村商业银行股份有限公司、浙江永嘉农村商业银行股份有限公司、宁波北仑农村商业银行股份有限公司、浙江青田农村商业银行股份有限公司、浙江玉环农村商业银行股份有限公司、浙江衢州衢江农村商业银行股份有限公司、浙江禾城农村商业银行股份有限公司、浙江平湖农村商业银行股份有限公司、浙江海盐农村商业银行股份有限公司、浙江萧山农村商业银行股份有限公司、浙江嵊泗农村商业银行股份有限公司、浙江台州椒江农村商业银行股份有限公司、浙江台州黄岩农村商业银行股份有限公司、浙江诸暨农村商业银行股份有限公司、浙江东阳农村商业银行股份有限公司、浙江桐庐农村商业银行股份有限公司、浙江舟山定海海洋农村商业银</w:t>
      </w:r>
      <w:r>
        <w:rPr>
          <w:rFonts w:ascii="仿宋_GB2312" w:hAnsi="宋体" w:cs="宋体" w:hint="eastAsia"/>
          <w:bCs/>
          <w:color w:val="000000" w:themeColor="text1"/>
          <w:kern w:val="0"/>
          <w:szCs w:val="24"/>
        </w:rPr>
        <w:lastRenderedPageBreak/>
        <w:t>行股份有限公司、宁波象山农村商业银行股份有限公司、浙江松阳农村商业银行股份有限公司、浙江临安农村商业银行股份有限公司、浙江三门农村商业银行股份有限公司、浙江金华成泰农村商业银行股份有限公司、浙江新昌农村商业银行股份有限公司、浙江绍兴恒信农村商业银行股份有限公司、浙江德清农村商业银行股份有限公司、浙江建德农村商业银行股份有限公司、浙江上虞农村商业银行股份有限公司、中原银行股份有限公司、赣州银行股份有限公司、浙江义乌农村商业银行股份有限公司、浙江衢州柯城农村商业银行股份有限公司、浙江龙泉农村商业银行股份有限公司、浙江丽水莲都农村商业银行股份有限公司、宁波奉化农村商业银行股份有限公司、浙江兰溪农村商业银行股份有限公司、宁波甬城农村商业银行股份有限公司、浙江武义农村商业银行股份有限公司、宁波鄞州农村商业银行股份有限公司】</w:t>
      </w:r>
      <w:r>
        <w:rPr>
          <w:rFonts w:ascii="仿宋_GB2312" w:hAnsi="宋体" w:cs="宋体" w:hint="eastAsia"/>
          <w:bCs/>
          <w:kern w:val="0"/>
          <w:szCs w:val="24"/>
        </w:rPr>
        <w:t>等机构，如有</w:t>
      </w:r>
      <w:r>
        <w:rPr>
          <w:rFonts w:ascii="仿宋_GB2312" w:hAnsi="宋体" w:cs="宋体"/>
          <w:bCs/>
          <w:kern w:val="0"/>
          <w:szCs w:val="24"/>
        </w:rPr>
        <w:t>变更以管理人</w:t>
      </w:r>
      <w:r>
        <w:rPr>
          <w:rFonts w:ascii="仿宋_GB2312" w:hAnsi="宋体" w:cs="宋体" w:hint="eastAsia"/>
          <w:bCs/>
          <w:kern w:val="0"/>
          <w:szCs w:val="24"/>
        </w:rPr>
        <w:t>信息披露为准。</w:t>
      </w:r>
    </w:p>
    <w:p w14:paraId="78E00872"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销售</w:t>
      </w:r>
      <w:r>
        <w:rPr>
          <w:rFonts w:ascii="仿宋_GB2312" w:hAnsi="宋体" w:cs="宋体"/>
          <w:bCs/>
          <w:kern w:val="0"/>
          <w:szCs w:val="24"/>
        </w:rPr>
        <w:t>机构</w:t>
      </w:r>
      <w:r>
        <w:rPr>
          <w:rFonts w:ascii="仿宋_GB2312" w:hAnsi="宋体" w:cs="宋体" w:hint="eastAsia"/>
          <w:bCs/>
          <w:kern w:val="0"/>
          <w:szCs w:val="24"/>
        </w:rPr>
        <w:t>主要职责：理财产品宣传推介；为</w:t>
      </w:r>
      <w:r>
        <w:rPr>
          <w:rFonts w:ascii="仿宋_GB2312" w:hAnsi="宋体" w:cs="宋体"/>
          <w:bCs/>
          <w:kern w:val="0"/>
          <w:szCs w:val="24"/>
        </w:rPr>
        <w:t>投资者办理</w:t>
      </w:r>
      <w:r>
        <w:rPr>
          <w:rFonts w:ascii="仿宋_GB2312" w:hAnsi="宋体" w:cs="宋体" w:hint="eastAsia"/>
          <w:bCs/>
          <w:kern w:val="0"/>
          <w:szCs w:val="24"/>
        </w:rPr>
        <w:t>理财产品份额认购</w:t>
      </w:r>
      <w:r>
        <w:rPr>
          <w:rFonts w:ascii="仿宋_GB2312" w:hAnsi="宋体" w:cs="宋体"/>
          <w:bCs/>
          <w:kern w:val="0"/>
          <w:szCs w:val="24"/>
        </w:rPr>
        <w:t>/</w:t>
      </w:r>
      <w:r>
        <w:rPr>
          <w:rFonts w:ascii="仿宋_GB2312" w:hAnsi="宋体" w:cs="宋体" w:hint="eastAsia"/>
          <w:bCs/>
          <w:kern w:val="0"/>
          <w:szCs w:val="24"/>
        </w:rPr>
        <w:t>申购</w:t>
      </w:r>
      <w:r>
        <w:rPr>
          <w:rFonts w:ascii="仿宋_GB2312" w:hAnsi="宋体" w:cs="宋体"/>
          <w:bCs/>
          <w:kern w:val="0"/>
          <w:szCs w:val="24"/>
        </w:rPr>
        <w:t>/</w:t>
      </w:r>
      <w:r>
        <w:rPr>
          <w:rFonts w:ascii="仿宋_GB2312" w:hAnsi="宋体" w:cs="宋体" w:hint="eastAsia"/>
          <w:bCs/>
          <w:kern w:val="0"/>
          <w:szCs w:val="24"/>
        </w:rPr>
        <w:t>赎回服务；投资者风险承受能力评估和投资者适当性管理；</w:t>
      </w:r>
      <w:r>
        <w:rPr>
          <w:rFonts w:ascii="仿宋_GB2312" w:hint="eastAsia"/>
        </w:rPr>
        <w:t>反洗钱、反恐怖融资、反扩散融资及非居民金融账户涉税信息尽职调查等</w:t>
      </w:r>
      <w:r>
        <w:rPr>
          <w:rFonts w:ascii="仿宋_GB2312"/>
        </w:rPr>
        <w:t>；</w:t>
      </w:r>
      <w:r>
        <w:rPr>
          <w:rFonts w:ascii="仿宋_GB2312" w:hint="eastAsia"/>
        </w:rPr>
        <w:t>协助投资者与管理人沟通</w:t>
      </w:r>
      <w:r>
        <w:rPr>
          <w:rFonts w:ascii="仿宋_GB2312" w:hAnsi="宋体" w:cs="宋体" w:hint="eastAsia"/>
          <w:bCs/>
          <w:kern w:val="0"/>
          <w:szCs w:val="24"/>
        </w:rPr>
        <w:t>和客户维护等销售服务；国务院银行业监督管理机构规定的其他职责。</w:t>
      </w:r>
    </w:p>
    <w:p w14:paraId="0C8390B5"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
          <w:bCs/>
          <w:kern w:val="0"/>
          <w:szCs w:val="24"/>
        </w:rPr>
      </w:pPr>
      <w:r>
        <w:rPr>
          <w:rFonts w:ascii="仿宋_GB2312" w:hAnsi="宋体" w:cs="宋体" w:hint="eastAsia"/>
          <w:b/>
          <w:bCs/>
          <w:kern w:val="0"/>
          <w:szCs w:val="24"/>
        </w:rPr>
        <w:t>★重要</w:t>
      </w:r>
      <w:r>
        <w:rPr>
          <w:rFonts w:ascii="仿宋_GB2312" w:hAnsi="宋体" w:cs="宋体"/>
          <w:b/>
          <w:bCs/>
          <w:kern w:val="0"/>
          <w:szCs w:val="24"/>
        </w:rPr>
        <w:t>提示：</w:t>
      </w:r>
      <w:r>
        <w:rPr>
          <w:rFonts w:ascii="仿宋_GB2312" w:hAnsi="宋体" w:cs="宋体" w:hint="eastAsia"/>
          <w:b/>
          <w:bCs/>
          <w:kern w:val="0"/>
          <w:szCs w:val="24"/>
        </w:rPr>
        <w:t>浙银理财委托托管机构托管理财产品或委托销售机构销售理财产品的，可能涉及委托浙商银行股份有限公司（以下简称“浙商银行”）担任理财产品的托管机构或销售机构。浙银理财是浙商银行控股的子公司，双方存在关联关系。如浙银理财委托浙商银行托管或销售本理财产品，将严格履行现行法律法规和监管规定所规定必须履行的程序。前述关联关系可能导致影响管理人独立决策的潜在风险。投资者确认已充分知悉前述关联关系，并接受理财产品由销售机构代理销售、托管机构托管。</w:t>
      </w:r>
    </w:p>
    <w:p w14:paraId="42A7ECBD" w14:textId="77777777" w:rsidR="00D8530A" w:rsidRDefault="00000000">
      <w:pPr>
        <w:pStyle w:val="2"/>
        <w:widowControl/>
        <w:adjustRightInd w:val="0"/>
        <w:snapToGrid w:val="0"/>
        <w:ind w:firstLine="482"/>
      </w:pPr>
      <w:r>
        <w:t>募集期</w:t>
      </w:r>
    </w:p>
    <w:p w14:paraId="14B55D9C"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产品募集期内，投资者可多次对本产品认购、追加、</w:t>
      </w:r>
      <w:r>
        <w:rPr>
          <w:rFonts w:hint="eastAsia"/>
        </w:rPr>
        <w:t>撤单</w:t>
      </w:r>
      <w:r>
        <w:rPr>
          <w:rFonts w:ascii="仿宋_GB2312" w:hAnsi="宋体" w:cs="宋体" w:hint="eastAsia"/>
          <w:bCs/>
          <w:kern w:val="0"/>
          <w:szCs w:val="24"/>
        </w:rPr>
        <w:t>。如投资者认购成功，销售机构有权冻结投资者认购资金，</w:t>
      </w:r>
      <w:r>
        <w:rPr>
          <w:rFonts w:ascii="仿宋_GB2312" w:hAnsi="宋体" w:cs="宋体" w:hint="eastAsia"/>
          <w:b/>
          <w:kern w:val="0"/>
          <w:szCs w:val="24"/>
        </w:rPr>
        <w:t>但募集期内认购资金是否计息以销售机构规则为准</w:t>
      </w:r>
      <w:r>
        <w:rPr>
          <w:rFonts w:ascii="仿宋_GB2312" w:hAnsi="宋体" w:cs="宋体" w:hint="eastAsia"/>
          <w:bCs/>
          <w:kern w:val="0"/>
          <w:szCs w:val="24"/>
        </w:rPr>
        <w:t>。销售机构实际受理投资者成功提交的认购申请时间可能与说明书不一致，具体以销售机构信息为准。</w:t>
      </w:r>
    </w:p>
    <w:p w14:paraId="27F7D7D1"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lastRenderedPageBreak/>
        <w:t>本理财产品累计认购份额达到发行规模上限时，销售机构有权停止接受认购申请。管理人有权根据募集情况提前终止或延长产品募集期，</w:t>
      </w:r>
      <w:r>
        <w:rPr>
          <w:rFonts w:ascii="仿宋_GB2312" w:hAnsi="宋体" w:cs="宋体"/>
          <w:bCs/>
          <w:kern w:val="0"/>
          <w:szCs w:val="24"/>
        </w:rPr>
        <w:t>如有变动</w:t>
      </w:r>
      <w:r>
        <w:rPr>
          <w:rFonts w:ascii="仿宋_GB2312" w:hAnsi="宋体" w:cs="宋体" w:hint="eastAsia"/>
          <w:bCs/>
          <w:kern w:val="0"/>
          <w:szCs w:val="24"/>
        </w:rPr>
        <w:t>以管理人或销售机构公告为准。</w:t>
      </w:r>
    </w:p>
    <w:p w14:paraId="32DB31AF" w14:textId="77777777" w:rsidR="00D8530A" w:rsidRDefault="00000000">
      <w:pPr>
        <w:pStyle w:val="2"/>
        <w:ind w:firstLine="482"/>
      </w:pPr>
      <w:r>
        <w:rPr>
          <w:rFonts w:hint="eastAsia"/>
        </w:rPr>
        <w:t>投资</w:t>
      </w:r>
      <w:r>
        <w:t>冷静期</w:t>
      </w:r>
    </w:p>
    <w:p w14:paraId="3F49D13A" w14:textId="77777777" w:rsidR="00D8530A" w:rsidRDefault="00000000">
      <w:pPr>
        <w:autoSpaceDE w:val="0"/>
        <w:autoSpaceDN w:val="0"/>
        <w:adjustRightInd w:val="0"/>
        <w:snapToGrid w:val="0"/>
        <w:spacing w:line="360" w:lineRule="auto"/>
        <w:ind w:firstLineChars="200" w:firstLine="480"/>
        <w:rPr>
          <w:rFonts w:ascii="宋体" w:hAnsi="宋体" w:hint="eastAsia"/>
          <w:b/>
          <w:color w:val="000000"/>
          <w:szCs w:val="24"/>
        </w:rPr>
      </w:pPr>
      <w:r>
        <w:rPr>
          <w:rFonts w:ascii="宋体" w:hAnsi="宋体" w:hint="eastAsia"/>
          <w:b/>
          <w:color w:val="000000"/>
          <w:szCs w:val="24"/>
        </w:rPr>
        <w:t>公募</w:t>
      </w:r>
      <w:r>
        <w:rPr>
          <w:rFonts w:ascii="宋体" w:hAnsi="宋体"/>
          <w:b/>
          <w:color w:val="000000"/>
          <w:szCs w:val="24"/>
        </w:rPr>
        <w:t>：</w:t>
      </w:r>
      <w:r>
        <w:rPr>
          <w:rFonts w:ascii="宋体" w:hAnsi="宋体" w:hint="eastAsia"/>
          <w:b/>
          <w:color w:val="000000"/>
          <w:szCs w:val="24"/>
        </w:rPr>
        <w:t>本产品为公募理财产品，无投资冷静期设置。</w:t>
      </w:r>
    </w:p>
    <w:p w14:paraId="3FC6DE6C" w14:textId="77777777" w:rsidR="00D8530A" w:rsidRDefault="00000000">
      <w:pPr>
        <w:pStyle w:val="2"/>
        <w:widowControl/>
        <w:snapToGrid w:val="0"/>
        <w:ind w:firstLine="482"/>
        <w:rPr>
          <w:rStyle w:val="20"/>
          <w:rFonts w:ascii="仿宋_GB2312" w:hAnsi="宋体" w:hint="eastAsia"/>
        </w:rPr>
      </w:pPr>
      <w:r>
        <w:rPr>
          <w:rFonts w:ascii="仿宋_GB2312" w:hAnsi="宋体" w:cs="宋体" w:hint="eastAsia"/>
          <w:bCs/>
          <w:kern w:val="0"/>
          <w:szCs w:val="24"/>
        </w:rPr>
        <w:t>募集对象</w:t>
      </w:r>
    </w:p>
    <w:p w14:paraId="469C9AD2" w14:textId="77777777" w:rsidR="00D8530A" w:rsidRDefault="00000000">
      <w:pPr>
        <w:widowControl/>
        <w:tabs>
          <w:tab w:val="left" w:pos="709"/>
        </w:tabs>
        <w:snapToGrid w:val="0"/>
        <w:spacing w:line="360" w:lineRule="auto"/>
        <w:ind w:firstLineChars="200" w:firstLine="480"/>
        <w:rPr>
          <w:rFonts w:ascii="仿宋_GB2312" w:hAnsi="宋体" w:cs="宋体" w:hint="eastAsia"/>
          <w:bCs/>
          <w:color w:val="000000"/>
          <w:kern w:val="0"/>
          <w:szCs w:val="24"/>
        </w:rPr>
      </w:pPr>
      <w:r>
        <w:rPr>
          <w:rFonts w:ascii="仿宋_GB2312" w:hAnsi="宋体" w:cs="宋体" w:hint="eastAsia"/>
          <w:bCs/>
          <w:kern w:val="0"/>
          <w:szCs w:val="24"/>
        </w:rPr>
        <w:t>本产品面向</w:t>
      </w:r>
      <w:r>
        <w:rPr>
          <w:rFonts w:ascii="宋体" w:hAnsi="宋体" w:hint="eastAsia"/>
          <w:szCs w:val="24"/>
        </w:rPr>
        <w:t>【个人、机构投资者】</w:t>
      </w:r>
      <w:r>
        <w:rPr>
          <w:rFonts w:ascii="仿宋_GB2312" w:hAnsi="宋体" w:cs="宋体" w:hint="eastAsia"/>
          <w:bCs/>
          <w:kern w:val="0"/>
          <w:szCs w:val="24"/>
        </w:rPr>
        <w:t>销售，其中普通投资者须经销售机构风险承受能力评估评定为</w:t>
      </w:r>
      <w:r>
        <w:rPr>
          <w:rFonts w:ascii="宋体" w:hAnsi="宋体" w:hint="eastAsia"/>
          <w:szCs w:val="24"/>
        </w:rPr>
        <w:t>【</w:t>
      </w:r>
      <w:r>
        <w:rPr>
          <w:rFonts w:ascii="宋体" w:hAnsi="宋体" w:hint="eastAsia"/>
          <w:b/>
          <w:bCs/>
          <w:szCs w:val="24"/>
        </w:rPr>
        <w:t>稳健型</w:t>
      </w:r>
      <w:r>
        <w:rPr>
          <w:rFonts w:ascii="宋体" w:hAnsi="宋体" w:hint="eastAsia"/>
          <w:szCs w:val="24"/>
        </w:rPr>
        <w:t>】</w:t>
      </w:r>
      <w:r>
        <w:rPr>
          <w:rFonts w:ascii="仿宋_GB2312" w:hAnsi="宋体" w:cs="宋体" w:hint="eastAsia"/>
          <w:b/>
          <w:bCs/>
          <w:kern w:val="0"/>
          <w:szCs w:val="24"/>
        </w:rPr>
        <w:t>及以上</w:t>
      </w:r>
      <w:r>
        <w:rPr>
          <w:rFonts w:ascii="仿宋_GB2312" w:hAnsi="宋体" w:cs="宋体" w:hint="eastAsia"/>
          <w:bCs/>
          <w:kern w:val="0"/>
          <w:szCs w:val="24"/>
        </w:rPr>
        <w:t>（法律法规和有关规定禁止购买者除外）。如普通投资者首次通过销售机构购买产品管理人的理财产品，需通过销售机构进行风险承受能力评估后方可购买。</w:t>
      </w:r>
    </w:p>
    <w:p w14:paraId="5B504A87" w14:textId="77777777" w:rsidR="00D8530A" w:rsidRDefault="00000000">
      <w:pPr>
        <w:pStyle w:val="2"/>
        <w:widowControl/>
        <w:snapToGrid w:val="0"/>
        <w:ind w:firstLine="482"/>
        <w:rPr>
          <w:rFonts w:ascii="仿宋_GB2312" w:hAnsi="宋体" w:cs="宋体" w:hint="eastAsia"/>
          <w:bCs/>
          <w:kern w:val="0"/>
          <w:szCs w:val="24"/>
        </w:rPr>
      </w:pPr>
      <w:r>
        <w:rPr>
          <w:rFonts w:ascii="仿宋_GB2312" w:hAnsi="宋体" w:cs="宋体" w:hint="eastAsia"/>
          <w:bCs/>
          <w:kern w:val="0"/>
          <w:szCs w:val="24"/>
        </w:rPr>
        <w:t>认购的起点销售金额</w:t>
      </w:r>
    </w:p>
    <w:p w14:paraId="4C10F057"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本理财产品初始份额净值为1.000000元/份。</w:t>
      </w:r>
    </w:p>
    <w:p w14:paraId="598A78D1"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【A类份额】投资者初始认购起点为【1】元，超过部分以【0.01】元的整数倍增加。</w:t>
      </w:r>
    </w:p>
    <w:p w14:paraId="41D35D94"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【B类份额】投资者初始认购起点为【1】元，超过部分以【0.01】元的整数倍增加。</w:t>
      </w:r>
    </w:p>
    <w:p w14:paraId="022C1817"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【C类份额】投资者初始认购起点为【1】元，超过部分以【0.01】元的整数倍增加。</w:t>
      </w:r>
    </w:p>
    <w:p w14:paraId="519A5E89"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【D类份额】投资者初始认购起点为【1】元，超过部分以【0.01】元的整数倍增加。</w:t>
      </w:r>
    </w:p>
    <w:p w14:paraId="5698B548"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【E类份额】投资者初始认购起点为【1】元，超过部分以【0.01】元的整数倍增加。</w:t>
      </w:r>
    </w:p>
    <w:p w14:paraId="2712022C"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【F类份额】投资者初始认购起点为【1】元，超过部分以【0.01】元的整数倍增加。</w:t>
      </w:r>
    </w:p>
    <w:p w14:paraId="13B04ABB"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【G类份额】投资者初始认购起点为【1】元，超过部分以【0.01】元的整数倍增加。</w:t>
      </w:r>
    </w:p>
    <w:p w14:paraId="037DD1E0"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【H类份额】投资者初始认购起点为【1】元，超过部分以【0.01】元的整数倍增加。</w:t>
      </w:r>
    </w:p>
    <w:p w14:paraId="66D3807E" w14:textId="77777777" w:rsidR="00D8530A" w:rsidRDefault="00000000">
      <w:pPr>
        <w:pStyle w:val="2"/>
        <w:widowControl/>
        <w:snapToGrid w:val="0"/>
        <w:ind w:firstLine="482"/>
        <w:rPr>
          <w:rFonts w:ascii="仿宋_GB2312" w:hAnsi="宋体" w:cs="宋体" w:hint="eastAsia"/>
          <w:bCs/>
          <w:kern w:val="0"/>
          <w:szCs w:val="24"/>
        </w:rPr>
      </w:pPr>
      <w:r>
        <w:rPr>
          <w:rFonts w:ascii="仿宋_GB2312" w:hAnsi="宋体" w:cs="宋体" w:hint="eastAsia"/>
          <w:bCs/>
          <w:kern w:val="0"/>
          <w:szCs w:val="24"/>
        </w:rPr>
        <w:t>认购</w:t>
      </w:r>
      <w:r>
        <w:rPr>
          <w:rFonts w:ascii="仿宋_GB2312" w:hAnsi="宋体" w:cs="宋体"/>
          <w:bCs/>
          <w:kern w:val="0"/>
          <w:szCs w:val="24"/>
        </w:rPr>
        <w:t>份额</w:t>
      </w:r>
      <w:r>
        <w:rPr>
          <w:rFonts w:ascii="仿宋_GB2312" w:hAnsi="宋体" w:cs="宋体" w:hint="eastAsia"/>
          <w:bCs/>
          <w:kern w:val="0"/>
          <w:szCs w:val="24"/>
        </w:rPr>
        <w:t>的</w:t>
      </w:r>
      <w:r>
        <w:rPr>
          <w:rFonts w:ascii="仿宋_GB2312" w:hAnsi="宋体" w:cs="宋体"/>
          <w:bCs/>
          <w:kern w:val="0"/>
          <w:szCs w:val="24"/>
        </w:rPr>
        <w:t>计算</w:t>
      </w:r>
    </w:p>
    <w:p w14:paraId="2F4BC78F"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本产品采用金额认购方法，认购时计算方法如下：</w:t>
      </w:r>
      <w:r>
        <w:rPr>
          <w:rFonts w:ascii="仿宋_GB2312" w:hAnsi="宋体" w:cs="宋体"/>
          <w:bCs/>
          <w:kern w:val="0"/>
          <w:szCs w:val="24"/>
        </w:rPr>
        <w:t xml:space="preserve"> </w:t>
      </w:r>
    </w:p>
    <w:p w14:paraId="27EE7FCE"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净认购金额=认购金额/（1+认购费率）（认购</w:t>
      </w:r>
      <w:r>
        <w:rPr>
          <w:rFonts w:ascii="仿宋_GB2312" w:hAnsi="宋体" w:cs="宋体"/>
          <w:bCs/>
          <w:kern w:val="0"/>
          <w:szCs w:val="24"/>
        </w:rPr>
        <w:t>费</w:t>
      </w:r>
      <w:r>
        <w:rPr>
          <w:rFonts w:ascii="仿宋_GB2312" w:hAnsi="宋体" w:cs="宋体" w:hint="eastAsia"/>
          <w:bCs/>
          <w:kern w:val="0"/>
          <w:szCs w:val="24"/>
        </w:rPr>
        <w:t>率详见产品说明书</w:t>
      </w:r>
      <w:r>
        <w:rPr>
          <w:rFonts w:ascii="仿宋_GB2312" w:hAnsi="宋体" w:cs="宋体"/>
          <w:bCs/>
          <w:kern w:val="0"/>
          <w:szCs w:val="24"/>
        </w:rPr>
        <w:t>关于费用</w:t>
      </w:r>
      <w:r>
        <w:rPr>
          <w:rFonts w:ascii="仿宋_GB2312" w:hAnsi="宋体" w:cs="宋体" w:hint="eastAsia"/>
          <w:bCs/>
          <w:kern w:val="0"/>
          <w:szCs w:val="24"/>
        </w:rPr>
        <w:t>的说明）</w:t>
      </w:r>
    </w:p>
    <w:p w14:paraId="602E7337"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认购</w:t>
      </w:r>
      <w:r>
        <w:rPr>
          <w:rFonts w:ascii="仿宋_GB2312" w:hAnsi="宋体" w:cs="宋体"/>
          <w:bCs/>
          <w:kern w:val="0"/>
          <w:szCs w:val="24"/>
        </w:rPr>
        <w:t>费用=</w:t>
      </w:r>
      <w:r>
        <w:rPr>
          <w:rFonts w:ascii="仿宋_GB2312" w:hAnsi="宋体" w:cs="宋体" w:hint="eastAsia"/>
          <w:bCs/>
          <w:kern w:val="0"/>
          <w:szCs w:val="24"/>
        </w:rPr>
        <w:t>净认购金额×认购费率</w:t>
      </w:r>
    </w:p>
    <w:p w14:paraId="04564A5A"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认购</w:t>
      </w:r>
      <w:r>
        <w:rPr>
          <w:rFonts w:ascii="仿宋_GB2312" w:hAnsi="宋体" w:cs="宋体"/>
          <w:bCs/>
          <w:kern w:val="0"/>
          <w:szCs w:val="24"/>
        </w:rPr>
        <w:t>份额=净认购金额</w:t>
      </w:r>
      <w:r>
        <w:rPr>
          <w:rFonts w:ascii="仿宋_GB2312" w:hAnsi="宋体" w:cs="宋体" w:hint="eastAsia"/>
          <w:bCs/>
          <w:kern w:val="0"/>
          <w:szCs w:val="24"/>
        </w:rPr>
        <w:t>/理财产品单位份额净值</w:t>
      </w:r>
    </w:p>
    <w:p w14:paraId="30D76D18"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lastRenderedPageBreak/>
        <w:t>认购份额以四舍五入的方法保留到小数点后两位。</w:t>
      </w:r>
    </w:p>
    <w:p w14:paraId="60993098" w14:textId="77777777" w:rsidR="00D8530A" w:rsidRDefault="00000000">
      <w:pPr>
        <w:pStyle w:val="2"/>
        <w:widowControl/>
        <w:snapToGrid w:val="0"/>
        <w:ind w:firstLine="482"/>
        <w:rPr>
          <w:rFonts w:ascii="仿宋_GB2312" w:hAnsi="宋体" w:cs="宋体" w:hint="eastAsia"/>
          <w:bCs/>
          <w:kern w:val="0"/>
          <w:szCs w:val="24"/>
        </w:rPr>
      </w:pPr>
      <w:r>
        <w:rPr>
          <w:rFonts w:ascii="仿宋_GB2312" w:hAnsi="宋体" w:cs="宋体" w:hint="eastAsia"/>
          <w:bCs/>
          <w:kern w:val="0"/>
          <w:szCs w:val="24"/>
        </w:rPr>
        <w:t>认购确认：</w:t>
      </w:r>
    </w:p>
    <w:p w14:paraId="32EB3C0D"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投资者提交认购申请后，如管理人在认购</w:t>
      </w:r>
      <w:r>
        <w:rPr>
          <w:rFonts w:ascii="仿宋_GB2312" w:hAnsi="宋体" w:cs="宋体"/>
          <w:bCs/>
          <w:kern w:val="0"/>
          <w:szCs w:val="24"/>
        </w:rPr>
        <w:t>确认日</w:t>
      </w:r>
      <w:r>
        <w:rPr>
          <w:rFonts w:ascii="仿宋_GB2312" w:hAnsi="宋体" w:cs="宋体" w:hint="eastAsia"/>
          <w:bCs/>
          <w:kern w:val="0"/>
          <w:szCs w:val="24"/>
        </w:rPr>
        <w:t>成功登记投资者认购份额，则视为投资者的认购申请生效。销售机构成功登记投资者认购份额、投资者认购申请生效并不代表销售机构对该认购申请结果的成功确认或承诺，而仅代表其收到认购申请，认购申请结果是否成功以管理人确认为准。本产品认购确认日为本产品成立日。</w:t>
      </w:r>
    </w:p>
    <w:p w14:paraId="789B0869" w14:textId="77777777" w:rsidR="00D8530A" w:rsidRDefault="00000000">
      <w:pPr>
        <w:pStyle w:val="2"/>
        <w:widowControl/>
        <w:snapToGrid w:val="0"/>
        <w:ind w:firstLine="482"/>
        <w:rPr>
          <w:rFonts w:ascii="仿宋_GB2312" w:hAnsi="宋体" w:cs="宋体" w:hint="eastAsia"/>
          <w:bCs/>
          <w:kern w:val="0"/>
          <w:szCs w:val="24"/>
        </w:rPr>
      </w:pPr>
      <w:r>
        <w:rPr>
          <w:rFonts w:ascii="仿宋_GB2312" w:hAnsi="宋体" w:cs="宋体" w:hint="eastAsia"/>
          <w:bCs/>
          <w:kern w:val="0"/>
          <w:szCs w:val="24"/>
        </w:rPr>
        <w:t>认购撤销</w:t>
      </w:r>
    </w:p>
    <w:p w14:paraId="08076F62"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募集期内投资者可以撤销已提交的认购申请，具体请以销售机构规定为准。</w:t>
      </w:r>
    </w:p>
    <w:p w14:paraId="31694063" w14:textId="77777777" w:rsidR="00D8530A" w:rsidRDefault="00000000">
      <w:pPr>
        <w:pStyle w:val="2"/>
        <w:widowControl/>
        <w:snapToGrid w:val="0"/>
        <w:ind w:firstLine="482"/>
        <w:rPr>
          <w:rFonts w:ascii="仿宋_GB2312" w:hAnsi="宋体" w:cs="宋体" w:hint="eastAsia"/>
          <w:bCs/>
          <w:kern w:val="0"/>
          <w:szCs w:val="24"/>
        </w:rPr>
      </w:pPr>
      <w:r>
        <w:rPr>
          <w:rFonts w:ascii="仿宋_GB2312" w:hAnsi="宋体" w:cs="宋体" w:hint="eastAsia"/>
          <w:bCs/>
          <w:kern w:val="0"/>
          <w:szCs w:val="24"/>
        </w:rPr>
        <w:t>投资者单户累计认购上限</w:t>
      </w:r>
    </w:p>
    <w:p w14:paraId="617AA7E6"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【A类份额】投资者单户累计认购本理财产品份额合计金额不超过【/】万元。</w:t>
      </w:r>
    </w:p>
    <w:p w14:paraId="2E9D72D1"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【B类份额】投资者单户累计认购本理财产品份额合计金额不超过【/】万元。</w:t>
      </w:r>
    </w:p>
    <w:p w14:paraId="737D1E7A"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【C类份额】投资者单户累计认购本理财产品份额合计金额不超过【/】万元。</w:t>
      </w:r>
    </w:p>
    <w:p w14:paraId="29E5305A"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【D类份额】投资者单户累计认购本理财产品份额合计金额不超过【/】万元。</w:t>
      </w:r>
    </w:p>
    <w:p w14:paraId="4BE4EAC6"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【E类份额】投资者单户累计认购本理财产品份额合计金额不超过【/】万元。</w:t>
      </w:r>
    </w:p>
    <w:p w14:paraId="66922CAE"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【F类份额】投资者单户累计认购本理财产品份额合计金额不超过【/】万元。</w:t>
      </w:r>
    </w:p>
    <w:p w14:paraId="353E5172"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【G类份额】投资者单户累计认购本理财产品份额合计金额不超过【/】万元。</w:t>
      </w:r>
    </w:p>
    <w:p w14:paraId="2734DB42"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【H类份额】投资者单户累计认购本理财产品份额合计金额不超过【/】万元。</w:t>
      </w:r>
    </w:p>
    <w:p w14:paraId="1AC203A0"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在产品运作过程中因收益分配、净值波动等被动超上限的情形除外。管理人有权调整投资者累计认购上限，并提前公告。如果投资者单户累计认购金额</w:t>
      </w:r>
      <w:r>
        <w:rPr>
          <w:rFonts w:ascii="仿宋_GB2312" w:hAnsi="宋体" w:cs="宋体"/>
          <w:bCs/>
          <w:kern w:val="0"/>
          <w:szCs w:val="24"/>
        </w:rPr>
        <w:t>超</w:t>
      </w:r>
      <w:r>
        <w:rPr>
          <w:rFonts w:ascii="仿宋_GB2312" w:hAnsi="宋体" w:cs="宋体" w:hint="eastAsia"/>
          <w:bCs/>
          <w:kern w:val="0"/>
          <w:szCs w:val="24"/>
        </w:rPr>
        <w:t>过上限</w:t>
      </w:r>
      <w:r>
        <w:rPr>
          <w:rFonts w:ascii="仿宋_GB2312" w:hAnsi="宋体" w:cs="宋体"/>
          <w:bCs/>
          <w:kern w:val="0"/>
          <w:szCs w:val="24"/>
        </w:rPr>
        <w:t>，管理人</w:t>
      </w:r>
      <w:r>
        <w:rPr>
          <w:rFonts w:ascii="仿宋_GB2312" w:hAnsi="宋体" w:cs="宋体" w:hint="eastAsia"/>
          <w:bCs/>
          <w:kern w:val="0"/>
          <w:szCs w:val="24"/>
        </w:rPr>
        <w:t>有权根据实际情况决定拒绝或受理。</w:t>
      </w:r>
    </w:p>
    <w:p w14:paraId="5433C351"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宋体" w:hAnsi="宋体" w:hint="eastAsia"/>
          <w:bCs/>
          <w:szCs w:val="24"/>
        </w:rPr>
        <w:t>单一投资者持有份额不得超过本产品总份额【</w:t>
      </w:r>
      <w:r>
        <w:rPr>
          <w:rFonts w:ascii="宋体" w:hAnsi="宋体" w:hint="eastAsia"/>
          <w:bCs/>
          <w:szCs w:val="24"/>
        </w:rPr>
        <w:t>50%</w:t>
      </w:r>
      <w:r>
        <w:rPr>
          <w:rFonts w:ascii="宋体" w:hAnsi="宋体" w:hint="eastAsia"/>
          <w:bCs/>
          <w:szCs w:val="24"/>
        </w:rPr>
        <w:t>】，非因产品管理人主观因素导致突破上述比例限制的，在单一投资者持有比例降至【</w:t>
      </w:r>
      <w:r>
        <w:rPr>
          <w:rFonts w:ascii="宋体" w:hAnsi="宋体" w:hint="eastAsia"/>
          <w:bCs/>
          <w:szCs w:val="24"/>
        </w:rPr>
        <w:t>50%</w:t>
      </w:r>
      <w:r>
        <w:rPr>
          <w:rFonts w:ascii="宋体" w:hAnsi="宋体" w:hint="eastAsia"/>
          <w:bCs/>
          <w:szCs w:val="24"/>
        </w:rPr>
        <w:t>】以下之前，产品管理人不得再接受投资者对本产品的认购。</w:t>
      </w:r>
    </w:p>
    <w:p w14:paraId="12651E85" w14:textId="77777777" w:rsidR="00D8530A" w:rsidRDefault="00000000">
      <w:pPr>
        <w:pStyle w:val="2"/>
        <w:widowControl/>
        <w:snapToGrid w:val="0"/>
        <w:ind w:firstLine="482"/>
        <w:rPr>
          <w:rFonts w:ascii="仿宋_GB2312" w:hAnsi="宋体" w:cs="宋体" w:hint="eastAsia"/>
          <w:bCs/>
          <w:kern w:val="0"/>
          <w:szCs w:val="24"/>
        </w:rPr>
      </w:pPr>
      <w:r>
        <w:rPr>
          <w:rFonts w:ascii="仿宋_GB2312" w:hAnsi="宋体" w:cs="宋体" w:hint="eastAsia"/>
          <w:bCs/>
          <w:kern w:val="0"/>
          <w:szCs w:val="24"/>
        </w:rPr>
        <w:lastRenderedPageBreak/>
        <w:t>产品成立</w:t>
      </w:r>
    </w:p>
    <w:p w14:paraId="0C89CB38"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1.募集期届满，募集总资金累计金额不低于产品最低成立规模时，产品成立。</w:t>
      </w:r>
    </w:p>
    <w:p w14:paraId="77F4DE1D"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2.</w:t>
      </w:r>
      <w:r>
        <w:rPr>
          <w:rFonts w:ascii="仿宋_GB2312" w:hAnsi="宋体" w:cs="宋体" w:hint="eastAsia"/>
          <w:b/>
          <w:bCs/>
          <w:kern w:val="0"/>
          <w:szCs w:val="24"/>
        </w:rPr>
        <w:t>本产品募集期限内，如募集总金额未达到产品最低成立规模，或国家宏观政策以及市场相关法规政策发生变化，或市场发生剧烈波动，或发生其他经管理人合理判断难以履行本理财产品说明书约定或可能导致投资者权益受损的情形，管理人有权利但无义务宣布本理财产品不成立</w:t>
      </w:r>
      <w:r>
        <w:rPr>
          <w:rFonts w:ascii="仿宋_GB2312" w:hAnsi="宋体" w:hint="eastAsia"/>
          <w:b/>
          <w:kern w:val="0"/>
          <w:szCs w:val="24"/>
        </w:rPr>
        <w:t>，亦有权延长募集期或调整募集规模</w:t>
      </w:r>
      <w:r>
        <w:rPr>
          <w:rFonts w:ascii="仿宋_GB2312" w:hAnsi="宋体" w:cs="宋体" w:hint="eastAsia"/>
          <w:b/>
          <w:bCs/>
          <w:kern w:val="0"/>
          <w:szCs w:val="24"/>
        </w:rPr>
        <w:t>。</w:t>
      </w:r>
    </w:p>
    <w:p w14:paraId="464EC1BC" w14:textId="77777777" w:rsidR="00D8530A" w:rsidRDefault="00000000">
      <w:pPr>
        <w:widowControl/>
        <w:tabs>
          <w:tab w:val="left" w:pos="709"/>
        </w:tabs>
        <w:snapToGrid w:val="0"/>
        <w:spacing w:line="360" w:lineRule="auto"/>
        <w:ind w:firstLineChars="200" w:firstLine="480"/>
        <w:rPr>
          <w:rFonts w:ascii="仿宋_GB2312" w:hAnsi="宋体" w:cs="宋体" w:hint="eastAsia"/>
          <w:b/>
          <w:bCs/>
          <w:kern w:val="0"/>
          <w:szCs w:val="24"/>
        </w:rPr>
      </w:pPr>
      <w:r>
        <w:rPr>
          <w:rFonts w:ascii="仿宋_GB2312" w:hAnsi="宋体" w:cs="宋体" w:hint="eastAsia"/>
          <w:bCs/>
          <w:kern w:val="0"/>
          <w:szCs w:val="24"/>
        </w:rPr>
        <w:t>（1）产品不成立：管理人决定理财产品不成立，将及时通过本产品说明书约定的</w:t>
      </w:r>
      <w:r>
        <w:rPr>
          <w:rFonts w:ascii="仿宋_GB2312" w:hAnsi="宋体" w:cs="宋体"/>
          <w:bCs/>
          <w:kern w:val="0"/>
          <w:szCs w:val="24"/>
        </w:rPr>
        <w:t>方式</w:t>
      </w:r>
      <w:r>
        <w:rPr>
          <w:rFonts w:ascii="仿宋_GB2312" w:hAnsi="宋体" w:cs="宋体" w:hint="eastAsia"/>
          <w:bCs/>
          <w:kern w:val="0"/>
          <w:szCs w:val="24"/>
        </w:rPr>
        <w:t>披露产品不成立相关信息，并在不晚于产品原计划成立日后的3个工作日通过销售机构将理财投资本金退回投资者指定账户。</w:t>
      </w:r>
    </w:p>
    <w:p w14:paraId="40E1C518" w14:textId="77777777" w:rsidR="00D8530A" w:rsidRDefault="00000000">
      <w:pPr>
        <w:widowControl/>
        <w:tabs>
          <w:tab w:val="left" w:pos="709"/>
        </w:tabs>
        <w:snapToGrid w:val="0"/>
        <w:spacing w:line="360" w:lineRule="auto"/>
        <w:ind w:firstLineChars="200" w:firstLine="480"/>
        <w:rPr>
          <w:rFonts w:ascii="仿宋_GB2312" w:hAnsi="宋体" w:hint="eastAsia"/>
          <w:kern w:val="0"/>
          <w:szCs w:val="24"/>
        </w:rPr>
      </w:pPr>
      <w:r>
        <w:rPr>
          <w:rFonts w:ascii="仿宋_GB2312" w:hAnsi="宋体" w:cs="宋体" w:hint="eastAsia"/>
          <w:bCs/>
          <w:kern w:val="0"/>
          <w:szCs w:val="24"/>
        </w:rPr>
        <w:t>（2）</w:t>
      </w:r>
      <w:r>
        <w:rPr>
          <w:rFonts w:ascii="仿宋_GB2312" w:hAnsi="宋体" w:hint="eastAsia"/>
          <w:kern w:val="0"/>
          <w:szCs w:val="24"/>
        </w:rPr>
        <w:t>延长产品募集</w:t>
      </w:r>
      <w:proofErr w:type="gramStart"/>
      <w:r>
        <w:rPr>
          <w:rFonts w:ascii="仿宋_GB2312" w:hAnsi="宋体" w:hint="eastAsia"/>
          <w:kern w:val="0"/>
          <w:szCs w:val="24"/>
        </w:rPr>
        <w:t>期:</w:t>
      </w:r>
      <w:proofErr w:type="gramEnd"/>
      <w:r>
        <w:rPr>
          <w:rFonts w:ascii="仿宋_GB2312" w:hAnsi="宋体" w:cs="宋体" w:hint="eastAsia"/>
          <w:bCs/>
          <w:kern w:val="0"/>
          <w:szCs w:val="24"/>
        </w:rPr>
        <w:t>管理人决定延长产品募集期，</w:t>
      </w:r>
      <w:r>
        <w:rPr>
          <w:rFonts w:ascii="仿宋_GB2312" w:hAnsi="宋体" w:hint="eastAsia"/>
          <w:kern w:val="0"/>
          <w:szCs w:val="24"/>
        </w:rPr>
        <w:t>将在理财</w:t>
      </w:r>
      <w:r>
        <w:rPr>
          <w:rFonts w:ascii="仿宋_GB2312" w:hAnsi="宋体"/>
          <w:kern w:val="0"/>
          <w:szCs w:val="24"/>
        </w:rPr>
        <w:t>产品</w:t>
      </w:r>
      <w:r>
        <w:rPr>
          <w:rFonts w:ascii="仿宋_GB2312" w:hAnsi="宋体" w:hint="eastAsia"/>
          <w:kern w:val="0"/>
          <w:szCs w:val="24"/>
        </w:rPr>
        <w:t>原定成立日前</w:t>
      </w:r>
      <w:r>
        <w:rPr>
          <w:rFonts w:ascii="仿宋_GB2312" w:hAnsi="宋体" w:cs="宋体" w:hint="eastAsia"/>
          <w:bCs/>
          <w:kern w:val="0"/>
          <w:szCs w:val="24"/>
        </w:rPr>
        <w:t>通过本产品说明书约定</w:t>
      </w:r>
      <w:r>
        <w:rPr>
          <w:rFonts w:ascii="仿宋_GB2312" w:hAnsi="宋体" w:cs="宋体"/>
          <w:bCs/>
          <w:kern w:val="0"/>
          <w:szCs w:val="24"/>
        </w:rPr>
        <w:t>方式</w:t>
      </w:r>
      <w:r>
        <w:rPr>
          <w:rFonts w:ascii="仿宋_GB2312" w:hAnsi="宋体" w:hint="eastAsia"/>
          <w:kern w:val="0"/>
          <w:szCs w:val="24"/>
        </w:rPr>
        <w:t>发布募集期延长公告。</w:t>
      </w:r>
    </w:p>
    <w:p w14:paraId="3335E113" w14:textId="77777777" w:rsidR="00D8530A" w:rsidRDefault="00000000">
      <w:pPr>
        <w:widowControl/>
        <w:tabs>
          <w:tab w:val="left" w:pos="709"/>
        </w:tabs>
        <w:snapToGrid w:val="0"/>
        <w:spacing w:line="360" w:lineRule="auto"/>
        <w:ind w:firstLineChars="200" w:firstLine="480"/>
        <w:rPr>
          <w:rFonts w:ascii="仿宋_GB2312" w:hAnsi="宋体" w:hint="eastAsia"/>
          <w:kern w:val="0"/>
          <w:szCs w:val="24"/>
        </w:rPr>
      </w:pPr>
      <w:r>
        <w:rPr>
          <w:rFonts w:ascii="仿宋_GB2312" w:hAnsi="宋体" w:cs="宋体" w:hint="eastAsia"/>
          <w:bCs/>
          <w:kern w:val="0"/>
          <w:szCs w:val="24"/>
        </w:rPr>
        <w:t>（3）</w:t>
      </w:r>
      <w:r>
        <w:rPr>
          <w:rFonts w:ascii="仿宋_GB2312" w:hAnsi="宋体" w:hint="eastAsia"/>
          <w:kern w:val="0"/>
          <w:szCs w:val="24"/>
        </w:rPr>
        <w:t>调整产品募集规模：</w:t>
      </w:r>
      <w:r>
        <w:rPr>
          <w:rFonts w:ascii="仿宋_GB2312" w:hAnsi="宋体" w:cs="宋体" w:hint="eastAsia"/>
          <w:bCs/>
          <w:kern w:val="0"/>
          <w:szCs w:val="24"/>
        </w:rPr>
        <w:t>管理人决定调整产品募集规模，</w:t>
      </w:r>
      <w:r>
        <w:rPr>
          <w:rFonts w:ascii="仿宋_GB2312" w:hAnsi="宋体" w:hint="eastAsia"/>
          <w:kern w:val="0"/>
          <w:szCs w:val="24"/>
        </w:rPr>
        <w:t>将及时通过</w:t>
      </w:r>
      <w:r>
        <w:rPr>
          <w:rFonts w:ascii="仿宋_GB2312" w:hAnsi="宋体" w:cs="宋体" w:hint="eastAsia"/>
          <w:bCs/>
          <w:kern w:val="0"/>
          <w:szCs w:val="24"/>
        </w:rPr>
        <w:t>本产品说明书约定</w:t>
      </w:r>
      <w:r>
        <w:rPr>
          <w:rFonts w:ascii="仿宋_GB2312" w:hAnsi="宋体" w:cs="宋体"/>
          <w:bCs/>
          <w:kern w:val="0"/>
          <w:szCs w:val="24"/>
        </w:rPr>
        <w:t>方式</w:t>
      </w:r>
      <w:r>
        <w:rPr>
          <w:rFonts w:ascii="仿宋_GB2312" w:hAnsi="宋体" w:hint="eastAsia"/>
          <w:kern w:val="0"/>
          <w:szCs w:val="24"/>
        </w:rPr>
        <w:t>发布产品募集规模调整公告。</w:t>
      </w:r>
    </w:p>
    <w:p w14:paraId="7DF22556" w14:textId="77777777" w:rsidR="00D8530A" w:rsidRDefault="00000000">
      <w:pPr>
        <w:widowControl/>
        <w:jc w:val="left"/>
        <w:rPr>
          <w:rFonts w:ascii="仿宋_GB2312" w:hAnsi="宋体" w:hint="eastAsia"/>
          <w:kern w:val="0"/>
          <w:szCs w:val="24"/>
        </w:rPr>
      </w:pPr>
      <w:r>
        <w:rPr>
          <w:rFonts w:ascii="仿宋_GB2312" w:hAnsi="宋体"/>
          <w:kern w:val="0"/>
          <w:szCs w:val="24"/>
        </w:rPr>
        <w:br w:type="page"/>
      </w:r>
    </w:p>
    <w:p w14:paraId="49962970" w14:textId="77777777" w:rsidR="00D8530A" w:rsidRDefault="00000000">
      <w:pPr>
        <w:pStyle w:val="1"/>
        <w:rPr>
          <w:rFonts w:ascii="仿宋_GB2312" w:hAnsi="宋体" w:hint="eastAsia"/>
          <w:kern w:val="0"/>
          <w:szCs w:val="24"/>
        </w:rPr>
      </w:pPr>
      <w:r>
        <w:rPr>
          <w:rFonts w:hint="eastAsia"/>
        </w:rPr>
        <w:lastRenderedPageBreak/>
        <w:t>理财产品的申购与赎回</w:t>
      </w:r>
    </w:p>
    <w:p w14:paraId="126D5E68" w14:textId="77777777" w:rsidR="00D8530A" w:rsidRDefault="00000000">
      <w:r>
        <w:rPr>
          <w:rFonts w:ascii="仿宋_GB2312" w:hAnsi="宋体" w:cs="宋体" w:hint="eastAsia"/>
          <w:bCs/>
          <w:kern w:val="0"/>
          <w:szCs w:val="24"/>
        </w:rPr>
        <w:t>本理财产品为封闭式</w:t>
      </w:r>
      <w:r>
        <w:rPr>
          <w:rFonts w:ascii="仿宋_GB2312" w:hAnsi="宋体" w:cs="宋体"/>
          <w:bCs/>
          <w:kern w:val="0"/>
          <w:szCs w:val="24"/>
        </w:rPr>
        <w:t>产品，</w:t>
      </w:r>
      <w:r>
        <w:rPr>
          <w:rFonts w:ascii="仿宋_GB2312" w:hAnsi="宋体" w:cs="宋体" w:hint="eastAsia"/>
          <w:bCs/>
          <w:kern w:val="0"/>
          <w:szCs w:val="24"/>
        </w:rPr>
        <w:t>产品存续期不设置</w:t>
      </w:r>
      <w:r>
        <w:rPr>
          <w:rFonts w:ascii="仿宋_GB2312" w:hAnsi="宋体" w:cs="宋体"/>
          <w:bCs/>
          <w:kern w:val="0"/>
          <w:szCs w:val="24"/>
        </w:rPr>
        <w:t>申购与赎回。</w:t>
      </w:r>
      <w:r>
        <w:br w:type="page"/>
      </w:r>
    </w:p>
    <w:p w14:paraId="67C4DF8F" w14:textId="77777777" w:rsidR="00D8530A" w:rsidRDefault="00000000">
      <w:pPr>
        <w:pStyle w:val="1"/>
      </w:pPr>
      <w:r>
        <w:rPr>
          <w:rFonts w:hint="eastAsia"/>
        </w:rPr>
        <w:lastRenderedPageBreak/>
        <w:t>理财产品的投资</w:t>
      </w:r>
    </w:p>
    <w:p w14:paraId="59FECF40" w14:textId="77777777" w:rsidR="00D8530A" w:rsidRDefault="00000000">
      <w:pPr>
        <w:pStyle w:val="2"/>
        <w:ind w:firstLine="482"/>
        <w:rPr>
          <w:rFonts w:ascii="楷体_GB2312" w:eastAsia="楷体_GB2312" w:hAnsi="宋体" w:cs="宋体" w:hint="eastAsia"/>
          <w:bCs/>
          <w:kern w:val="0"/>
          <w:szCs w:val="24"/>
        </w:rPr>
      </w:pPr>
      <w:r>
        <w:rPr>
          <w:rFonts w:ascii="楷体_GB2312" w:eastAsia="楷体_GB2312" w:hAnsi="宋体" w:cs="宋体" w:hint="eastAsia"/>
          <w:bCs/>
          <w:kern w:val="0"/>
          <w:szCs w:val="24"/>
        </w:rPr>
        <w:t>投资范围</w:t>
      </w:r>
    </w:p>
    <w:p w14:paraId="61C4A623" w14:textId="77777777" w:rsidR="00D8530A" w:rsidRDefault="00000000">
      <w:pPr>
        <w:tabs>
          <w:tab w:val="left" w:pos="3119"/>
        </w:tabs>
        <w:autoSpaceDE w:val="0"/>
        <w:autoSpaceDN w:val="0"/>
        <w:spacing w:line="360" w:lineRule="auto"/>
        <w:ind w:rightChars="15" w:right="36" w:firstLineChars="200" w:firstLine="480"/>
        <w:rPr>
          <w:rFonts w:ascii="仿宋_GB2312" w:hAnsi="宋体" w:cs="宋体" w:hint="eastAsia"/>
          <w:bCs/>
          <w:kern w:val="0"/>
          <w:szCs w:val="24"/>
        </w:rPr>
      </w:pPr>
      <w:r>
        <w:rPr>
          <w:rFonts w:ascii="仿宋_GB2312" w:hAnsi="宋体" w:cs="宋体" w:hint="eastAsia"/>
          <w:bCs/>
          <w:kern w:val="0"/>
          <w:szCs w:val="24"/>
        </w:rPr>
        <w:t>本理财产品投资于境内外现金、银行存款、大额存单、同业存单、回购等货币市场工具及国债、地方政府债券、中央银行票据、政府支持机构债、金融债、非金融企业债务融资工具、公司债、企业债、可交换债券、可转换债券、资产支持票据、资产支持证券、次级债（包括二级资本债）、永续债、非标准化债权等债权类资产，优先股、上市公司股票、公募REITs、交易型开放式指数基金（ETF）、上市型开放式基金（LOF）等权益类资产，远期、国债期货、股指期货、商品期货、收益互换、利率互换、期权、债券借贷、结构性存款等商品和金融衍生品类资产，主要投向上述资产类别且符合监管机构要求的公募证券投资基金、信托计划、资产管理计划等资产管理产品以及国务院银行业监督管理机构认可的其他资产。</w:t>
      </w:r>
    </w:p>
    <w:p w14:paraId="3546CF36" w14:textId="77777777" w:rsidR="00D8530A" w:rsidRDefault="00000000">
      <w:pPr>
        <w:tabs>
          <w:tab w:val="left" w:pos="3119"/>
        </w:tabs>
        <w:autoSpaceDE w:val="0"/>
        <w:autoSpaceDN w:val="0"/>
        <w:spacing w:line="360" w:lineRule="auto"/>
        <w:ind w:rightChars="15" w:right="36" w:firstLineChars="200" w:firstLine="480"/>
        <w:rPr>
          <w:rFonts w:ascii="仿宋_GB2312" w:hAnsi="宋体" w:cs="宋体" w:hint="eastAsia"/>
          <w:bCs/>
          <w:kern w:val="0"/>
          <w:szCs w:val="24"/>
        </w:rPr>
      </w:pPr>
      <w:r>
        <w:rPr>
          <w:rFonts w:ascii="仿宋_GB2312" w:hAnsi="宋体" w:cs="宋体"/>
          <w:bCs/>
          <w:kern w:val="0"/>
          <w:szCs w:val="24"/>
        </w:rPr>
        <w:t>本理财产品在投资于境外资产之前，管理人应获得相应的业务经营范围或投资交易资格。</w:t>
      </w:r>
    </w:p>
    <w:p w14:paraId="1AEB0613" w14:textId="77777777" w:rsidR="00D8530A" w:rsidRDefault="00000000">
      <w:pPr>
        <w:tabs>
          <w:tab w:val="left" w:pos="3119"/>
        </w:tabs>
        <w:autoSpaceDE w:val="0"/>
        <w:autoSpaceDN w:val="0"/>
        <w:spacing w:line="360" w:lineRule="auto"/>
        <w:ind w:rightChars="15" w:right="36" w:firstLineChars="200" w:firstLine="480"/>
        <w:rPr>
          <w:rFonts w:ascii="仿宋_GB2312" w:hAnsi="宋体" w:cs="宋体" w:hint="eastAsia"/>
          <w:bCs/>
          <w:kern w:val="0"/>
          <w:szCs w:val="24"/>
        </w:rPr>
      </w:pPr>
      <w:r>
        <w:rPr>
          <w:rFonts w:ascii="仿宋_GB2312" w:hAnsi="宋体" w:cs="宋体" w:hint="eastAsia"/>
          <w:bCs/>
          <w:kern w:val="0"/>
          <w:szCs w:val="24"/>
        </w:rPr>
        <w:t>本理财</w:t>
      </w:r>
      <w:r>
        <w:rPr>
          <w:rFonts w:ascii="仿宋_GB2312" w:hAnsi="宋体" w:cs="宋体"/>
          <w:bCs/>
          <w:kern w:val="0"/>
          <w:szCs w:val="24"/>
        </w:rPr>
        <w:t>产品在投资</w:t>
      </w:r>
      <w:r>
        <w:rPr>
          <w:rFonts w:ascii="仿宋_GB2312" w:hAnsi="宋体" w:cs="宋体" w:hint="eastAsia"/>
          <w:bCs/>
          <w:kern w:val="0"/>
          <w:szCs w:val="24"/>
        </w:rPr>
        <w:t>于</w:t>
      </w:r>
      <w:r>
        <w:rPr>
          <w:rFonts w:ascii="仿宋_GB2312" w:hAnsi="宋体" w:cs="宋体"/>
          <w:bCs/>
          <w:kern w:val="0"/>
          <w:szCs w:val="24"/>
        </w:rPr>
        <w:t>商品及金融衍生品类资产之前，管理人应获得相应的业务经营范围或投资交易资格。</w:t>
      </w:r>
    </w:p>
    <w:p w14:paraId="3F9BC7B1" w14:textId="77777777" w:rsidR="00D8530A" w:rsidRDefault="00000000">
      <w:pPr>
        <w:tabs>
          <w:tab w:val="left" w:pos="3119"/>
        </w:tabs>
        <w:autoSpaceDE w:val="0"/>
        <w:autoSpaceDN w:val="0"/>
        <w:spacing w:line="360" w:lineRule="auto"/>
        <w:ind w:rightChars="15" w:right="36" w:firstLineChars="200" w:firstLine="480"/>
        <w:rPr>
          <w:rFonts w:ascii="仿宋_GB2312" w:hAnsi="宋体" w:cs="宋体" w:hint="eastAsia"/>
          <w:bCs/>
          <w:kern w:val="0"/>
          <w:szCs w:val="24"/>
        </w:rPr>
      </w:pPr>
      <w:r>
        <w:rPr>
          <w:rFonts w:ascii="仿宋_GB2312" w:hAnsi="宋体" w:cs="宋体" w:hint="eastAsia"/>
          <w:bCs/>
          <w:kern w:val="0"/>
          <w:szCs w:val="24"/>
        </w:rPr>
        <w:t>本理财产品投资的资产范围须完全符合法律法规或监管规定，如因法律法规或监管规定的变更、修订或更新导致本理财产品投资某类资产受到限制或禁止的，该类资产将被视为从上述资产范围中自动剔除。</w:t>
      </w:r>
    </w:p>
    <w:p w14:paraId="61D43668" w14:textId="77777777" w:rsidR="00D8530A" w:rsidRDefault="00000000">
      <w:pPr>
        <w:pStyle w:val="2"/>
        <w:ind w:firstLine="482"/>
      </w:pPr>
      <w:r>
        <w:rPr>
          <w:rFonts w:hint="eastAsia"/>
        </w:rPr>
        <w:t>投资比例</w:t>
      </w:r>
    </w:p>
    <w:p w14:paraId="355CB2B2" w14:textId="77777777" w:rsidR="00D8530A" w:rsidRDefault="00000000">
      <w:pPr>
        <w:tabs>
          <w:tab w:val="left" w:pos="3119"/>
        </w:tabs>
        <w:autoSpaceDE w:val="0"/>
        <w:autoSpaceDN w:val="0"/>
        <w:adjustRightInd w:val="0"/>
        <w:spacing w:line="360" w:lineRule="auto"/>
        <w:ind w:rightChars="15" w:right="36" w:firstLineChars="200" w:firstLine="480"/>
        <w:contextualSpacing/>
        <w:rPr>
          <w:rFonts w:ascii="仿宋_GB2312" w:hAnsi="宋体" w:cs="宋体" w:hint="eastAsia"/>
          <w:bCs/>
          <w:kern w:val="0"/>
          <w:szCs w:val="24"/>
        </w:rPr>
      </w:pPr>
      <w:r>
        <w:rPr>
          <w:rFonts w:ascii="仿宋_GB2312" w:hAnsi="宋体" w:cs="宋体" w:hint="eastAsia"/>
          <w:bCs/>
          <w:kern w:val="0"/>
          <w:szCs w:val="24"/>
        </w:rPr>
        <w:t>1.本产品各投资资产占比如下：</w:t>
      </w:r>
    </w:p>
    <w:tbl>
      <w:tblPr>
        <w:tblStyle w:val="ac"/>
        <w:tblW w:w="0" w:type="auto"/>
        <w:tblInd w:w="2577" w:type="dxa"/>
        <w:tblLook w:val="04A0" w:firstRow="1" w:lastRow="0" w:firstColumn="1" w:lastColumn="0" w:noHBand="0" w:noVBand="1"/>
      </w:tblPr>
      <w:tblGrid>
        <w:gridCol w:w="4219"/>
        <w:gridCol w:w="1456"/>
      </w:tblGrid>
      <w:tr w:rsidR="00D8530A" w14:paraId="1A3479EE" w14:textId="77777777">
        <w:tc>
          <w:tcPr>
            <w:tcW w:w="4219" w:type="dxa"/>
          </w:tcPr>
          <w:p w14:paraId="0790126B" w14:textId="77777777" w:rsidR="00D8530A" w:rsidRDefault="00000000">
            <w:pPr>
              <w:widowControl/>
              <w:spacing w:line="360" w:lineRule="auto"/>
              <w:jc w:val="center"/>
              <w:rPr>
                <w:rFonts w:ascii="仿宋_GB2312" w:hAnsi="宋体" w:cs="宋体" w:hint="eastAsia"/>
                <w:bCs/>
                <w:kern w:val="0"/>
                <w:szCs w:val="24"/>
              </w:rPr>
            </w:pPr>
            <w:r>
              <w:rPr>
                <w:rFonts w:ascii="仿宋_GB2312" w:hAnsi="宋体" w:cs="宋体" w:hint="eastAsia"/>
                <w:bCs/>
                <w:kern w:val="0"/>
                <w:szCs w:val="24"/>
              </w:rPr>
              <w:t>投资资产</w:t>
            </w:r>
          </w:p>
        </w:tc>
        <w:tc>
          <w:tcPr>
            <w:tcW w:w="1456" w:type="dxa"/>
          </w:tcPr>
          <w:p w14:paraId="5A8206E4" w14:textId="77777777" w:rsidR="00D8530A" w:rsidRDefault="00000000">
            <w:pPr>
              <w:widowControl/>
              <w:spacing w:line="360" w:lineRule="auto"/>
              <w:jc w:val="center"/>
              <w:rPr>
                <w:rFonts w:ascii="仿宋_GB2312" w:hAnsi="宋体" w:cs="宋体" w:hint="eastAsia"/>
                <w:bCs/>
                <w:kern w:val="0"/>
                <w:szCs w:val="24"/>
              </w:rPr>
            </w:pPr>
            <w:r>
              <w:rPr>
                <w:rFonts w:ascii="仿宋_GB2312" w:hAnsi="宋体" w:cs="宋体" w:hint="eastAsia"/>
                <w:bCs/>
                <w:kern w:val="0"/>
                <w:szCs w:val="24"/>
              </w:rPr>
              <w:t>投资比例</w:t>
            </w:r>
          </w:p>
        </w:tc>
      </w:tr>
      <w:tr w:rsidR="00D8530A" w14:paraId="79B93540" w14:textId="77777777">
        <w:tc>
          <w:tcPr>
            <w:tcW w:w="4219" w:type="dxa"/>
          </w:tcPr>
          <w:p w14:paraId="5E098B61" w14:textId="77777777" w:rsidR="00D8530A" w:rsidRDefault="00000000">
            <w:pPr>
              <w:widowControl/>
              <w:spacing w:line="360" w:lineRule="auto"/>
              <w:jc w:val="center"/>
              <w:rPr>
                <w:rFonts w:ascii="仿宋_GB2312" w:hAnsi="宋体" w:cs="宋体" w:hint="eastAsia"/>
                <w:bCs/>
                <w:kern w:val="0"/>
                <w:szCs w:val="24"/>
              </w:rPr>
            </w:pPr>
            <w:r>
              <w:rPr>
                <w:rFonts w:ascii="仿宋_GB2312" w:hAnsi="宋体" w:cs="宋体" w:hint="eastAsia"/>
                <w:bCs/>
                <w:kern w:val="0"/>
                <w:szCs w:val="24"/>
              </w:rPr>
              <w:t>债权类资产</w:t>
            </w:r>
          </w:p>
        </w:tc>
        <w:tc>
          <w:tcPr>
            <w:tcW w:w="1456" w:type="dxa"/>
          </w:tcPr>
          <w:p w14:paraId="5841E58B" w14:textId="77777777" w:rsidR="00D8530A" w:rsidRDefault="00000000">
            <w:pPr>
              <w:widowControl/>
              <w:spacing w:line="360" w:lineRule="auto"/>
              <w:jc w:val="center"/>
              <w:rPr>
                <w:rFonts w:ascii="仿宋_GB2312" w:hAnsi="宋体" w:cs="宋体" w:hint="eastAsia"/>
                <w:bCs/>
                <w:kern w:val="0"/>
                <w:szCs w:val="24"/>
              </w:rPr>
            </w:pPr>
            <w:r>
              <w:rPr>
                <w:rFonts w:ascii="仿宋_GB2312" w:hAnsi="宋体" w:cs="宋体" w:hint="eastAsia"/>
                <w:bCs/>
                <w:kern w:val="0"/>
                <w:szCs w:val="24"/>
              </w:rPr>
              <w:t>80-100%</w:t>
            </w:r>
          </w:p>
        </w:tc>
      </w:tr>
      <w:tr w:rsidR="00D8530A" w14:paraId="4CD8A1E7" w14:textId="77777777">
        <w:tc>
          <w:tcPr>
            <w:tcW w:w="4219" w:type="dxa"/>
          </w:tcPr>
          <w:p w14:paraId="789706CE" w14:textId="77777777" w:rsidR="00D8530A" w:rsidRDefault="00000000">
            <w:pPr>
              <w:widowControl/>
              <w:spacing w:line="360" w:lineRule="auto"/>
              <w:jc w:val="center"/>
              <w:rPr>
                <w:rFonts w:ascii="仿宋_GB2312" w:hAnsi="宋体" w:cs="宋体" w:hint="eastAsia"/>
                <w:bCs/>
                <w:kern w:val="0"/>
                <w:szCs w:val="24"/>
              </w:rPr>
            </w:pPr>
            <w:r>
              <w:rPr>
                <w:rFonts w:ascii="仿宋_GB2312" w:hAnsi="宋体" w:cs="宋体" w:hint="eastAsia"/>
                <w:bCs/>
                <w:kern w:val="0"/>
                <w:szCs w:val="24"/>
              </w:rPr>
              <w:t>权益类资产</w:t>
            </w:r>
          </w:p>
        </w:tc>
        <w:tc>
          <w:tcPr>
            <w:tcW w:w="1456" w:type="dxa"/>
          </w:tcPr>
          <w:p w14:paraId="2040DEF1" w14:textId="77777777" w:rsidR="00D8530A" w:rsidRDefault="00000000">
            <w:pPr>
              <w:widowControl/>
              <w:spacing w:line="360" w:lineRule="auto"/>
              <w:jc w:val="center"/>
              <w:rPr>
                <w:rFonts w:ascii="仿宋_GB2312" w:hAnsi="宋体" w:cs="宋体" w:hint="eastAsia"/>
                <w:bCs/>
                <w:kern w:val="0"/>
                <w:szCs w:val="24"/>
              </w:rPr>
            </w:pPr>
            <w:r>
              <w:rPr>
                <w:rFonts w:ascii="仿宋_GB2312" w:hAnsi="宋体" w:cs="宋体" w:hint="eastAsia"/>
                <w:bCs/>
                <w:kern w:val="0"/>
                <w:szCs w:val="24"/>
              </w:rPr>
              <w:t>0-20%</w:t>
            </w:r>
          </w:p>
        </w:tc>
      </w:tr>
      <w:tr w:rsidR="00D8530A" w14:paraId="723D9E14" w14:textId="77777777">
        <w:tc>
          <w:tcPr>
            <w:tcW w:w="4219" w:type="dxa"/>
          </w:tcPr>
          <w:p w14:paraId="0C635D13" w14:textId="77777777" w:rsidR="00D8530A" w:rsidRDefault="00000000">
            <w:pPr>
              <w:widowControl/>
              <w:spacing w:line="360" w:lineRule="auto"/>
              <w:jc w:val="center"/>
              <w:rPr>
                <w:rFonts w:ascii="仿宋_GB2312" w:hAnsi="宋体" w:cs="宋体" w:hint="eastAsia"/>
                <w:bCs/>
                <w:kern w:val="0"/>
                <w:szCs w:val="24"/>
              </w:rPr>
            </w:pPr>
            <w:r>
              <w:rPr>
                <w:rFonts w:ascii="仿宋_GB2312" w:hAnsi="宋体" w:cs="宋体" w:hint="eastAsia"/>
                <w:bCs/>
                <w:kern w:val="0"/>
                <w:szCs w:val="24"/>
              </w:rPr>
              <w:t>商品及金融衍生品类资产</w:t>
            </w:r>
          </w:p>
        </w:tc>
        <w:tc>
          <w:tcPr>
            <w:tcW w:w="1456" w:type="dxa"/>
          </w:tcPr>
          <w:p w14:paraId="4F9E664E" w14:textId="77777777" w:rsidR="00D8530A" w:rsidRDefault="00000000">
            <w:pPr>
              <w:widowControl/>
              <w:spacing w:line="360" w:lineRule="auto"/>
              <w:jc w:val="center"/>
              <w:rPr>
                <w:rFonts w:ascii="仿宋_GB2312" w:hAnsi="宋体" w:cs="宋体" w:hint="eastAsia"/>
                <w:bCs/>
                <w:kern w:val="0"/>
                <w:szCs w:val="24"/>
              </w:rPr>
            </w:pPr>
            <w:r>
              <w:rPr>
                <w:rFonts w:ascii="仿宋_GB2312" w:hAnsi="宋体" w:cs="宋体" w:hint="eastAsia"/>
                <w:bCs/>
                <w:kern w:val="0"/>
                <w:szCs w:val="24"/>
              </w:rPr>
              <w:t>0-20%</w:t>
            </w:r>
          </w:p>
        </w:tc>
      </w:tr>
    </w:tbl>
    <w:p w14:paraId="32C2FD9F" w14:textId="77777777" w:rsidR="00D8530A" w:rsidRDefault="00D8530A">
      <w:pPr>
        <w:widowControl/>
        <w:spacing w:line="360" w:lineRule="auto"/>
        <w:jc w:val="left"/>
        <w:rPr>
          <w:rFonts w:ascii="仿宋_GB2312" w:hAnsi="宋体" w:cs="宋体" w:hint="eastAsia"/>
          <w:bCs/>
          <w:kern w:val="0"/>
          <w:szCs w:val="24"/>
        </w:rPr>
      </w:pPr>
    </w:p>
    <w:p w14:paraId="05D8D711" w14:textId="77777777" w:rsidR="00D8530A" w:rsidRDefault="00000000">
      <w:pPr>
        <w:widowControl/>
        <w:spacing w:line="360" w:lineRule="auto"/>
        <w:jc w:val="left"/>
        <w:rPr>
          <w:rFonts w:ascii="仿宋_GB2312" w:hAnsi="宋体" w:cs="宋体" w:hint="eastAsia"/>
          <w:bCs/>
          <w:kern w:val="0"/>
          <w:szCs w:val="24"/>
        </w:rPr>
      </w:pPr>
      <w:r>
        <w:rPr>
          <w:rFonts w:ascii="仿宋_GB2312" w:hAnsi="宋体" w:cs="宋体" w:hint="eastAsia"/>
          <w:bCs/>
          <w:kern w:val="0"/>
          <w:szCs w:val="24"/>
        </w:rPr>
        <w:t xml:space="preserve"> </w:t>
      </w:r>
      <w:r>
        <w:rPr>
          <w:rFonts w:ascii="仿宋_GB2312" w:hAnsi="宋体" w:cs="宋体"/>
          <w:bCs/>
          <w:kern w:val="0"/>
          <w:szCs w:val="24"/>
        </w:rPr>
        <w:t xml:space="preserve">   </w:t>
      </w:r>
      <w:r>
        <w:rPr>
          <w:rFonts w:ascii="仿宋_GB2312" w:hAnsi="宋体" w:cs="宋体" w:hint="eastAsia"/>
          <w:bCs/>
          <w:kern w:val="0"/>
          <w:szCs w:val="24"/>
        </w:rPr>
        <w:t>管理人将在产品成立后一个月内使资产配置比例符合上述规定。</w:t>
      </w:r>
    </w:p>
    <w:p w14:paraId="7DE6C059" w14:textId="77777777" w:rsidR="00D8530A" w:rsidRDefault="00000000">
      <w:pPr>
        <w:tabs>
          <w:tab w:val="left" w:pos="3119"/>
        </w:tabs>
        <w:autoSpaceDE w:val="0"/>
        <w:autoSpaceDN w:val="0"/>
        <w:adjustRightInd w:val="0"/>
        <w:snapToGrid w:val="0"/>
        <w:spacing w:line="360" w:lineRule="auto"/>
        <w:ind w:rightChars="15" w:right="36" w:firstLineChars="200" w:firstLine="480"/>
        <w:jc w:val="left"/>
        <w:rPr>
          <w:rFonts w:ascii="仿宋_GB2312" w:hAnsi="宋体" w:cs="宋体" w:hint="eastAsia"/>
          <w:bCs/>
          <w:kern w:val="0"/>
          <w:szCs w:val="24"/>
        </w:rPr>
      </w:pPr>
      <w:r>
        <w:rPr>
          <w:rFonts w:ascii="仿宋_GB2312" w:hAnsi="宋体" w:cs="宋体" w:hint="eastAsia"/>
          <w:bCs/>
          <w:kern w:val="0"/>
          <w:szCs w:val="24"/>
        </w:rPr>
        <w:t>本产品投资于非标准化债权资产小于产品资产净值的【50】</w:t>
      </w:r>
      <w:r>
        <w:rPr>
          <w:rFonts w:ascii="仿宋_GB2312" w:hAnsi="宋体" w:cs="宋体"/>
          <w:bCs/>
          <w:kern w:val="0"/>
          <w:szCs w:val="24"/>
        </w:rPr>
        <w:t>%</w:t>
      </w:r>
      <w:r>
        <w:rPr>
          <w:rFonts w:ascii="仿宋_GB2312" w:hAnsi="宋体" w:cs="宋体" w:hint="eastAsia"/>
          <w:bCs/>
          <w:kern w:val="0"/>
          <w:szCs w:val="24"/>
        </w:rPr>
        <w:t>，非标准化债权资产的到期日不得晚于本产品的到期日。</w:t>
      </w:r>
    </w:p>
    <w:p w14:paraId="29FC5CA1" w14:textId="77777777" w:rsidR="00D8530A" w:rsidRDefault="00000000">
      <w:pPr>
        <w:tabs>
          <w:tab w:val="left" w:pos="3119"/>
        </w:tabs>
        <w:autoSpaceDE w:val="0"/>
        <w:autoSpaceDN w:val="0"/>
        <w:adjustRightInd w:val="0"/>
        <w:snapToGrid w:val="0"/>
        <w:spacing w:line="360" w:lineRule="auto"/>
        <w:ind w:rightChars="15" w:right="36" w:firstLineChars="200" w:firstLine="480"/>
        <w:rPr>
          <w:rFonts w:ascii="仿宋_GB2312" w:hAnsi="宋体" w:cs="宋体" w:hint="eastAsia"/>
          <w:bCs/>
          <w:kern w:val="0"/>
          <w:szCs w:val="24"/>
        </w:rPr>
      </w:pPr>
      <w:r>
        <w:rPr>
          <w:rFonts w:ascii="仿宋_GB2312" w:hAnsi="宋体" w:cs="宋体" w:hint="eastAsia"/>
          <w:bCs/>
          <w:kern w:val="0"/>
          <w:szCs w:val="24"/>
        </w:rPr>
        <w:t>相关法律法规和监管部门对以上投资范围和配置比例有另行规定的，按照监管最新规定执行。如监管对投资比例无其他明确规定和要求的，由产品管理人与托管人协商确定计算方法。本产品存续期内非</w:t>
      </w:r>
      <w:r>
        <w:rPr>
          <w:rFonts w:ascii="仿宋_GB2312" w:hAnsi="宋体" w:cs="宋体"/>
          <w:bCs/>
          <w:kern w:val="0"/>
          <w:szCs w:val="24"/>
        </w:rPr>
        <w:t>因</w:t>
      </w:r>
      <w:r>
        <w:rPr>
          <w:rFonts w:ascii="仿宋_GB2312" w:hAnsi="宋体" w:cs="宋体" w:hint="eastAsia"/>
          <w:bCs/>
          <w:kern w:val="0"/>
          <w:szCs w:val="24"/>
        </w:rPr>
        <w:t>产品</w:t>
      </w:r>
      <w:r>
        <w:rPr>
          <w:rFonts w:ascii="仿宋_GB2312" w:hAnsi="宋体" w:cs="宋体"/>
          <w:bCs/>
          <w:kern w:val="0"/>
          <w:szCs w:val="24"/>
        </w:rPr>
        <w:t>管理人主</w:t>
      </w:r>
      <w:r>
        <w:rPr>
          <w:rFonts w:ascii="仿宋_GB2312" w:hAnsi="宋体" w:cs="宋体" w:hint="eastAsia"/>
          <w:bCs/>
          <w:kern w:val="0"/>
          <w:szCs w:val="24"/>
        </w:rPr>
        <w:t>观</w:t>
      </w:r>
      <w:r>
        <w:rPr>
          <w:rFonts w:ascii="仿宋_GB2312" w:hAnsi="宋体" w:cs="宋体"/>
          <w:bCs/>
          <w:kern w:val="0"/>
          <w:szCs w:val="24"/>
        </w:rPr>
        <w:t>因素</w:t>
      </w:r>
      <w:r>
        <w:rPr>
          <w:rFonts w:ascii="仿宋_GB2312" w:hAnsi="宋体" w:cs="宋体" w:hint="eastAsia"/>
          <w:bCs/>
          <w:kern w:val="0"/>
          <w:szCs w:val="24"/>
        </w:rPr>
        <w:t>导致产品投资突破上述比例限制，管理人将尽合理努力，在流动性受限资产可出售、可转让或者恢复交易的15个交易日内调整至规定区间。</w:t>
      </w:r>
    </w:p>
    <w:p w14:paraId="632B2AE2" w14:textId="77777777" w:rsidR="00D8530A" w:rsidRDefault="00000000">
      <w:pPr>
        <w:pStyle w:val="2"/>
        <w:ind w:firstLine="482"/>
        <w:rPr>
          <w:rFonts w:ascii="仿宋_GB2312" w:hAnsi="宋体" w:cs="宋体" w:hint="eastAsia"/>
          <w:bCs/>
          <w:kern w:val="0"/>
          <w:szCs w:val="24"/>
        </w:rPr>
      </w:pPr>
      <w:r>
        <w:rPr>
          <w:rFonts w:hint="eastAsia"/>
        </w:rPr>
        <w:t>投资限制</w:t>
      </w:r>
    </w:p>
    <w:p w14:paraId="1F1C6735" w14:textId="77777777" w:rsidR="00D8530A" w:rsidRDefault="00000000">
      <w:pPr>
        <w:tabs>
          <w:tab w:val="left" w:pos="3119"/>
        </w:tabs>
        <w:autoSpaceDE w:val="0"/>
        <w:autoSpaceDN w:val="0"/>
        <w:adjustRightInd w:val="0"/>
        <w:spacing w:line="360" w:lineRule="auto"/>
        <w:ind w:rightChars="15" w:right="36" w:firstLineChars="200" w:firstLine="480"/>
        <w:contextualSpacing/>
        <w:rPr>
          <w:rFonts w:ascii="仿宋_GB2312" w:hAnsi="宋体" w:cs="宋体" w:hint="eastAsia"/>
          <w:bCs/>
          <w:kern w:val="0"/>
          <w:szCs w:val="24"/>
        </w:rPr>
      </w:pPr>
      <w:r>
        <w:rPr>
          <w:rFonts w:ascii="仿宋_GB2312" w:hAnsi="宋体" w:cs="宋体" w:hint="eastAsia"/>
          <w:bCs/>
          <w:kern w:val="0"/>
          <w:szCs w:val="24"/>
        </w:rPr>
        <w:t>投资限制中列示的资产品种不代表管理人的实际投向，本理财计划投资范围以“投资范围”章节表述为准。</w:t>
      </w:r>
    </w:p>
    <w:p w14:paraId="40E877A4" w14:textId="77777777" w:rsidR="00D8530A" w:rsidRDefault="00000000">
      <w:pPr>
        <w:tabs>
          <w:tab w:val="left" w:pos="3119"/>
        </w:tabs>
        <w:autoSpaceDE w:val="0"/>
        <w:autoSpaceDN w:val="0"/>
        <w:adjustRightInd w:val="0"/>
        <w:spacing w:line="360" w:lineRule="auto"/>
        <w:ind w:rightChars="15" w:right="36" w:firstLineChars="200" w:firstLine="480"/>
        <w:contextualSpacing/>
        <w:rPr>
          <w:rFonts w:ascii="仿宋_GB2312" w:hAnsi="宋体" w:cs="宋体" w:hint="eastAsia"/>
          <w:bCs/>
          <w:kern w:val="0"/>
          <w:szCs w:val="24"/>
        </w:rPr>
      </w:pPr>
      <w:r>
        <w:rPr>
          <w:rFonts w:ascii="仿宋_GB2312" w:hAnsi="宋体" w:cs="宋体" w:hint="eastAsia"/>
          <w:bCs/>
          <w:kern w:val="0"/>
          <w:szCs w:val="24"/>
        </w:rPr>
        <w:t>1．投资集中度限制</w:t>
      </w:r>
    </w:p>
    <w:p w14:paraId="77C9EDCC" w14:textId="77777777" w:rsidR="00D8530A" w:rsidRDefault="00000000">
      <w:pPr>
        <w:tabs>
          <w:tab w:val="left" w:pos="3119"/>
        </w:tabs>
        <w:autoSpaceDE w:val="0"/>
        <w:autoSpaceDN w:val="0"/>
        <w:adjustRightInd w:val="0"/>
        <w:spacing w:line="360" w:lineRule="auto"/>
        <w:ind w:rightChars="15" w:right="36" w:firstLineChars="200" w:firstLine="480"/>
        <w:contextualSpacing/>
        <w:rPr>
          <w:rFonts w:ascii="仿宋_GB2312" w:hAnsi="宋体" w:cs="宋体" w:hint="eastAsia"/>
          <w:bCs/>
          <w:kern w:val="0"/>
          <w:szCs w:val="24"/>
        </w:rPr>
      </w:pPr>
      <w:r>
        <w:rPr>
          <w:rFonts w:ascii="仿宋_GB2312" w:hAnsi="宋体" w:cs="宋体" w:hint="eastAsia"/>
          <w:bCs/>
          <w:kern w:val="0"/>
          <w:szCs w:val="24"/>
        </w:rPr>
        <w:t>（1）本理财计划持有单只证券或单只公募证券投资基金的市值不得超过该理财计划净资产的10%。</w:t>
      </w:r>
    </w:p>
    <w:p w14:paraId="0B43D106" w14:textId="77777777" w:rsidR="00D8530A" w:rsidRDefault="00000000">
      <w:pPr>
        <w:tabs>
          <w:tab w:val="left" w:pos="3119"/>
        </w:tabs>
        <w:autoSpaceDE w:val="0"/>
        <w:autoSpaceDN w:val="0"/>
        <w:adjustRightInd w:val="0"/>
        <w:spacing w:line="360" w:lineRule="auto"/>
        <w:ind w:rightChars="15" w:right="36" w:firstLineChars="200" w:firstLine="480"/>
        <w:contextualSpacing/>
        <w:rPr>
          <w:rFonts w:ascii="仿宋_GB2312" w:hAnsi="宋体" w:cs="宋体" w:hint="eastAsia"/>
          <w:bCs/>
          <w:kern w:val="0"/>
          <w:szCs w:val="24"/>
        </w:rPr>
      </w:pPr>
      <w:r>
        <w:rPr>
          <w:rFonts w:ascii="仿宋_GB2312" w:hAnsi="宋体" w:cs="宋体" w:hint="eastAsia"/>
          <w:bCs/>
          <w:kern w:val="0"/>
          <w:szCs w:val="24"/>
        </w:rPr>
        <w:t>（2）管理人发行的全部公募理财计划持有单只证券或单只公募证券投资基金的市值，不得超过该证券市值或该公募证券投资基金市值的30%。</w:t>
      </w:r>
    </w:p>
    <w:p w14:paraId="49935545" w14:textId="77777777" w:rsidR="00D8530A" w:rsidRDefault="00000000">
      <w:pPr>
        <w:tabs>
          <w:tab w:val="left" w:pos="3119"/>
        </w:tabs>
        <w:autoSpaceDE w:val="0"/>
        <w:autoSpaceDN w:val="0"/>
        <w:adjustRightInd w:val="0"/>
        <w:spacing w:line="360" w:lineRule="auto"/>
        <w:ind w:rightChars="15" w:right="36" w:firstLineChars="200" w:firstLine="480"/>
        <w:contextualSpacing/>
        <w:rPr>
          <w:rFonts w:ascii="仿宋_GB2312" w:hAnsi="宋体" w:cs="宋体" w:hint="eastAsia"/>
          <w:bCs/>
          <w:kern w:val="0"/>
          <w:szCs w:val="24"/>
        </w:rPr>
      </w:pPr>
      <w:r>
        <w:rPr>
          <w:rFonts w:ascii="仿宋_GB2312" w:hAnsi="宋体" w:cs="宋体" w:hint="eastAsia"/>
          <w:bCs/>
          <w:kern w:val="0"/>
          <w:szCs w:val="24"/>
        </w:rPr>
        <w:t>（3）管理人发行的全部理财计划持有单一上市公司发行的股票，不得超过该上市公司可流通股票的30%。</w:t>
      </w:r>
    </w:p>
    <w:p w14:paraId="04FC0B54" w14:textId="77777777" w:rsidR="00D8530A" w:rsidRDefault="00000000">
      <w:pPr>
        <w:tabs>
          <w:tab w:val="left" w:pos="3119"/>
        </w:tabs>
        <w:autoSpaceDE w:val="0"/>
        <w:autoSpaceDN w:val="0"/>
        <w:adjustRightInd w:val="0"/>
        <w:spacing w:line="360" w:lineRule="auto"/>
        <w:ind w:rightChars="15" w:right="36" w:firstLineChars="200" w:firstLine="480"/>
        <w:contextualSpacing/>
        <w:rPr>
          <w:rFonts w:ascii="仿宋_GB2312" w:hAnsi="宋体" w:cs="宋体" w:hint="eastAsia"/>
          <w:bCs/>
          <w:kern w:val="0"/>
          <w:szCs w:val="24"/>
        </w:rPr>
      </w:pPr>
      <w:r>
        <w:rPr>
          <w:rFonts w:ascii="仿宋_GB2312" w:hAnsi="宋体" w:cs="宋体" w:hint="eastAsia"/>
          <w:bCs/>
          <w:kern w:val="0"/>
          <w:szCs w:val="24"/>
        </w:rPr>
        <w:t>（4）管理人发行的全部开放式公募理财计划投资单一上市公司发行的</w:t>
      </w:r>
      <w:proofErr w:type="gramStart"/>
      <w:r>
        <w:rPr>
          <w:rFonts w:ascii="仿宋_GB2312" w:hAnsi="宋体" w:cs="宋体" w:hint="eastAsia"/>
          <w:bCs/>
          <w:kern w:val="0"/>
          <w:szCs w:val="24"/>
        </w:rPr>
        <w:t>股票,</w:t>
      </w:r>
      <w:proofErr w:type="gramEnd"/>
      <w:r>
        <w:rPr>
          <w:rFonts w:ascii="仿宋_GB2312" w:hAnsi="宋体" w:cs="宋体" w:hint="eastAsia"/>
          <w:bCs/>
          <w:kern w:val="0"/>
          <w:szCs w:val="24"/>
        </w:rPr>
        <w:t>不得超过该上市公司可流通股票的15%。国务院银行业监督管理机构另有规定的除外。</w:t>
      </w:r>
    </w:p>
    <w:p w14:paraId="52E48487" w14:textId="77777777" w:rsidR="00D8530A" w:rsidRDefault="00000000">
      <w:pPr>
        <w:tabs>
          <w:tab w:val="left" w:pos="3119"/>
        </w:tabs>
        <w:autoSpaceDE w:val="0"/>
        <w:autoSpaceDN w:val="0"/>
        <w:adjustRightInd w:val="0"/>
        <w:spacing w:line="360" w:lineRule="auto"/>
        <w:ind w:rightChars="15" w:right="36" w:firstLineChars="200" w:firstLine="480"/>
        <w:contextualSpacing/>
        <w:rPr>
          <w:rFonts w:ascii="仿宋_GB2312" w:hAnsi="宋体" w:cs="宋体" w:hint="eastAsia"/>
          <w:bCs/>
          <w:kern w:val="0"/>
          <w:szCs w:val="24"/>
        </w:rPr>
      </w:pPr>
      <w:r>
        <w:rPr>
          <w:rFonts w:ascii="仿宋_GB2312" w:hAnsi="宋体" w:cs="宋体" w:hint="eastAsia"/>
          <w:bCs/>
          <w:kern w:val="0"/>
          <w:szCs w:val="24"/>
        </w:rPr>
        <w:t>非因管理人主观因素导致突破前述比例限制的，管理人应当在流动性受限资产可出售、可转让或者恢复交易的10个交易日内调整至符合要求，国务院银行业监督管理机构规定的特殊情形除外。</w:t>
      </w:r>
    </w:p>
    <w:p w14:paraId="375AFF5D" w14:textId="77777777" w:rsidR="00D8530A" w:rsidRDefault="00000000">
      <w:pPr>
        <w:tabs>
          <w:tab w:val="left" w:pos="3119"/>
        </w:tabs>
        <w:autoSpaceDE w:val="0"/>
        <w:autoSpaceDN w:val="0"/>
        <w:adjustRightInd w:val="0"/>
        <w:spacing w:line="360" w:lineRule="auto"/>
        <w:ind w:rightChars="15" w:right="36" w:firstLineChars="200" w:firstLine="480"/>
        <w:contextualSpacing/>
        <w:rPr>
          <w:rFonts w:ascii="仿宋_GB2312" w:hAnsi="宋体" w:cs="宋体" w:hint="eastAsia"/>
          <w:bCs/>
          <w:kern w:val="0"/>
          <w:szCs w:val="24"/>
        </w:rPr>
      </w:pPr>
      <w:r>
        <w:rPr>
          <w:rFonts w:ascii="仿宋_GB2312" w:hAnsi="宋体" w:cs="宋体" w:hint="eastAsia"/>
          <w:bCs/>
          <w:kern w:val="0"/>
          <w:szCs w:val="24"/>
        </w:rPr>
        <w:lastRenderedPageBreak/>
        <w:t>2．投资期限限制</w:t>
      </w:r>
    </w:p>
    <w:p w14:paraId="34A8814B" w14:textId="77777777" w:rsidR="00D8530A" w:rsidRDefault="00000000">
      <w:pPr>
        <w:tabs>
          <w:tab w:val="left" w:pos="3119"/>
        </w:tabs>
        <w:autoSpaceDE w:val="0"/>
        <w:autoSpaceDN w:val="0"/>
        <w:adjustRightInd w:val="0"/>
        <w:spacing w:line="360" w:lineRule="auto"/>
        <w:ind w:rightChars="15" w:right="36" w:firstLineChars="200" w:firstLine="480"/>
        <w:contextualSpacing/>
        <w:rPr>
          <w:rFonts w:ascii="仿宋_GB2312" w:hAnsi="宋体" w:cs="宋体" w:hint="eastAsia"/>
          <w:bCs/>
          <w:kern w:val="0"/>
          <w:szCs w:val="24"/>
        </w:rPr>
      </w:pPr>
      <w:r>
        <w:rPr>
          <w:rFonts w:ascii="仿宋_GB2312" w:hAnsi="宋体" w:cs="宋体" w:hint="eastAsia"/>
          <w:bCs/>
          <w:kern w:val="0"/>
          <w:szCs w:val="24"/>
        </w:rPr>
        <w:t>本理财计划投资的非标准化债权类资产到期日不得晚于理财计划最近一次开放日。</w:t>
      </w:r>
    </w:p>
    <w:p w14:paraId="52059449" w14:textId="77777777" w:rsidR="00D8530A" w:rsidRDefault="00000000">
      <w:pPr>
        <w:tabs>
          <w:tab w:val="left" w:pos="3119"/>
        </w:tabs>
        <w:autoSpaceDE w:val="0"/>
        <w:autoSpaceDN w:val="0"/>
        <w:adjustRightInd w:val="0"/>
        <w:spacing w:line="360" w:lineRule="auto"/>
        <w:ind w:rightChars="15" w:right="36" w:firstLineChars="200" w:firstLine="480"/>
        <w:contextualSpacing/>
        <w:rPr>
          <w:rFonts w:ascii="仿宋_GB2312" w:hAnsi="宋体" w:cs="宋体" w:hint="eastAsia"/>
          <w:bCs/>
          <w:kern w:val="0"/>
          <w:szCs w:val="24"/>
        </w:rPr>
      </w:pPr>
      <w:r>
        <w:rPr>
          <w:rFonts w:ascii="仿宋_GB2312" w:hAnsi="宋体" w:cs="宋体" w:hint="eastAsia"/>
          <w:bCs/>
          <w:kern w:val="0"/>
          <w:szCs w:val="24"/>
        </w:rPr>
        <w:t>3．投资杠杆率限制</w:t>
      </w:r>
    </w:p>
    <w:p w14:paraId="79B5B417" w14:textId="77777777" w:rsidR="00D8530A" w:rsidRDefault="00000000">
      <w:pPr>
        <w:tabs>
          <w:tab w:val="left" w:pos="3119"/>
        </w:tabs>
        <w:autoSpaceDE w:val="0"/>
        <w:autoSpaceDN w:val="0"/>
        <w:adjustRightInd w:val="0"/>
        <w:spacing w:line="360" w:lineRule="auto"/>
        <w:ind w:rightChars="15" w:right="36" w:firstLineChars="200" w:firstLine="480"/>
        <w:contextualSpacing/>
        <w:rPr>
          <w:rFonts w:ascii="仿宋_GB2312" w:hAnsi="宋体" w:cs="宋体" w:hint="eastAsia"/>
          <w:bCs/>
          <w:kern w:val="0"/>
          <w:szCs w:val="24"/>
        </w:rPr>
      </w:pPr>
      <w:r>
        <w:rPr>
          <w:rFonts w:ascii="仿宋_GB2312" w:hAnsi="宋体" w:cs="宋体" w:hint="eastAsia"/>
          <w:bCs/>
          <w:kern w:val="0"/>
          <w:szCs w:val="24"/>
        </w:rPr>
        <w:t>本理财计划的总资产不得超过净资产的【200%】。</w:t>
      </w:r>
    </w:p>
    <w:p w14:paraId="2DE84B4D" w14:textId="77777777" w:rsidR="00D8530A" w:rsidRDefault="00000000">
      <w:pPr>
        <w:tabs>
          <w:tab w:val="left" w:pos="3119"/>
        </w:tabs>
        <w:autoSpaceDE w:val="0"/>
        <w:autoSpaceDN w:val="0"/>
        <w:adjustRightInd w:val="0"/>
        <w:spacing w:line="360" w:lineRule="auto"/>
        <w:ind w:rightChars="15" w:right="36" w:firstLineChars="200" w:firstLine="480"/>
        <w:contextualSpacing/>
        <w:rPr>
          <w:rFonts w:ascii="仿宋_GB2312" w:hAnsi="宋体" w:cs="宋体" w:hint="eastAsia"/>
          <w:bCs/>
          <w:kern w:val="0"/>
          <w:szCs w:val="24"/>
        </w:rPr>
      </w:pPr>
      <w:r>
        <w:rPr>
          <w:rFonts w:ascii="仿宋_GB2312" w:hAnsi="宋体" w:cs="宋体" w:hint="eastAsia"/>
          <w:bCs/>
          <w:kern w:val="0"/>
          <w:szCs w:val="24"/>
        </w:rPr>
        <w:t>4．流动性限制</w:t>
      </w:r>
    </w:p>
    <w:p w14:paraId="092AF067" w14:textId="77777777" w:rsidR="00D8530A" w:rsidRDefault="00000000">
      <w:pPr>
        <w:tabs>
          <w:tab w:val="left" w:pos="3119"/>
        </w:tabs>
        <w:autoSpaceDE w:val="0"/>
        <w:autoSpaceDN w:val="0"/>
        <w:adjustRightInd w:val="0"/>
        <w:spacing w:line="360" w:lineRule="auto"/>
        <w:ind w:rightChars="15" w:right="36" w:firstLineChars="200" w:firstLine="480"/>
        <w:contextualSpacing/>
        <w:rPr>
          <w:rFonts w:ascii="仿宋_GB2312" w:hAnsi="宋体" w:cs="宋体" w:hint="eastAsia"/>
          <w:bCs/>
          <w:kern w:val="0"/>
          <w:szCs w:val="24"/>
        </w:rPr>
      </w:pPr>
      <w:r>
        <w:rPr>
          <w:rFonts w:ascii="仿宋_GB2312" w:hAnsi="宋体" w:cs="宋体" w:hint="eastAsia"/>
          <w:bCs/>
          <w:kern w:val="0"/>
          <w:szCs w:val="24"/>
        </w:rPr>
        <w:t>（1）本理财计划直接投资于流动性受限资产的市值在开放日不得超过该理财计划资产净值的15%。</w:t>
      </w:r>
    </w:p>
    <w:p w14:paraId="031F8483" w14:textId="77777777" w:rsidR="00D8530A" w:rsidRDefault="00000000">
      <w:pPr>
        <w:tabs>
          <w:tab w:val="left" w:pos="3119"/>
        </w:tabs>
        <w:autoSpaceDE w:val="0"/>
        <w:autoSpaceDN w:val="0"/>
        <w:adjustRightInd w:val="0"/>
        <w:spacing w:line="360" w:lineRule="auto"/>
        <w:ind w:rightChars="15" w:right="36" w:firstLineChars="200" w:firstLine="480"/>
        <w:contextualSpacing/>
        <w:rPr>
          <w:rFonts w:ascii="仿宋_GB2312" w:hAnsi="宋体" w:cs="宋体" w:hint="eastAsia"/>
          <w:bCs/>
          <w:kern w:val="0"/>
          <w:szCs w:val="24"/>
        </w:rPr>
      </w:pPr>
      <w:r>
        <w:rPr>
          <w:rFonts w:ascii="仿宋_GB2312" w:hAnsi="宋体" w:cs="宋体" w:hint="eastAsia"/>
          <w:bCs/>
          <w:kern w:val="0"/>
          <w:szCs w:val="24"/>
        </w:rPr>
        <w:t>（2）本理财计划还应满足以下限制【c】</w:t>
      </w:r>
    </w:p>
    <w:p w14:paraId="54B28440" w14:textId="77777777" w:rsidR="00D8530A" w:rsidRDefault="00000000">
      <w:pPr>
        <w:tabs>
          <w:tab w:val="left" w:pos="3119"/>
        </w:tabs>
        <w:autoSpaceDE w:val="0"/>
        <w:autoSpaceDN w:val="0"/>
        <w:adjustRightInd w:val="0"/>
        <w:spacing w:line="360" w:lineRule="auto"/>
        <w:ind w:rightChars="15" w:right="36" w:firstLineChars="200" w:firstLine="480"/>
        <w:contextualSpacing/>
        <w:rPr>
          <w:rFonts w:ascii="仿宋_GB2312" w:hAnsi="宋体" w:cs="宋体" w:hint="eastAsia"/>
          <w:bCs/>
          <w:kern w:val="0"/>
          <w:szCs w:val="24"/>
        </w:rPr>
      </w:pPr>
      <w:r>
        <w:rPr>
          <w:rFonts w:ascii="仿宋_GB2312" w:hAnsi="宋体" w:cs="宋体" w:hint="eastAsia"/>
          <w:bCs/>
          <w:kern w:val="0"/>
          <w:szCs w:val="24"/>
        </w:rPr>
        <w:t>a. 本理财计划应当持有不低于该理财计划资产净值5%的现金或者到期日在一年以内的国债、中央银行票据和政策性金融债券。</w:t>
      </w:r>
    </w:p>
    <w:p w14:paraId="3F56B95A" w14:textId="77777777" w:rsidR="00D8530A" w:rsidRDefault="00000000">
      <w:pPr>
        <w:tabs>
          <w:tab w:val="left" w:pos="3119"/>
        </w:tabs>
        <w:autoSpaceDE w:val="0"/>
        <w:autoSpaceDN w:val="0"/>
        <w:adjustRightInd w:val="0"/>
        <w:spacing w:line="360" w:lineRule="auto"/>
        <w:ind w:rightChars="15" w:right="36" w:firstLineChars="200" w:firstLine="480"/>
        <w:contextualSpacing/>
        <w:rPr>
          <w:rFonts w:ascii="仿宋_GB2312" w:hAnsi="宋体" w:cs="宋体" w:hint="eastAsia"/>
          <w:bCs/>
          <w:kern w:val="0"/>
          <w:szCs w:val="24"/>
        </w:rPr>
      </w:pPr>
      <w:r>
        <w:rPr>
          <w:rFonts w:ascii="仿宋_GB2312" w:hAnsi="宋体" w:cs="宋体" w:hint="eastAsia"/>
          <w:bCs/>
          <w:kern w:val="0"/>
          <w:szCs w:val="24"/>
        </w:rPr>
        <w:t>b. 本理财计划应当在开放日及开放日前7个工作日内持有不低于该理财计划资产净值5%的现金或者到期日在一年以内的国债、中央银行票据和政策性金融债券。</w:t>
      </w:r>
    </w:p>
    <w:p w14:paraId="32138005" w14:textId="77777777" w:rsidR="00D8530A" w:rsidRDefault="00000000">
      <w:pPr>
        <w:tabs>
          <w:tab w:val="left" w:pos="3119"/>
        </w:tabs>
        <w:autoSpaceDE w:val="0"/>
        <w:autoSpaceDN w:val="0"/>
        <w:adjustRightInd w:val="0"/>
        <w:spacing w:line="360" w:lineRule="auto"/>
        <w:ind w:rightChars="15" w:right="36" w:firstLineChars="200" w:firstLine="480"/>
        <w:contextualSpacing/>
        <w:rPr>
          <w:rFonts w:ascii="仿宋_GB2312" w:hAnsi="宋体" w:cs="宋体" w:hint="eastAsia"/>
          <w:bCs/>
          <w:kern w:val="0"/>
          <w:szCs w:val="24"/>
        </w:rPr>
      </w:pPr>
      <w:r>
        <w:rPr>
          <w:rFonts w:ascii="仿宋_GB2312" w:hAnsi="宋体" w:cs="宋体" w:hint="eastAsia"/>
          <w:b/>
          <w:kern w:val="0"/>
          <w:szCs w:val="24"/>
        </w:rPr>
        <w:t>c. 本理财计划投资不存在活跃交易市场，并且需要采用估值技术确定公允价值的资产比例可达到理财产品净资产50%以上。</w:t>
      </w:r>
      <w:r>
        <w:rPr>
          <w:rFonts w:ascii="仿宋_GB2312" w:hAnsi="宋体" w:cs="宋体" w:hint="eastAsia"/>
          <w:bCs/>
          <w:kern w:val="0"/>
          <w:szCs w:val="24"/>
        </w:rPr>
        <w:t xml:space="preserve">                   </w:t>
      </w:r>
    </w:p>
    <w:p w14:paraId="24521202" w14:textId="77777777" w:rsidR="00D8530A" w:rsidRDefault="00000000">
      <w:pPr>
        <w:tabs>
          <w:tab w:val="left" w:pos="3119"/>
        </w:tabs>
        <w:autoSpaceDE w:val="0"/>
        <w:autoSpaceDN w:val="0"/>
        <w:adjustRightInd w:val="0"/>
        <w:spacing w:line="360" w:lineRule="auto"/>
        <w:ind w:rightChars="15" w:right="36" w:firstLineChars="200" w:firstLine="480"/>
        <w:contextualSpacing/>
        <w:rPr>
          <w:rFonts w:ascii="仿宋_GB2312" w:hAnsi="宋体" w:cs="宋体" w:hint="eastAsia"/>
          <w:bCs/>
          <w:kern w:val="0"/>
          <w:szCs w:val="24"/>
        </w:rPr>
      </w:pPr>
      <w:r>
        <w:rPr>
          <w:rFonts w:ascii="仿宋_GB2312" w:hAnsi="宋体" w:cs="宋体" w:hint="eastAsia"/>
          <w:bCs/>
          <w:kern w:val="0"/>
          <w:szCs w:val="24"/>
        </w:rPr>
        <w:t>（3）在开放日前一工作日内，本理财计划7个工作日可变现资产的可变现价值应当不低于该理财计划资产净值的10%。</w:t>
      </w:r>
    </w:p>
    <w:p w14:paraId="4159623B" w14:textId="77777777" w:rsidR="00D8530A" w:rsidRDefault="00000000">
      <w:pPr>
        <w:tabs>
          <w:tab w:val="left" w:pos="3119"/>
        </w:tabs>
        <w:autoSpaceDE w:val="0"/>
        <w:autoSpaceDN w:val="0"/>
        <w:adjustRightInd w:val="0"/>
        <w:spacing w:line="360" w:lineRule="auto"/>
        <w:ind w:rightChars="15" w:right="36" w:firstLineChars="200" w:firstLine="480"/>
        <w:contextualSpacing/>
        <w:rPr>
          <w:rFonts w:ascii="仿宋_GB2312" w:hAnsi="宋体" w:cs="宋体" w:hint="eastAsia"/>
          <w:bCs/>
          <w:kern w:val="0"/>
          <w:szCs w:val="24"/>
        </w:rPr>
      </w:pPr>
      <w:r>
        <w:rPr>
          <w:rFonts w:ascii="仿宋_GB2312" w:hAnsi="宋体" w:cs="宋体" w:hint="eastAsia"/>
          <w:bCs/>
          <w:kern w:val="0"/>
          <w:szCs w:val="24"/>
        </w:rPr>
        <w:t>5．其他投资限制</w:t>
      </w:r>
    </w:p>
    <w:p w14:paraId="13EDF554" w14:textId="77777777" w:rsidR="00D8530A" w:rsidRDefault="00000000">
      <w:pPr>
        <w:tabs>
          <w:tab w:val="left" w:pos="3119"/>
        </w:tabs>
        <w:autoSpaceDE w:val="0"/>
        <w:autoSpaceDN w:val="0"/>
        <w:adjustRightInd w:val="0"/>
        <w:spacing w:line="360" w:lineRule="auto"/>
        <w:ind w:rightChars="15" w:right="36" w:firstLineChars="200" w:firstLine="480"/>
        <w:contextualSpacing/>
        <w:rPr>
          <w:rFonts w:ascii="仿宋_GB2312" w:hAnsi="宋体" w:cs="宋体" w:hint="eastAsia"/>
          <w:bCs/>
          <w:kern w:val="0"/>
          <w:szCs w:val="24"/>
        </w:rPr>
      </w:pPr>
      <w:r>
        <w:rPr>
          <w:rFonts w:ascii="仿宋_GB2312" w:hAnsi="宋体" w:cs="宋体" w:hint="eastAsia"/>
          <w:bCs/>
          <w:kern w:val="0"/>
          <w:szCs w:val="24"/>
        </w:rPr>
        <w:t>本理财计划不得直接投资于信贷资产，不得直接或间接投资于浙商银行信贷资产，不得直接或间接投资于浙商银行或其他银行业金融机构发行的理财产品，不得直接或间接投资于浙商银行发行的次级档信贷资产支持证券，不得直接或间接投资于未上市公司股权及其受（收）益权。</w:t>
      </w:r>
    </w:p>
    <w:p w14:paraId="4DAA4FDF" w14:textId="77777777" w:rsidR="00D8530A" w:rsidRDefault="00000000">
      <w:pPr>
        <w:tabs>
          <w:tab w:val="left" w:pos="3119"/>
        </w:tabs>
        <w:autoSpaceDE w:val="0"/>
        <w:autoSpaceDN w:val="0"/>
        <w:adjustRightInd w:val="0"/>
        <w:spacing w:line="360" w:lineRule="auto"/>
        <w:ind w:rightChars="15" w:right="36" w:firstLineChars="200" w:firstLine="480"/>
        <w:contextualSpacing/>
        <w:rPr>
          <w:rFonts w:ascii="仿宋_GB2312" w:hAnsi="宋体" w:cs="宋体" w:hint="eastAsia"/>
          <w:bCs/>
          <w:kern w:val="0"/>
          <w:szCs w:val="24"/>
          <w:u w:val="single"/>
        </w:rPr>
      </w:pPr>
      <w:r>
        <w:rPr>
          <w:rFonts w:ascii="仿宋_GB2312" w:hAnsi="宋体" w:cs="宋体" w:hint="eastAsia"/>
          <w:bCs/>
          <w:kern w:val="0"/>
          <w:szCs w:val="24"/>
        </w:rPr>
        <w:t>以上限制，如监管有最新规定的，将参照监管规定调整。</w:t>
      </w:r>
    </w:p>
    <w:p w14:paraId="7DA8E16B" w14:textId="77777777" w:rsidR="00D8530A" w:rsidRDefault="00000000">
      <w:pPr>
        <w:tabs>
          <w:tab w:val="left" w:pos="3119"/>
        </w:tabs>
        <w:autoSpaceDE w:val="0"/>
        <w:autoSpaceDN w:val="0"/>
        <w:adjustRightInd w:val="0"/>
        <w:spacing w:line="360" w:lineRule="auto"/>
        <w:ind w:rightChars="15" w:right="36" w:firstLineChars="200" w:firstLine="480"/>
        <w:contextualSpacing/>
        <w:rPr>
          <w:rFonts w:ascii="仿宋_GB2312" w:hAnsi="宋体" w:cs="宋体" w:hint="eastAsia"/>
          <w:bCs/>
          <w:kern w:val="0"/>
          <w:szCs w:val="24"/>
        </w:rPr>
      </w:pPr>
      <w:r>
        <w:rPr>
          <w:rFonts w:ascii="仿宋_GB2312" w:hAnsi="宋体" w:cs="宋体" w:hint="eastAsia"/>
          <w:bCs/>
          <w:kern w:val="0"/>
          <w:szCs w:val="24"/>
        </w:rPr>
        <w:t>本产品存续期内非</w:t>
      </w:r>
      <w:r>
        <w:rPr>
          <w:rFonts w:ascii="仿宋_GB2312" w:hAnsi="宋体" w:cs="宋体"/>
          <w:bCs/>
          <w:kern w:val="0"/>
          <w:szCs w:val="24"/>
        </w:rPr>
        <w:t>因</w:t>
      </w:r>
      <w:r>
        <w:rPr>
          <w:rFonts w:ascii="仿宋_GB2312" w:hAnsi="宋体" w:cs="宋体" w:hint="eastAsia"/>
          <w:bCs/>
          <w:kern w:val="0"/>
          <w:szCs w:val="24"/>
        </w:rPr>
        <w:t>产品</w:t>
      </w:r>
      <w:r>
        <w:rPr>
          <w:rFonts w:ascii="仿宋_GB2312" w:hAnsi="宋体" w:cs="宋体"/>
          <w:bCs/>
          <w:kern w:val="0"/>
          <w:szCs w:val="24"/>
        </w:rPr>
        <w:t>管理人主</w:t>
      </w:r>
      <w:r>
        <w:rPr>
          <w:rFonts w:ascii="仿宋_GB2312" w:hAnsi="宋体" w:cs="宋体" w:hint="eastAsia"/>
          <w:bCs/>
          <w:kern w:val="0"/>
          <w:szCs w:val="24"/>
        </w:rPr>
        <w:t>观</w:t>
      </w:r>
      <w:r>
        <w:rPr>
          <w:rFonts w:ascii="仿宋_GB2312" w:hAnsi="宋体" w:cs="宋体"/>
          <w:bCs/>
          <w:kern w:val="0"/>
          <w:szCs w:val="24"/>
        </w:rPr>
        <w:t>因素</w:t>
      </w:r>
      <w:r>
        <w:rPr>
          <w:rFonts w:ascii="仿宋_GB2312" w:hAnsi="宋体" w:cs="宋体" w:hint="eastAsia"/>
          <w:bCs/>
          <w:kern w:val="0"/>
          <w:szCs w:val="24"/>
        </w:rPr>
        <w:t>导致产品投资突破上述限制的，管理人将尽合理努力，</w:t>
      </w:r>
      <w:r>
        <w:rPr>
          <w:rFonts w:ascii="仿宋_GB2312" w:hAnsi="宋体" w:cs="宋体" w:hint="eastAsia"/>
          <w:bCs/>
          <w:kern w:val="0"/>
          <w:szCs w:val="24"/>
        </w:rPr>
        <w:lastRenderedPageBreak/>
        <w:t>在15个交易日内调整至符合要求。</w:t>
      </w:r>
    </w:p>
    <w:p w14:paraId="04A11B1B" w14:textId="77777777" w:rsidR="00D8530A" w:rsidRDefault="00000000">
      <w:pPr>
        <w:pStyle w:val="2"/>
        <w:ind w:firstLine="482"/>
      </w:pPr>
      <w:r>
        <w:rPr>
          <w:rFonts w:hint="eastAsia"/>
        </w:rPr>
        <w:t>投资范围调整</w:t>
      </w:r>
    </w:p>
    <w:p w14:paraId="64D3DD1F" w14:textId="77777777" w:rsidR="00D8530A" w:rsidRDefault="00000000">
      <w:pPr>
        <w:tabs>
          <w:tab w:val="left" w:pos="3119"/>
        </w:tabs>
        <w:autoSpaceDE w:val="0"/>
        <w:autoSpaceDN w:val="0"/>
        <w:adjustRightInd w:val="0"/>
        <w:snapToGrid w:val="0"/>
        <w:spacing w:line="360" w:lineRule="auto"/>
        <w:ind w:rightChars="15" w:right="36" w:firstLineChars="200" w:firstLine="480"/>
        <w:rPr>
          <w:rFonts w:ascii="仿宋_GB2312" w:hAnsi="宋体" w:cs="宋体" w:hint="eastAsia"/>
          <w:b/>
          <w:bCs/>
          <w:kern w:val="0"/>
          <w:szCs w:val="24"/>
        </w:rPr>
      </w:pPr>
      <w:r>
        <w:rPr>
          <w:rFonts w:ascii="仿宋_GB2312" w:hAnsi="宋体" w:cs="宋体" w:hint="eastAsia"/>
          <w:b/>
          <w:bCs/>
          <w:kern w:val="0"/>
          <w:szCs w:val="24"/>
        </w:rPr>
        <w:t>在不违反法律、法规、规章和监管规定的强制性规范的前提下，管理人有权根据市场情况，对本产品的投资范围、投资资产种类或投资比例等进行调整，在调整前将通过本产品说明书约定的信息披露渠道进行信息披露。</w:t>
      </w:r>
      <w:r>
        <w:rPr>
          <w:rFonts w:ascii="仿宋_GB2312" w:hAnsi="宋体" w:cs="宋体" w:hint="eastAsia"/>
          <w:kern w:val="0"/>
          <w:szCs w:val="24"/>
        </w:rPr>
        <w:t>上述情况下管理人可能开放赎回，具体以信息披露内容为准。投资者不同意信息披露内容的，可在信息披露中约定的时间内赎回本产品。如投资者未在上述约定时间内赎回本产品，则视为投资者对上述调整无异议并同意继续持有本产品。除高风险类型的理财产品超出比例范围投资较低风险资产的情况外，管理人应提前取得投资者书面同意，并履行登记备案等法律法规以及金融监督管理部门规定的程序。</w:t>
      </w:r>
    </w:p>
    <w:p w14:paraId="7F09F355" w14:textId="77777777" w:rsidR="00D8530A" w:rsidRDefault="00000000">
      <w:pPr>
        <w:pStyle w:val="2"/>
        <w:ind w:firstLine="482"/>
      </w:pPr>
      <w:r>
        <w:rPr>
          <w:rFonts w:hint="eastAsia"/>
        </w:rPr>
        <w:t>投资策略</w:t>
      </w:r>
    </w:p>
    <w:p w14:paraId="299F44ED" w14:textId="77777777" w:rsidR="00D8530A" w:rsidRDefault="00000000">
      <w:pPr>
        <w:tabs>
          <w:tab w:val="left" w:pos="3119"/>
        </w:tabs>
        <w:autoSpaceDE w:val="0"/>
        <w:autoSpaceDN w:val="0"/>
        <w:adjustRightInd w:val="0"/>
        <w:snapToGrid w:val="0"/>
        <w:spacing w:line="360" w:lineRule="auto"/>
        <w:ind w:rightChars="15" w:right="36" w:firstLineChars="200" w:firstLine="480"/>
        <w:rPr>
          <w:rFonts w:ascii="仿宋_GB2312" w:hAnsi="宋体" w:cs="宋体" w:hint="eastAsia"/>
          <w:bCs/>
          <w:kern w:val="0"/>
          <w:szCs w:val="24"/>
        </w:rPr>
      </w:pPr>
      <w:r>
        <w:rPr>
          <w:rFonts w:ascii="仿宋_GB2312" w:hAnsi="宋体" w:cs="宋体" w:hint="eastAsia"/>
          <w:bCs/>
          <w:kern w:val="0"/>
          <w:szCs w:val="24"/>
        </w:rPr>
        <w:t>本系列产品本着稳健投资的理念，通过对宏观经济的研究，在较低风险资产间进行合理配置，在有效控制信用风险的基础上尽可能提高投资组合收益。理财产品主要投资于各类银行存款、同业存单、回购等货币市场工具以及债券、非标准化债权等债权类资产，以及优先股等权益类资产，同时根据宏观经济、货币政策和信用环境等因素，制定多种投资策略。在投资组合构建和调整的过程中，根据投资品种的变化，如收益率、流动性状况变化或品种到期等，不定期的对组合进行优化调整。</w:t>
      </w:r>
    </w:p>
    <w:p w14:paraId="1EAB430F" w14:textId="77777777" w:rsidR="00D8530A" w:rsidRDefault="00000000">
      <w:pPr>
        <w:tabs>
          <w:tab w:val="left" w:pos="3119"/>
        </w:tabs>
        <w:autoSpaceDE w:val="0"/>
        <w:autoSpaceDN w:val="0"/>
        <w:adjustRightInd w:val="0"/>
        <w:snapToGrid w:val="0"/>
        <w:spacing w:line="360" w:lineRule="auto"/>
        <w:ind w:rightChars="15" w:right="36" w:firstLineChars="200" w:firstLine="480"/>
        <w:rPr>
          <w:rFonts w:ascii="仿宋_GB2312" w:hAnsi="宋体" w:cs="宋体" w:hint="eastAsia"/>
          <w:bCs/>
          <w:kern w:val="0"/>
          <w:szCs w:val="24"/>
        </w:rPr>
      </w:pPr>
      <w:r>
        <w:rPr>
          <w:rFonts w:ascii="仿宋_GB2312" w:hAnsi="宋体" w:cs="宋体" w:hint="eastAsia"/>
          <w:bCs/>
          <w:kern w:val="0"/>
          <w:szCs w:val="24"/>
        </w:rPr>
        <w:t>本产品可在符合监管规定的前提下适当运用杠杆原理，通过回购操作，增强投资组合的收益</w:t>
      </w:r>
      <w:proofErr w:type="gramStart"/>
      <w:r>
        <w:rPr>
          <w:rFonts w:ascii="仿宋_GB2312" w:hAnsi="宋体" w:cs="宋体" w:hint="eastAsia"/>
          <w:bCs/>
          <w:kern w:val="0"/>
          <w:szCs w:val="24"/>
        </w:rPr>
        <w:t>水平,</w:t>
      </w:r>
      <w:proofErr w:type="gramEnd"/>
      <w:r>
        <w:rPr>
          <w:rFonts w:ascii="仿宋_GB2312" w:hAnsi="宋体" w:cs="宋体" w:hint="eastAsia"/>
          <w:bCs/>
          <w:kern w:val="0"/>
          <w:szCs w:val="24"/>
        </w:rPr>
        <w:t>但本理财产品总资产不超过净资产的200%。</w:t>
      </w:r>
    </w:p>
    <w:p w14:paraId="0C0CFD44" w14:textId="77777777" w:rsidR="00D8530A" w:rsidRDefault="00000000">
      <w:pPr>
        <w:pStyle w:val="2"/>
        <w:ind w:firstLine="482"/>
      </w:pPr>
      <w:r>
        <w:rPr>
          <w:rFonts w:hint="eastAsia"/>
        </w:rPr>
        <w:t>投资</w:t>
      </w:r>
      <w:r>
        <w:t>合作机构</w:t>
      </w:r>
    </w:p>
    <w:p w14:paraId="6CEA0829" w14:textId="77777777" w:rsidR="00D8530A" w:rsidRDefault="00000000">
      <w:pPr>
        <w:tabs>
          <w:tab w:val="left" w:pos="3119"/>
        </w:tabs>
        <w:autoSpaceDE w:val="0"/>
        <w:autoSpaceDN w:val="0"/>
        <w:adjustRightInd w:val="0"/>
        <w:snapToGrid w:val="0"/>
        <w:spacing w:line="360" w:lineRule="auto"/>
        <w:ind w:rightChars="15" w:right="36" w:firstLineChars="200" w:firstLine="480"/>
        <w:rPr>
          <w:rFonts w:ascii="仿宋_GB2312" w:hAnsi="宋体" w:cs="宋体" w:hint="eastAsia"/>
          <w:bCs/>
          <w:kern w:val="0"/>
          <w:szCs w:val="24"/>
        </w:rPr>
      </w:pPr>
      <w:r>
        <w:rPr>
          <w:rFonts w:ascii="仿宋_GB2312" w:hAnsi="宋体" w:cs="宋体" w:hint="eastAsia"/>
          <w:bCs/>
          <w:kern w:val="0"/>
          <w:szCs w:val="24"/>
        </w:rPr>
        <w:t>投资合作机构包括但不限于理财产品所投资资产管理产品的发行机构、根据合同约定从事理财产品受托投资的机构、与理财产品投资管理相关的投资顾问等。本理财产品的投资合作机构主要职责为对受托资金进行投资和管理，根据合同约定从事受托投资或提供投资顾问等服务，具体职责以管理人与投资合作机构签署的合同为准。</w:t>
      </w:r>
    </w:p>
    <w:p w14:paraId="75959456" w14:textId="77777777" w:rsidR="00D8530A" w:rsidRDefault="00000000">
      <w:pPr>
        <w:tabs>
          <w:tab w:val="left" w:pos="3119"/>
        </w:tabs>
        <w:autoSpaceDE w:val="0"/>
        <w:autoSpaceDN w:val="0"/>
        <w:adjustRightInd w:val="0"/>
        <w:snapToGrid w:val="0"/>
        <w:spacing w:line="360" w:lineRule="auto"/>
        <w:ind w:rightChars="15" w:right="36" w:firstLineChars="200" w:firstLine="480"/>
        <w:rPr>
          <w:rFonts w:ascii="仿宋_GB2312" w:hAnsi="宋体" w:cs="宋体" w:hint="eastAsia"/>
          <w:bCs/>
          <w:kern w:val="0"/>
          <w:szCs w:val="24"/>
        </w:rPr>
      </w:pPr>
      <w:r>
        <w:rPr>
          <w:rFonts w:ascii="仿宋_GB2312" w:hAnsi="宋体" w:cs="宋体" w:hint="eastAsia"/>
          <w:bCs/>
          <w:kern w:val="0"/>
          <w:szCs w:val="24"/>
        </w:rPr>
        <w:t>本理财产品的投资合作机构均为具有专业资质并受国家金融监督管理总局监管的金融机构或国</w:t>
      </w:r>
      <w:r>
        <w:rPr>
          <w:rFonts w:ascii="仿宋_GB2312" w:hAnsi="宋体" w:cs="宋体" w:hint="eastAsia"/>
          <w:bCs/>
          <w:kern w:val="0"/>
          <w:szCs w:val="24"/>
        </w:rPr>
        <w:lastRenderedPageBreak/>
        <w:t>务院银行业监督管理机构认可的其他机构。本理财产品成立时暂无特定投资合作机构，具体以后续信息披露为准。</w:t>
      </w:r>
    </w:p>
    <w:p w14:paraId="2F68F7BD" w14:textId="77777777" w:rsidR="00D8530A" w:rsidRDefault="00D8530A">
      <w:pPr>
        <w:tabs>
          <w:tab w:val="left" w:pos="3119"/>
        </w:tabs>
        <w:autoSpaceDE w:val="0"/>
        <w:autoSpaceDN w:val="0"/>
        <w:adjustRightInd w:val="0"/>
        <w:snapToGrid w:val="0"/>
        <w:spacing w:line="360" w:lineRule="auto"/>
        <w:ind w:rightChars="15" w:right="36" w:firstLineChars="200" w:firstLine="480"/>
        <w:rPr>
          <w:rFonts w:ascii="仿宋_GB2312" w:hAnsi="宋体" w:cs="宋体" w:hint="eastAsia"/>
          <w:bCs/>
          <w:kern w:val="0"/>
          <w:szCs w:val="24"/>
        </w:rPr>
      </w:pPr>
    </w:p>
    <w:p w14:paraId="54889E0D" w14:textId="77777777" w:rsidR="00D8530A" w:rsidRDefault="00000000">
      <w:pPr>
        <w:pStyle w:val="1"/>
        <w:numPr>
          <w:ilvl w:val="0"/>
          <w:numId w:val="0"/>
        </w:numPr>
        <w:jc w:val="both"/>
      </w:pPr>
      <w:r>
        <w:rPr>
          <w:rFonts w:ascii="仿宋_GB2312" w:eastAsia="仿宋_GB2312" w:hAnsi="宋体" w:cs="宋体" w:hint="eastAsia"/>
          <w:bCs/>
          <w:kern w:val="0"/>
          <w:sz w:val="24"/>
          <w:szCs w:val="24"/>
        </w:rPr>
        <w:br w:type="page"/>
      </w:r>
    </w:p>
    <w:p w14:paraId="62202B2A" w14:textId="77777777" w:rsidR="00D8530A" w:rsidRDefault="00000000">
      <w:pPr>
        <w:pStyle w:val="1"/>
        <w:tabs>
          <w:tab w:val="clear" w:pos="0"/>
          <w:tab w:val="left" w:pos="3119"/>
        </w:tabs>
        <w:autoSpaceDE w:val="0"/>
        <w:autoSpaceDN w:val="0"/>
        <w:adjustRightInd w:val="0"/>
        <w:spacing w:before="240"/>
        <w:ind w:rightChars="15" w:right="36" w:firstLine="560"/>
        <w:contextualSpacing/>
      </w:pPr>
      <w:r>
        <w:rPr>
          <w:rFonts w:hint="eastAsia"/>
        </w:rPr>
        <w:lastRenderedPageBreak/>
        <w:t>理财产品的托管</w:t>
      </w:r>
    </w:p>
    <w:p w14:paraId="789C7206" w14:textId="77777777" w:rsidR="00D8530A" w:rsidRDefault="00000000">
      <w:pPr>
        <w:tabs>
          <w:tab w:val="left" w:pos="3119"/>
        </w:tabs>
        <w:autoSpaceDE w:val="0"/>
        <w:autoSpaceDN w:val="0"/>
        <w:adjustRightInd w:val="0"/>
        <w:spacing w:before="240" w:line="360" w:lineRule="auto"/>
        <w:ind w:rightChars="15" w:right="36" w:firstLineChars="200" w:firstLine="480"/>
        <w:contextualSpacing/>
        <w:rPr>
          <w:rFonts w:ascii="仿宋_GB2312" w:hAnsi="宋体" w:cs="宋体" w:hint="eastAsia"/>
          <w:bCs/>
          <w:kern w:val="0"/>
          <w:szCs w:val="24"/>
        </w:rPr>
      </w:pPr>
      <w:r>
        <w:rPr>
          <w:rFonts w:ascii="仿宋_GB2312" w:hAnsi="宋体" w:cs="宋体" w:hint="eastAsia"/>
          <w:bCs/>
          <w:kern w:val="0"/>
          <w:szCs w:val="24"/>
        </w:rPr>
        <w:t>本理财产品托管人为浙商银行股份有限公司。托管人【是】产品管理人的关联方。</w:t>
      </w:r>
    </w:p>
    <w:p w14:paraId="099F890B" w14:textId="77777777" w:rsidR="00D8530A" w:rsidRDefault="00000000">
      <w:pPr>
        <w:tabs>
          <w:tab w:val="left" w:pos="3119"/>
        </w:tabs>
        <w:autoSpaceDE w:val="0"/>
        <w:autoSpaceDN w:val="0"/>
        <w:adjustRightInd w:val="0"/>
        <w:spacing w:before="240" w:line="360" w:lineRule="auto"/>
        <w:ind w:rightChars="15" w:right="36" w:firstLineChars="200" w:firstLine="480"/>
        <w:contextualSpacing/>
        <w:rPr>
          <w:rFonts w:ascii="仿宋_GB2312" w:hAnsi="宋体" w:cs="宋体" w:hint="eastAsia"/>
          <w:bCs/>
          <w:kern w:val="0"/>
          <w:szCs w:val="24"/>
        </w:rPr>
      </w:pPr>
      <w:r>
        <w:rPr>
          <w:rFonts w:ascii="仿宋_GB2312" w:hAnsi="宋体" w:cs="宋体" w:hint="eastAsia"/>
          <w:bCs/>
          <w:kern w:val="0"/>
          <w:szCs w:val="24"/>
        </w:rPr>
        <w:t>浙商银行具备监管机构认可的理财产品托管资格，主要履行职责包括：</w:t>
      </w:r>
    </w:p>
    <w:p w14:paraId="1FF8EFCD" w14:textId="77777777" w:rsidR="00D8530A" w:rsidRDefault="00000000">
      <w:pPr>
        <w:tabs>
          <w:tab w:val="left" w:pos="3119"/>
        </w:tabs>
        <w:autoSpaceDE w:val="0"/>
        <w:autoSpaceDN w:val="0"/>
        <w:adjustRightInd w:val="0"/>
        <w:spacing w:before="240" w:line="360" w:lineRule="auto"/>
        <w:ind w:rightChars="15" w:right="36" w:firstLineChars="200" w:firstLine="480"/>
        <w:contextualSpacing/>
        <w:rPr>
          <w:rFonts w:ascii="仿宋_GB2312" w:hAnsi="宋体" w:cs="宋体" w:hint="eastAsia"/>
          <w:bCs/>
          <w:kern w:val="0"/>
          <w:szCs w:val="24"/>
        </w:rPr>
      </w:pPr>
      <w:r>
        <w:rPr>
          <w:rFonts w:ascii="仿宋_GB2312" w:hAnsi="宋体" w:cs="宋体" w:hint="eastAsia"/>
          <w:bCs/>
          <w:kern w:val="0"/>
          <w:szCs w:val="24"/>
        </w:rPr>
        <w:t>（一）安全保管理财产品财产；</w:t>
      </w:r>
    </w:p>
    <w:p w14:paraId="59846364" w14:textId="77777777" w:rsidR="00D8530A" w:rsidRDefault="00000000">
      <w:pPr>
        <w:tabs>
          <w:tab w:val="left" w:pos="3119"/>
        </w:tabs>
        <w:autoSpaceDE w:val="0"/>
        <w:autoSpaceDN w:val="0"/>
        <w:adjustRightInd w:val="0"/>
        <w:spacing w:before="240" w:line="360" w:lineRule="auto"/>
        <w:ind w:rightChars="15" w:right="36" w:firstLineChars="200" w:firstLine="480"/>
        <w:contextualSpacing/>
        <w:rPr>
          <w:rFonts w:ascii="仿宋_GB2312" w:hAnsi="宋体" w:cs="宋体" w:hint="eastAsia"/>
          <w:bCs/>
          <w:kern w:val="0"/>
          <w:szCs w:val="24"/>
        </w:rPr>
      </w:pPr>
      <w:r>
        <w:rPr>
          <w:rFonts w:ascii="仿宋_GB2312" w:hAnsi="宋体" w:cs="宋体" w:hint="eastAsia"/>
          <w:bCs/>
          <w:kern w:val="0"/>
          <w:szCs w:val="24"/>
        </w:rPr>
        <w:t>（二）确保托管资金安全，保证其托管的理财产品财产与其自有资产相互独立；为每只理财产品开设独立的托管账户，不同托管账户中的资产应当相互独立；</w:t>
      </w:r>
    </w:p>
    <w:p w14:paraId="7A53BD81" w14:textId="77777777" w:rsidR="00D8530A" w:rsidRDefault="00000000">
      <w:pPr>
        <w:tabs>
          <w:tab w:val="left" w:pos="3119"/>
        </w:tabs>
        <w:autoSpaceDE w:val="0"/>
        <w:autoSpaceDN w:val="0"/>
        <w:adjustRightInd w:val="0"/>
        <w:spacing w:before="240" w:line="360" w:lineRule="auto"/>
        <w:ind w:rightChars="15" w:right="36" w:firstLineChars="200" w:firstLine="480"/>
        <w:contextualSpacing/>
        <w:rPr>
          <w:rFonts w:ascii="仿宋_GB2312" w:hAnsi="宋体" w:cs="宋体" w:hint="eastAsia"/>
          <w:bCs/>
          <w:kern w:val="0"/>
          <w:szCs w:val="24"/>
        </w:rPr>
      </w:pPr>
      <w:r>
        <w:rPr>
          <w:rFonts w:ascii="仿宋_GB2312" w:hAnsi="宋体" w:cs="宋体" w:hint="eastAsia"/>
          <w:bCs/>
          <w:kern w:val="0"/>
          <w:szCs w:val="24"/>
        </w:rPr>
        <w:t>（三）按照托管协议约定和管理人的投资指令，及时办理清算、交割事宜；</w:t>
      </w:r>
    </w:p>
    <w:p w14:paraId="213771B8" w14:textId="77777777" w:rsidR="00D8530A" w:rsidRDefault="00000000">
      <w:pPr>
        <w:tabs>
          <w:tab w:val="left" w:pos="3119"/>
        </w:tabs>
        <w:autoSpaceDE w:val="0"/>
        <w:autoSpaceDN w:val="0"/>
        <w:adjustRightInd w:val="0"/>
        <w:spacing w:before="240" w:line="360" w:lineRule="auto"/>
        <w:ind w:rightChars="15" w:right="36" w:firstLineChars="200" w:firstLine="480"/>
        <w:contextualSpacing/>
        <w:rPr>
          <w:rFonts w:ascii="仿宋_GB2312" w:hAnsi="宋体" w:cs="宋体" w:hint="eastAsia"/>
          <w:bCs/>
          <w:kern w:val="0"/>
          <w:szCs w:val="24"/>
        </w:rPr>
      </w:pPr>
      <w:r>
        <w:rPr>
          <w:rFonts w:ascii="仿宋_GB2312" w:hAnsi="宋体" w:cs="宋体" w:hint="eastAsia"/>
          <w:bCs/>
          <w:kern w:val="0"/>
          <w:szCs w:val="24"/>
        </w:rPr>
        <w:t>（四）建立与管理人的对账机制，复核、审查理财产品资金头寸、资产账目、资产净值、认购和赎回价格等数据，及时核查认购、赎回以及投资资金的支付和到账情况；</w:t>
      </w:r>
    </w:p>
    <w:p w14:paraId="67A5485A" w14:textId="77777777" w:rsidR="00D8530A" w:rsidRDefault="00000000">
      <w:pPr>
        <w:tabs>
          <w:tab w:val="left" w:pos="3119"/>
        </w:tabs>
        <w:autoSpaceDE w:val="0"/>
        <w:autoSpaceDN w:val="0"/>
        <w:adjustRightInd w:val="0"/>
        <w:spacing w:before="240" w:line="360" w:lineRule="auto"/>
        <w:ind w:rightChars="15" w:right="36" w:firstLineChars="200" w:firstLine="480"/>
        <w:contextualSpacing/>
        <w:rPr>
          <w:rFonts w:ascii="仿宋_GB2312" w:hAnsi="宋体" w:cs="宋体" w:hint="eastAsia"/>
          <w:bCs/>
          <w:kern w:val="0"/>
          <w:szCs w:val="24"/>
        </w:rPr>
      </w:pPr>
      <w:r>
        <w:rPr>
          <w:rFonts w:ascii="仿宋_GB2312" w:hAnsi="宋体" w:cs="宋体" w:hint="eastAsia"/>
          <w:bCs/>
          <w:kern w:val="0"/>
          <w:szCs w:val="24"/>
        </w:rPr>
        <w:t>（五）监督理财产品投资运作，发现理财产品违反法律、行政法规、规章规定或合同约定进行投资的，应当拒绝执行，及时通知管理人并报告银行业监督管理机构；</w:t>
      </w:r>
    </w:p>
    <w:p w14:paraId="4D925B10" w14:textId="77777777" w:rsidR="00D8530A" w:rsidRDefault="00000000">
      <w:pPr>
        <w:tabs>
          <w:tab w:val="left" w:pos="3119"/>
        </w:tabs>
        <w:autoSpaceDE w:val="0"/>
        <w:autoSpaceDN w:val="0"/>
        <w:adjustRightInd w:val="0"/>
        <w:spacing w:before="240" w:line="360" w:lineRule="auto"/>
        <w:ind w:rightChars="15" w:right="36" w:firstLineChars="200" w:firstLine="480"/>
        <w:contextualSpacing/>
        <w:rPr>
          <w:rFonts w:ascii="仿宋_GB2312" w:hAnsi="宋体" w:cs="宋体" w:hint="eastAsia"/>
          <w:bCs/>
          <w:kern w:val="0"/>
          <w:szCs w:val="24"/>
        </w:rPr>
      </w:pPr>
      <w:r>
        <w:rPr>
          <w:rFonts w:ascii="仿宋_GB2312" w:hAnsi="宋体" w:cs="宋体" w:hint="eastAsia"/>
          <w:bCs/>
          <w:kern w:val="0"/>
          <w:szCs w:val="24"/>
        </w:rPr>
        <w:t>（六）办理与理财产品托管业务活动相关的信息披露事项，包括披露理财产品托管协议、对理财产品信息披露文件中的理财产品财务会计报告等出具意见，以及在公募理财产品半年度和年度报告中出具理财托管机构报告等；</w:t>
      </w:r>
    </w:p>
    <w:p w14:paraId="332AEB4D" w14:textId="77777777" w:rsidR="00D8530A" w:rsidRDefault="00000000">
      <w:pPr>
        <w:tabs>
          <w:tab w:val="left" w:pos="3119"/>
        </w:tabs>
        <w:autoSpaceDE w:val="0"/>
        <w:autoSpaceDN w:val="0"/>
        <w:adjustRightInd w:val="0"/>
        <w:spacing w:before="240" w:line="360" w:lineRule="auto"/>
        <w:ind w:rightChars="15" w:right="36" w:firstLineChars="200" w:firstLine="480"/>
        <w:contextualSpacing/>
        <w:rPr>
          <w:rFonts w:ascii="仿宋_GB2312" w:hAnsi="宋体" w:cs="宋体" w:hint="eastAsia"/>
          <w:bCs/>
          <w:kern w:val="0"/>
          <w:szCs w:val="24"/>
        </w:rPr>
      </w:pPr>
      <w:r>
        <w:rPr>
          <w:rFonts w:ascii="仿宋_GB2312" w:hAnsi="宋体" w:cs="宋体" w:hint="eastAsia"/>
          <w:bCs/>
          <w:kern w:val="0"/>
          <w:szCs w:val="24"/>
        </w:rPr>
        <w:t>（七）理财托管业务活动的记录、账册、报表和其他相关资料保存</w:t>
      </w:r>
      <w:r>
        <w:rPr>
          <w:rFonts w:ascii="仿宋_GB2312" w:hAnsi="宋体" w:cs="宋体"/>
          <w:bCs/>
          <w:kern w:val="0"/>
          <w:szCs w:val="24"/>
        </w:rPr>
        <w:t>15年以上；</w:t>
      </w:r>
    </w:p>
    <w:p w14:paraId="65410204" w14:textId="77777777" w:rsidR="00D8530A" w:rsidRDefault="00000000">
      <w:pPr>
        <w:tabs>
          <w:tab w:val="left" w:pos="3119"/>
        </w:tabs>
        <w:autoSpaceDE w:val="0"/>
        <w:autoSpaceDN w:val="0"/>
        <w:adjustRightInd w:val="0"/>
        <w:spacing w:before="240" w:line="360" w:lineRule="auto"/>
        <w:ind w:rightChars="15" w:right="36" w:firstLineChars="200" w:firstLine="480"/>
        <w:contextualSpacing/>
        <w:rPr>
          <w:rFonts w:ascii="仿宋_GB2312" w:hAnsi="宋体" w:cs="宋体" w:hint="eastAsia"/>
          <w:bCs/>
          <w:kern w:val="0"/>
          <w:szCs w:val="24"/>
        </w:rPr>
      </w:pPr>
      <w:r>
        <w:rPr>
          <w:rFonts w:ascii="仿宋_GB2312" w:hAnsi="宋体" w:cs="宋体" w:hint="eastAsia"/>
          <w:bCs/>
          <w:kern w:val="0"/>
          <w:szCs w:val="24"/>
        </w:rPr>
        <w:t>（八）对理财产品投资信息和相关资料承担保密责任，除法律、行政法规、规章规定、审计要求或者合同约定外，不得向任何机构或者个人提供相关信息和资料；</w:t>
      </w:r>
    </w:p>
    <w:p w14:paraId="373631F7" w14:textId="77777777" w:rsidR="00D8530A" w:rsidRDefault="00000000">
      <w:pPr>
        <w:tabs>
          <w:tab w:val="left" w:pos="3119"/>
        </w:tabs>
        <w:autoSpaceDE w:val="0"/>
        <w:autoSpaceDN w:val="0"/>
        <w:adjustRightInd w:val="0"/>
        <w:spacing w:before="240" w:line="360" w:lineRule="auto"/>
        <w:ind w:rightChars="15" w:right="36" w:firstLineChars="200" w:firstLine="480"/>
        <w:contextualSpacing/>
        <w:rPr>
          <w:rFonts w:ascii="仿宋_GB2312" w:hAnsi="宋体" w:cs="宋体" w:hint="eastAsia"/>
          <w:bCs/>
          <w:kern w:val="0"/>
          <w:szCs w:val="24"/>
        </w:rPr>
      </w:pPr>
      <w:r>
        <w:rPr>
          <w:rFonts w:ascii="仿宋_GB2312" w:hAnsi="宋体" w:cs="宋体" w:hint="eastAsia"/>
          <w:bCs/>
          <w:kern w:val="0"/>
          <w:szCs w:val="24"/>
        </w:rPr>
        <w:t>（九）托管人的董事、监事、高级管理人员和其他托管业务人员不得有《商业银行理财业务监督管理办法》第二十四条第二款所列行为；</w:t>
      </w:r>
    </w:p>
    <w:p w14:paraId="15BD4FA7" w14:textId="77777777" w:rsidR="00D8530A" w:rsidRDefault="00000000">
      <w:pPr>
        <w:tabs>
          <w:tab w:val="left" w:pos="3119"/>
        </w:tabs>
        <w:autoSpaceDE w:val="0"/>
        <w:autoSpaceDN w:val="0"/>
        <w:adjustRightInd w:val="0"/>
        <w:spacing w:before="240" w:line="360" w:lineRule="auto"/>
        <w:ind w:rightChars="15" w:right="36" w:firstLineChars="200" w:firstLine="480"/>
        <w:contextualSpacing/>
        <w:rPr>
          <w:rFonts w:ascii="仿宋_GB2312" w:hAnsi="宋体" w:cs="宋体" w:hint="eastAsia"/>
          <w:bCs/>
          <w:kern w:val="0"/>
          <w:szCs w:val="24"/>
        </w:rPr>
      </w:pPr>
      <w:r>
        <w:rPr>
          <w:rFonts w:ascii="仿宋_GB2312" w:hAnsi="宋体" w:cs="宋体" w:hint="eastAsia"/>
          <w:bCs/>
          <w:kern w:val="0"/>
          <w:szCs w:val="24"/>
        </w:rPr>
        <w:t>（十</w:t>
      </w:r>
      <w:r>
        <w:rPr>
          <w:rFonts w:ascii="仿宋_GB2312" w:hAnsi="宋体" w:cs="宋体"/>
          <w:bCs/>
          <w:kern w:val="0"/>
          <w:szCs w:val="24"/>
        </w:rPr>
        <w:t>）</w:t>
      </w:r>
      <w:r>
        <w:rPr>
          <w:rFonts w:ascii="仿宋_GB2312" w:hAnsi="宋体" w:cs="宋体" w:hint="eastAsia"/>
          <w:bCs/>
          <w:kern w:val="0"/>
          <w:szCs w:val="24"/>
        </w:rPr>
        <w:t>配合提供托管人相应关联方信息；</w:t>
      </w:r>
    </w:p>
    <w:p w14:paraId="76F12026" w14:textId="77777777" w:rsidR="00D8530A" w:rsidRDefault="00000000">
      <w:pPr>
        <w:tabs>
          <w:tab w:val="left" w:pos="3119"/>
        </w:tabs>
        <w:autoSpaceDE w:val="0"/>
        <w:autoSpaceDN w:val="0"/>
        <w:adjustRightInd w:val="0"/>
        <w:spacing w:before="240" w:line="360" w:lineRule="auto"/>
        <w:ind w:rightChars="15" w:right="36" w:firstLineChars="200" w:firstLine="480"/>
        <w:contextualSpacing/>
        <w:rPr>
          <w:rFonts w:ascii="仿宋_GB2312" w:hAnsi="宋体" w:cs="宋体" w:hint="eastAsia"/>
          <w:bCs/>
          <w:kern w:val="0"/>
          <w:szCs w:val="24"/>
        </w:rPr>
      </w:pPr>
      <w:r>
        <w:rPr>
          <w:rFonts w:ascii="仿宋_GB2312" w:hAnsi="宋体" w:cs="宋体" w:hint="eastAsia"/>
          <w:bCs/>
          <w:kern w:val="0"/>
          <w:szCs w:val="24"/>
        </w:rPr>
        <w:t>（十</w:t>
      </w:r>
      <w:r>
        <w:rPr>
          <w:rFonts w:ascii="仿宋_GB2312" w:hAnsi="宋体" w:cs="宋体"/>
          <w:bCs/>
          <w:kern w:val="0"/>
          <w:szCs w:val="24"/>
        </w:rPr>
        <w:t>一）</w:t>
      </w:r>
      <w:r>
        <w:rPr>
          <w:rFonts w:ascii="仿宋_GB2312" w:hAnsi="宋体" w:cs="宋体" w:hint="eastAsia"/>
          <w:bCs/>
          <w:kern w:val="0"/>
          <w:szCs w:val="24"/>
        </w:rPr>
        <w:t>国务院银行业监督管理机构规定的其他职责。</w:t>
      </w:r>
    </w:p>
    <w:p w14:paraId="4212535B" w14:textId="77777777" w:rsidR="00D8530A" w:rsidRDefault="00000000">
      <w:pPr>
        <w:widowControl/>
        <w:jc w:val="left"/>
        <w:rPr>
          <w:rFonts w:ascii="仿宋_GB2312" w:hAnsi="宋体" w:cs="宋体" w:hint="eastAsia"/>
          <w:bCs/>
          <w:kern w:val="0"/>
          <w:szCs w:val="24"/>
        </w:rPr>
      </w:pPr>
      <w:r>
        <w:rPr>
          <w:rFonts w:ascii="仿宋_GB2312" w:hAnsi="宋体" w:cs="宋体"/>
          <w:bCs/>
          <w:kern w:val="0"/>
          <w:szCs w:val="24"/>
        </w:rPr>
        <w:br w:type="page"/>
      </w:r>
    </w:p>
    <w:p w14:paraId="66025D98" w14:textId="77777777" w:rsidR="00D8530A" w:rsidRDefault="00000000">
      <w:pPr>
        <w:pStyle w:val="1"/>
      </w:pPr>
      <w:r>
        <w:rPr>
          <w:rFonts w:hint="eastAsia"/>
        </w:rPr>
        <w:lastRenderedPageBreak/>
        <w:t>理财产品资产估值</w:t>
      </w:r>
    </w:p>
    <w:p w14:paraId="56D7DDE2" w14:textId="77777777" w:rsidR="00D8530A" w:rsidRDefault="00000000">
      <w:pPr>
        <w:pStyle w:val="2"/>
        <w:ind w:firstLine="482"/>
      </w:pPr>
      <w:r>
        <w:rPr>
          <w:rFonts w:hint="eastAsia"/>
        </w:rPr>
        <w:t>估值日</w:t>
      </w:r>
    </w:p>
    <w:p w14:paraId="1B8516D8" w14:textId="77777777" w:rsidR="00D8530A" w:rsidRDefault="00000000">
      <w:pPr>
        <w:tabs>
          <w:tab w:val="left" w:pos="3119"/>
        </w:tabs>
        <w:autoSpaceDE w:val="0"/>
        <w:autoSpaceDN w:val="0"/>
        <w:snapToGrid w:val="0"/>
        <w:spacing w:line="360" w:lineRule="auto"/>
        <w:ind w:firstLineChars="200" w:firstLine="464"/>
        <w:rPr>
          <w:rFonts w:ascii="仿宋_GB2312" w:hAnsi="宋体" w:cs="宋体" w:hint="eastAsia"/>
          <w:bCs/>
          <w:spacing w:val="-4"/>
          <w:kern w:val="0"/>
          <w:szCs w:val="24"/>
        </w:rPr>
      </w:pPr>
      <w:r>
        <w:rPr>
          <w:rFonts w:ascii="仿宋_GB2312" w:hAnsi="宋体" w:cs="宋体" w:hint="eastAsia"/>
          <w:bCs/>
          <w:spacing w:val="-4"/>
          <w:kern w:val="0"/>
          <w:szCs w:val="24"/>
        </w:rPr>
        <w:t>本理财产品估值日为每个</w:t>
      </w:r>
      <w:r>
        <w:rPr>
          <w:rFonts w:ascii="仿宋_GB2312" w:hAnsi="宋体" w:cs="宋体" w:hint="eastAsia"/>
          <w:bCs/>
          <w:kern w:val="0"/>
          <w:szCs w:val="24"/>
        </w:rPr>
        <w:t>工作日</w:t>
      </w:r>
      <w:r>
        <w:rPr>
          <w:rFonts w:ascii="仿宋_GB2312" w:hAnsi="宋体" w:cs="宋体" w:hint="eastAsia"/>
          <w:bCs/>
          <w:spacing w:val="-4"/>
          <w:kern w:val="0"/>
          <w:szCs w:val="24"/>
        </w:rPr>
        <w:t>，产品到期日为最后一个估值日。</w:t>
      </w:r>
    </w:p>
    <w:p w14:paraId="3BAFC579" w14:textId="77777777" w:rsidR="00D8530A" w:rsidRDefault="00000000">
      <w:pPr>
        <w:pStyle w:val="2"/>
        <w:ind w:firstLine="482"/>
      </w:pPr>
      <w:r>
        <w:rPr>
          <w:rFonts w:hint="eastAsia"/>
        </w:rPr>
        <w:t>估值对象</w:t>
      </w:r>
    </w:p>
    <w:p w14:paraId="69E79139" w14:textId="77777777" w:rsidR="00D8530A" w:rsidRDefault="00000000">
      <w:pPr>
        <w:autoSpaceDE w:val="0"/>
        <w:autoSpaceDN w:val="0"/>
        <w:adjustRightInd w:val="0"/>
        <w:snapToGrid w:val="0"/>
        <w:spacing w:line="360" w:lineRule="auto"/>
        <w:ind w:firstLineChars="200" w:firstLine="464"/>
        <w:jc w:val="left"/>
        <w:rPr>
          <w:rFonts w:ascii="仿宋_GB2312" w:hAnsi="宋体" w:cs="宋体" w:hint="eastAsia"/>
          <w:bCs/>
          <w:spacing w:val="-4"/>
          <w:kern w:val="0"/>
          <w:szCs w:val="24"/>
        </w:rPr>
      </w:pPr>
      <w:r>
        <w:rPr>
          <w:rFonts w:ascii="仿宋_GB2312" w:hAnsi="宋体" w:cs="宋体" w:hint="eastAsia"/>
          <w:bCs/>
          <w:spacing w:val="-4"/>
          <w:kern w:val="0"/>
          <w:szCs w:val="24"/>
        </w:rPr>
        <w:t>本理财产品估值的对象为本理财产品所持有的一切资产和负债。</w:t>
      </w:r>
    </w:p>
    <w:p w14:paraId="6E89599A" w14:textId="77777777" w:rsidR="00D8530A" w:rsidRDefault="00000000">
      <w:pPr>
        <w:pStyle w:val="2"/>
        <w:ind w:firstLine="482"/>
      </w:pPr>
      <w:r>
        <w:rPr>
          <w:rFonts w:hint="eastAsia"/>
        </w:rPr>
        <w:t>估值方法</w:t>
      </w:r>
    </w:p>
    <w:p w14:paraId="5D4A540F" w14:textId="77777777" w:rsidR="00D8530A" w:rsidRDefault="00000000">
      <w:pPr>
        <w:tabs>
          <w:tab w:val="left" w:pos="3119"/>
        </w:tabs>
        <w:autoSpaceDE w:val="0"/>
        <w:autoSpaceDN w:val="0"/>
        <w:snapToGrid w:val="0"/>
        <w:spacing w:line="360" w:lineRule="auto"/>
        <w:ind w:firstLineChars="200" w:firstLine="464"/>
        <w:rPr>
          <w:rFonts w:ascii="仿宋_GB2312" w:hAnsi="宋体" w:cs="宋体" w:hint="eastAsia"/>
          <w:bCs/>
          <w:spacing w:val="-4"/>
          <w:kern w:val="0"/>
          <w:szCs w:val="24"/>
        </w:rPr>
      </w:pPr>
      <w:r>
        <w:rPr>
          <w:rFonts w:ascii="仿宋_GB2312" w:hAnsi="宋体" w:cs="宋体" w:hint="eastAsia"/>
          <w:bCs/>
          <w:spacing w:val="-4"/>
          <w:kern w:val="0"/>
          <w:szCs w:val="24"/>
        </w:rPr>
        <w:t>1.货币市场工具类资产的估值</w:t>
      </w:r>
    </w:p>
    <w:p w14:paraId="13FA032B" w14:textId="77777777" w:rsidR="00D8530A" w:rsidRDefault="00000000">
      <w:pPr>
        <w:tabs>
          <w:tab w:val="left" w:pos="3119"/>
        </w:tabs>
        <w:autoSpaceDE w:val="0"/>
        <w:autoSpaceDN w:val="0"/>
        <w:snapToGrid w:val="0"/>
        <w:spacing w:line="360" w:lineRule="auto"/>
        <w:ind w:firstLineChars="200" w:firstLine="464"/>
        <w:rPr>
          <w:rFonts w:ascii="仿宋_GB2312" w:hAnsi="宋体" w:cs="宋体" w:hint="eastAsia"/>
          <w:bCs/>
          <w:spacing w:val="-4"/>
          <w:kern w:val="0"/>
          <w:szCs w:val="24"/>
        </w:rPr>
      </w:pPr>
      <w:r>
        <w:rPr>
          <w:rFonts w:ascii="仿宋_GB2312" w:hAnsi="宋体" w:cs="宋体" w:hint="eastAsia"/>
          <w:bCs/>
          <w:spacing w:val="-4"/>
          <w:kern w:val="0"/>
          <w:szCs w:val="24"/>
        </w:rPr>
        <w:t>（1）银行存款及回购按其商定利率或协议利率在实际持有期内逐日计提收益。</w:t>
      </w:r>
    </w:p>
    <w:p w14:paraId="6448ED4B" w14:textId="77777777" w:rsidR="00D8530A" w:rsidRDefault="00000000">
      <w:pPr>
        <w:tabs>
          <w:tab w:val="left" w:pos="3119"/>
        </w:tabs>
        <w:autoSpaceDE w:val="0"/>
        <w:autoSpaceDN w:val="0"/>
        <w:snapToGrid w:val="0"/>
        <w:spacing w:line="360" w:lineRule="auto"/>
        <w:ind w:firstLineChars="200" w:firstLine="464"/>
        <w:rPr>
          <w:rFonts w:ascii="仿宋_GB2312" w:hAnsi="宋体" w:cs="宋体" w:hint="eastAsia"/>
          <w:bCs/>
          <w:spacing w:val="-4"/>
          <w:kern w:val="0"/>
          <w:szCs w:val="24"/>
        </w:rPr>
      </w:pPr>
      <w:r>
        <w:rPr>
          <w:rFonts w:ascii="仿宋_GB2312" w:hAnsi="宋体" w:cs="宋体" w:hint="eastAsia"/>
          <w:bCs/>
          <w:spacing w:val="-4"/>
          <w:kern w:val="0"/>
          <w:szCs w:val="24"/>
        </w:rPr>
        <w:t>（2）货币基金按最近披露的基金份额净值进行估值，并依据该基金公布的前一日每万份收益计提收益。</w:t>
      </w:r>
    </w:p>
    <w:p w14:paraId="0229CDBE" w14:textId="77777777" w:rsidR="00D8530A" w:rsidRDefault="00000000">
      <w:pPr>
        <w:tabs>
          <w:tab w:val="left" w:pos="3119"/>
        </w:tabs>
        <w:autoSpaceDE w:val="0"/>
        <w:autoSpaceDN w:val="0"/>
        <w:snapToGrid w:val="0"/>
        <w:spacing w:line="360" w:lineRule="auto"/>
        <w:ind w:firstLineChars="200" w:firstLine="480"/>
        <w:rPr>
          <w:rFonts w:ascii="仿宋_GB2312" w:hAnsi="宋体" w:cs="宋体" w:hint="eastAsia"/>
          <w:bCs/>
          <w:kern w:val="0"/>
          <w:szCs w:val="24"/>
        </w:rPr>
      </w:pPr>
      <w:r>
        <w:rPr>
          <w:rFonts w:ascii="仿宋_GB2312" w:hAnsi="宋体" w:cs="宋体"/>
          <w:bCs/>
          <w:kern w:val="0"/>
          <w:szCs w:val="24"/>
        </w:rPr>
        <w:t>2</w:t>
      </w:r>
      <w:r>
        <w:rPr>
          <w:rFonts w:ascii="仿宋_GB2312" w:hAnsi="宋体" w:cs="宋体" w:hint="eastAsia"/>
          <w:bCs/>
          <w:kern w:val="0"/>
          <w:szCs w:val="24"/>
        </w:rPr>
        <w:t>.在证券交易所和银行间市场交易的债券及非标准化债权资产的估值，符合以下条件之一的，可采用摊余成本法进行计量：</w:t>
      </w:r>
    </w:p>
    <w:p w14:paraId="2FEE6C02" w14:textId="77777777" w:rsidR="00D8530A" w:rsidRDefault="00000000">
      <w:pPr>
        <w:tabs>
          <w:tab w:val="left" w:pos="3119"/>
        </w:tabs>
        <w:autoSpaceDE w:val="0"/>
        <w:autoSpaceDN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（1）以收取合同现金流量为目的并持有至到期。</w:t>
      </w:r>
    </w:p>
    <w:p w14:paraId="1BD5DB19" w14:textId="77777777" w:rsidR="00D8530A" w:rsidRDefault="00000000">
      <w:pPr>
        <w:tabs>
          <w:tab w:val="left" w:pos="3119"/>
        </w:tabs>
        <w:autoSpaceDE w:val="0"/>
        <w:autoSpaceDN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（2）暂不具备活跃交易市场，或者在活跃市场中没有报价、也不能采用估值技术可靠计量其公允价值。</w:t>
      </w:r>
    </w:p>
    <w:p w14:paraId="69A1811F" w14:textId="77777777" w:rsidR="00D8530A" w:rsidRDefault="00000000">
      <w:pPr>
        <w:tabs>
          <w:tab w:val="left" w:pos="3119"/>
        </w:tabs>
        <w:autoSpaceDE w:val="0"/>
        <w:autoSpaceDN w:val="0"/>
        <w:snapToGrid w:val="0"/>
        <w:spacing w:line="360" w:lineRule="auto"/>
        <w:ind w:firstLineChars="200" w:firstLine="480"/>
        <w:rPr>
          <w:rFonts w:ascii="仿宋_GB2312" w:hAnsi="宋体" w:cs="宋体" w:hint="eastAsia"/>
          <w:bCs/>
          <w:kern w:val="0"/>
          <w:szCs w:val="24"/>
        </w:rPr>
      </w:pPr>
      <w:r>
        <w:rPr>
          <w:rFonts w:ascii="仿宋_GB2312" w:hAnsi="宋体" w:cs="宋体"/>
          <w:bCs/>
          <w:kern w:val="0"/>
          <w:szCs w:val="24"/>
        </w:rPr>
        <w:t>3</w:t>
      </w:r>
      <w:r>
        <w:rPr>
          <w:rFonts w:ascii="仿宋_GB2312" w:hAnsi="宋体" w:cs="宋体" w:hint="eastAsia"/>
          <w:bCs/>
          <w:kern w:val="0"/>
          <w:szCs w:val="24"/>
        </w:rPr>
        <w:t>.不符合上述条件的债券，按照第三方估值机构（中债、中证等）提供的估值数据对本理财产品所持有债券进行估值，具体的第三方估值机构由管理人与托管人协商确定。</w:t>
      </w:r>
    </w:p>
    <w:p w14:paraId="0EF3BA78" w14:textId="77777777" w:rsidR="00D8530A" w:rsidRDefault="00000000">
      <w:pPr>
        <w:tabs>
          <w:tab w:val="left" w:pos="3119"/>
        </w:tabs>
        <w:autoSpaceDE w:val="0"/>
        <w:autoSpaceDN w:val="0"/>
        <w:snapToGrid w:val="0"/>
        <w:spacing w:line="360" w:lineRule="auto"/>
        <w:ind w:firstLineChars="200" w:firstLine="480"/>
        <w:rPr>
          <w:rFonts w:ascii="仿宋_GB2312" w:hAnsi="宋体" w:cs="宋体" w:hint="eastAsia"/>
          <w:bCs/>
          <w:kern w:val="0"/>
          <w:szCs w:val="24"/>
        </w:rPr>
      </w:pPr>
      <w:r>
        <w:rPr>
          <w:rFonts w:ascii="仿宋_GB2312" w:hAnsi="宋体" w:cs="宋体"/>
          <w:bCs/>
          <w:kern w:val="0"/>
          <w:szCs w:val="24"/>
        </w:rPr>
        <w:t>4</w:t>
      </w:r>
      <w:r>
        <w:rPr>
          <w:rFonts w:ascii="仿宋_GB2312" w:hAnsi="宋体" w:cs="宋体" w:hint="eastAsia"/>
          <w:bCs/>
          <w:kern w:val="0"/>
          <w:szCs w:val="24"/>
        </w:rPr>
        <w:t>.不符合上述条件的非标准化债权资产，理财产品管理人应当采用估值技术进行估值或管理人与托管人认可的，根据合理判断按反映产品公允价值的计量方案进行估值。</w:t>
      </w:r>
    </w:p>
    <w:p w14:paraId="3277CB88" w14:textId="77777777" w:rsidR="00D8530A" w:rsidRDefault="00000000">
      <w:pPr>
        <w:tabs>
          <w:tab w:val="left" w:pos="3119"/>
        </w:tabs>
        <w:autoSpaceDE w:val="0"/>
        <w:autoSpaceDN w:val="0"/>
        <w:snapToGrid w:val="0"/>
        <w:spacing w:line="360" w:lineRule="auto"/>
        <w:ind w:firstLineChars="200" w:firstLine="480"/>
        <w:rPr>
          <w:rFonts w:ascii="仿宋_GB2312" w:hAnsi="宋体" w:cs="宋体" w:hint="eastAsia"/>
          <w:bCs/>
          <w:kern w:val="0"/>
          <w:szCs w:val="24"/>
        </w:rPr>
      </w:pPr>
      <w:r>
        <w:rPr>
          <w:rFonts w:ascii="仿宋_GB2312" w:hAnsi="宋体" w:cs="宋体"/>
          <w:bCs/>
          <w:kern w:val="0"/>
          <w:szCs w:val="24"/>
        </w:rPr>
        <w:t>5</w:t>
      </w:r>
      <w:r>
        <w:rPr>
          <w:rFonts w:ascii="仿宋_GB2312" w:hAnsi="宋体" w:cs="宋体" w:hint="eastAsia"/>
          <w:bCs/>
          <w:kern w:val="0"/>
          <w:szCs w:val="24"/>
        </w:rPr>
        <w:t>.对以摊余成本法计量的金融资产，理财产品管理人将按照新会计准则的规定采用合理的减值计量模型结果进行减值计提。计提的减值不等同于金融资产已发生实际损失，仅作为对未来风险的审慎预期。</w:t>
      </w:r>
    </w:p>
    <w:p w14:paraId="51E6E544" w14:textId="77777777" w:rsidR="00D8530A" w:rsidRDefault="00000000">
      <w:pPr>
        <w:tabs>
          <w:tab w:val="left" w:pos="3119"/>
        </w:tabs>
        <w:autoSpaceDE w:val="0"/>
        <w:autoSpaceDN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6.投资非货币证券投资基金的估值</w:t>
      </w:r>
    </w:p>
    <w:p w14:paraId="73CC3923" w14:textId="77777777" w:rsidR="00D8530A" w:rsidRDefault="00000000">
      <w:pPr>
        <w:tabs>
          <w:tab w:val="left" w:pos="3119"/>
        </w:tabs>
        <w:autoSpaceDE w:val="0"/>
        <w:autoSpaceDN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lastRenderedPageBreak/>
        <w:t>（1）未上市非货币基金，按所投资基金管理人估值日披露的最新份额净值进行估值；</w:t>
      </w:r>
    </w:p>
    <w:p w14:paraId="25A76F70" w14:textId="77777777" w:rsidR="00D8530A" w:rsidRDefault="00000000">
      <w:pPr>
        <w:tabs>
          <w:tab w:val="left" w:pos="3119"/>
        </w:tabs>
        <w:autoSpaceDE w:val="0"/>
        <w:autoSpaceDN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（2）上市基金估值</w:t>
      </w:r>
    </w:p>
    <w:p w14:paraId="4666BDE5" w14:textId="77777777" w:rsidR="00D8530A" w:rsidRDefault="00000000">
      <w:pPr>
        <w:tabs>
          <w:tab w:val="left" w:pos="3119"/>
        </w:tabs>
        <w:autoSpaceDE w:val="0"/>
        <w:autoSpaceDN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交易所上市流通的基金（含公募REITs），以估值日其所在证券交易所的收盘价估值；境内上市的开放式基金（LOF），以所投资基金披露的最新份额净值进行估值。</w:t>
      </w:r>
    </w:p>
    <w:p w14:paraId="25870346" w14:textId="77777777" w:rsidR="00D8530A" w:rsidRDefault="00000000">
      <w:pPr>
        <w:tabs>
          <w:tab w:val="left" w:pos="3119"/>
        </w:tabs>
        <w:autoSpaceDE w:val="0"/>
        <w:autoSpaceDN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（3）如遇所投资基金不公布基金份额净值、进行折算或拆分、估值日无交易等特殊情况，则按以下原则进行估值：</w:t>
      </w:r>
    </w:p>
    <w:p w14:paraId="2010AC80" w14:textId="77777777" w:rsidR="00D8530A" w:rsidRDefault="00000000">
      <w:pPr>
        <w:tabs>
          <w:tab w:val="left" w:pos="3119"/>
        </w:tabs>
        <w:autoSpaceDE w:val="0"/>
        <w:autoSpaceDN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①以所投资基金的基金份额净值估值的，若所投资基金管理人未公布估值日基金份额净值，则按最近公布的基金份额净值为基础估值。</w:t>
      </w:r>
    </w:p>
    <w:p w14:paraId="001ED942" w14:textId="77777777" w:rsidR="00D8530A" w:rsidRDefault="00000000">
      <w:pPr>
        <w:tabs>
          <w:tab w:val="left" w:pos="3119"/>
        </w:tabs>
        <w:autoSpaceDE w:val="0"/>
        <w:autoSpaceDN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②以所投资基金的收盘价估值的，若估值日无交易，且最近交易日后市场环境未发生重大变化，按最近交易日的收盘价估值；如最近交易日后市场环境发生了重大变化的，可使用最新的基金份额净值为基础或参考类似投资品种的现行市场及重大变化因素调整最近交易市场，确定公允价值。</w:t>
      </w:r>
    </w:p>
    <w:p w14:paraId="4A15DA76" w14:textId="77777777" w:rsidR="00D8530A" w:rsidRDefault="00000000">
      <w:pPr>
        <w:tabs>
          <w:tab w:val="left" w:pos="3119"/>
        </w:tabs>
        <w:autoSpaceDE w:val="0"/>
        <w:autoSpaceDN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③如果所投资基金前一估值日至估值日期间发生分红除权、折算或拆分，理财产品管理人应根据基金份额净值或收盘价、单位基金份额分红金额、折算拆分比例、持仓份额等因素合理确定公允价值。</w:t>
      </w:r>
    </w:p>
    <w:p w14:paraId="3CB172E8" w14:textId="77777777" w:rsidR="00D8530A" w:rsidRDefault="00000000">
      <w:pPr>
        <w:tabs>
          <w:tab w:val="left" w:pos="3119"/>
        </w:tabs>
        <w:autoSpaceDE w:val="0"/>
        <w:autoSpaceDN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7</w:t>
      </w:r>
      <w:r>
        <w:rPr>
          <w:rFonts w:ascii="仿宋_GB2312" w:hAnsi="宋体" w:cs="宋体"/>
          <w:bCs/>
          <w:kern w:val="0"/>
          <w:szCs w:val="24"/>
        </w:rPr>
        <w:t>.</w:t>
      </w:r>
      <w:r>
        <w:rPr>
          <w:rFonts w:ascii="仿宋_GB2312" w:hAnsi="宋体" w:cs="宋体" w:hint="eastAsia"/>
          <w:bCs/>
          <w:kern w:val="0"/>
          <w:szCs w:val="24"/>
        </w:rPr>
        <w:t>投资符合投资范围内的其他各类资产管理产品的估值，以估值日截止时点获得的、由所投资资产管理人披露的最新份额净值或者投资收益情况进行估值；或由产品管理人和托管人根据合理判断按反映产品公允价值的估值方案进行估值。</w:t>
      </w:r>
    </w:p>
    <w:p w14:paraId="0ABF8363" w14:textId="77777777" w:rsidR="00D8530A" w:rsidRDefault="00000000">
      <w:pPr>
        <w:tabs>
          <w:tab w:val="left" w:pos="3119"/>
        </w:tabs>
        <w:autoSpaceDE w:val="0"/>
        <w:autoSpaceDN w:val="0"/>
        <w:snapToGrid w:val="0"/>
        <w:spacing w:line="360" w:lineRule="auto"/>
        <w:ind w:firstLineChars="200" w:firstLine="464"/>
        <w:rPr>
          <w:rFonts w:ascii="仿宋_GB2312" w:hAnsi="宋体" w:cs="宋体" w:hint="eastAsia"/>
          <w:bCs/>
          <w:spacing w:val="-4"/>
          <w:kern w:val="0"/>
          <w:szCs w:val="24"/>
        </w:rPr>
      </w:pPr>
      <w:r>
        <w:rPr>
          <w:rFonts w:ascii="仿宋_GB2312" w:hAnsi="宋体" w:cs="宋体" w:hint="eastAsia"/>
          <w:bCs/>
          <w:spacing w:val="-4"/>
          <w:kern w:val="0"/>
          <w:szCs w:val="24"/>
        </w:rPr>
        <w:t>8.优先股的估值</w:t>
      </w:r>
    </w:p>
    <w:p w14:paraId="46451051" w14:textId="77777777" w:rsidR="00D8530A" w:rsidRDefault="00000000">
      <w:pPr>
        <w:tabs>
          <w:tab w:val="left" w:pos="3119"/>
        </w:tabs>
        <w:autoSpaceDE w:val="0"/>
        <w:autoSpaceDN w:val="0"/>
        <w:snapToGrid w:val="0"/>
        <w:spacing w:line="360" w:lineRule="auto"/>
        <w:ind w:firstLineChars="200" w:firstLine="464"/>
        <w:rPr>
          <w:rFonts w:ascii="仿宋_GB2312" w:hAnsi="宋体" w:cs="宋体" w:hint="eastAsia"/>
          <w:bCs/>
          <w:spacing w:val="-4"/>
          <w:kern w:val="0"/>
          <w:szCs w:val="24"/>
        </w:rPr>
      </w:pPr>
      <w:r>
        <w:rPr>
          <w:rFonts w:ascii="仿宋_GB2312" w:hAnsi="宋体" w:cs="宋体" w:hint="eastAsia"/>
          <w:bCs/>
          <w:spacing w:val="-4"/>
          <w:kern w:val="0"/>
          <w:szCs w:val="24"/>
        </w:rPr>
        <w:t>优先股按第三方估值机构（中证、中债等）提供的估值数据进行估值；无第三方估值数据的，由管理人与托管人根据合理判断按反映产品公允价值的计量方案进行估值。</w:t>
      </w:r>
    </w:p>
    <w:p w14:paraId="4B99B058" w14:textId="77777777" w:rsidR="00D8530A" w:rsidRDefault="00000000">
      <w:pPr>
        <w:tabs>
          <w:tab w:val="left" w:pos="3119"/>
        </w:tabs>
        <w:autoSpaceDE w:val="0"/>
        <w:autoSpaceDN w:val="0"/>
        <w:snapToGrid w:val="0"/>
        <w:spacing w:line="360" w:lineRule="auto"/>
        <w:ind w:firstLineChars="200" w:firstLine="464"/>
        <w:rPr>
          <w:rFonts w:ascii="仿宋_GB2312" w:hAnsi="宋体" w:cs="宋体" w:hint="eastAsia"/>
          <w:bCs/>
          <w:spacing w:val="-4"/>
          <w:kern w:val="0"/>
          <w:szCs w:val="24"/>
        </w:rPr>
      </w:pPr>
      <w:r>
        <w:rPr>
          <w:rFonts w:ascii="仿宋_GB2312" w:hAnsi="宋体" w:cs="宋体" w:hint="eastAsia"/>
          <w:bCs/>
          <w:spacing w:val="-4"/>
          <w:kern w:val="0"/>
          <w:szCs w:val="24"/>
        </w:rPr>
        <w:t>9.交易所上市的有价证券（包括股票、权证等），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w:t>
      </w:r>
      <w:r>
        <w:rPr>
          <w:rFonts w:ascii="仿宋_GB2312" w:hAnsi="宋体" w:cs="宋体" w:hint="eastAsia"/>
          <w:bCs/>
          <w:spacing w:val="-4"/>
          <w:kern w:val="0"/>
          <w:szCs w:val="24"/>
        </w:rPr>
        <w:lastRenderedPageBreak/>
        <w:t>易市价，确定公允价格。</w:t>
      </w:r>
    </w:p>
    <w:p w14:paraId="064904B7" w14:textId="77777777" w:rsidR="00D8530A" w:rsidRDefault="00000000">
      <w:pPr>
        <w:tabs>
          <w:tab w:val="left" w:pos="3119"/>
        </w:tabs>
        <w:autoSpaceDE w:val="0"/>
        <w:autoSpaceDN w:val="0"/>
        <w:snapToGrid w:val="0"/>
        <w:spacing w:line="360" w:lineRule="auto"/>
        <w:ind w:firstLineChars="200" w:firstLine="464"/>
        <w:rPr>
          <w:rFonts w:ascii="仿宋_GB2312" w:hAnsi="宋体" w:cs="宋体" w:hint="eastAsia"/>
          <w:bCs/>
          <w:spacing w:val="-4"/>
          <w:kern w:val="0"/>
          <w:szCs w:val="24"/>
        </w:rPr>
      </w:pPr>
      <w:r>
        <w:rPr>
          <w:rFonts w:ascii="仿宋_GB2312" w:hAnsi="宋体" w:cs="宋体" w:hint="eastAsia"/>
          <w:bCs/>
          <w:spacing w:val="-4"/>
          <w:kern w:val="0"/>
          <w:szCs w:val="24"/>
        </w:rPr>
        <w:t>10.商品与金融衍生品类资产的估值</w:t>
      </w:r>
    </w:p>
    <w:p w14:paraId="521F549E" w14:textId="77777777" w:rsidR="00D8530A" w:rsidRDefault="00000000">
      <w:pPr>
        <w:tabs>
          <w:tab w:val="left" w:pos="3119"/>
        </w:tabs>
        <w:autoSpaceDE w:val="0"/>
        <w:autoSpaceDN w:val="0"/>
        <w:snapToGrid w:val="0"/>
        <w:spacing w:line="360" w:lineRule="auto"/>
        <w:ind w:firstLineChars="200" w:firstLine="464"/>
        <w:rPr>
          <w:rFonts w:ascii="仿宋_GB2312" w:hAnsi="宋体" w:cs="宋体" w:hint="eastAsia"/>
          <w:bCs/>
          <w:spacing w:val="-4"/>
          <w:kern w:val="0"/>
          <w:szCs w:val="24"/>
        </w:rPr>
      </w:pPr>
      <w:r>
        <w:rPr>
          <w:rFonts w:ascii="仿宋_GB2312" w:hAnsi="宋体" w:cs="宋体" w:hint="eastAsia"/>
          <w:bCs/>
          <w:spacing w:val="-4"/>
          <w:kern w:val="0"/>
          <w:szCs w:val="24"/>
        </w:rPr>
        <w:t>（1）场内交易的商品与金融衍生品类资产，以交易所最近交易日的结算价或者收盘价进行估值；</w:t>
      </w:r>
    </w:p>
    <w:p w14:paraId="7D3AFC4D" w14:textId="77777777" w:rsidR="00D8530A" w:rsidRDefault="00000000">
      <w:pPr>
        <w:tabs>
          <w:tab w:val="left" w:pos="3119"/>
        </w:tabs>
        <w:autoSpaceDE w:val="0"/>
        <w:autoSpaceDN w:val="0"/>
        <w:snapToGrid w:val="0"/>
        <w:spacing w:line="360" w:lineRule="auto"/>
        <w:ind w:firstLineChars="200" w:firstLine="464"/>
        <w:rPr>
          <w:rFonts w:ascii="仿宋_GB2312" w:hAnsi="宋体" w:cs="宋体" w:hint="eastAsia"/>
          <w:bCs/>
          <w:spacing w:val="-4"/>
          <w:kern w:val="0"/>
          <w:szCs w:val="24"/>
        </w:rPr>
      </w:pPr>
      <w:r>
        <w:rPr>
          <w:rFonts w:ascii="仿宋_GB2312" w:hAnsi="宋体" w:cs="宋体" w:hint="eastAsia"/>
          <w:bCs/>
          <w:spacing w:val="-4"/>
          <w:kern w:val="0"/>
          <w:szCs w:val="24"/>
        </w:rPr>
        <w:t>（2）场外交易的商品与金融衍生品类资产，采用估值技术确定其公允价值，按照外部机构提供的价格数据或管理人与托管人认可的估值方案进行估值。</w:t>
      </w:r>
    </w:p>
    <w:p w14:paraId="49F3BD02" w14:textId="77777777" w:rsidR="00D8530A" w:rsidRDefault="00000000">
      <w:pPr>
        <w:tabs>
          <w:tab w:val="left" w:pos="3119"/>
        </w:tabs>
        <w:autoSpaceDE w:val="0"/>
        <w:autoSpaceDN w:val="0"/>
        <w:snapToGrid w:val="0"/>
        <w:spacing w:line="360" w:lineRule="auto"/>
        <w:ind w:firstLineChars="200" w:firstLine="464"/>
        <w:rPr>
          <w:rFonts w:ascii="仿宋_GB2312" w:hAnsi="宋体" w:cs="宋体" w:hint="eastAsia"/>
          <w:bCs/>
          <w:spacing w:val="-4"/>
          <w:kern w:val="0"/>
          <w:szCs w:val="24"/>
        </w:rPr>
      </w:pPr>
      <w:r>
        <w:rPr>
          <w:rFonts w:ascii="仿宋_GB2312" w:hAnsi="宋体" w:cs="宋体"/>
          <w:bCs/>
          <w:spacing w:val="-4"/>
          <w:kern w:val="0"/>
          <w:szCs w:val="24"/>
        </w:rPr>
        <w:t>11</w:t>
      </w:r>
      <w:r>
        <w:rPr>
          <w:rFonts w:ascii="仿宋_GB2312" w:hAnsi="宋体" w:cs="宋体" w:hint="eastAsia"/>
          <w:bCs/>
          <w:spacing w:val="-4"/>
          <w:kern w:val="0"/>
          <w:szCs w:val="24"/>
        </w:rPr>
        <w:t>.若理财产品存续期间持有其他投资品种，以理财产品管理人与托管人共同认可的估值方法估值。</w:t>
      </w:r>
    </w:p>
    <w:p w14:paraId="07F08395" w14:textId="77777777" w:rsidR="00D8530A" w:rsidRDefault="00000000">
      <w:pPr>
        <w:tabs>
          <w:tab w:val="left" w:pos="3119"/>
        </w:tabs>
        <w:autoSpaceDE w:val="0"/>
        <w:autoSpaceDN w:val="0"/>
        <w:snapToGrid w:val="0"/>
        <w:spacing w:line="360" w:lineRule="auto"/>
        <w:ind w:firstLineChars="200" w:firstLine="464"/>
        <w:rPr>
          <w:rFonts w:ascii="仿宋_GB2312" w:hAnsi="宋体" w:cs="宋体" w:hint="eastAsia"/>
          <w:bCs/>
          <w:spacing w:val="-4"/>
          <w:kern w:val="0"/>
          <w:szCs w:val="24"/>
        </w:rPr>
      </w:pPr>
      <w:r>
        <w:rPr>
          <w:rFonts w:ascii="仿宋_GB2312" w:hAnsi="宋体" w:cs="宋体" w:hint="eastAsia"/>
          <w:bCs/>
          <w:spacing w:val="-4"/>
          <w:kern w:val="0"/>
          <w:szCs w:val="24"/>
        </w:rPr>
        <w:t>1</w:t>
      </w:r>
      <w:r>
        <w:rPr>
          <w:rFonts w:ascii="仿宋_GB2312" w:hAnsi="宋体" w:cs="宋体"/>
          <w:bCs/>
          <w:spacing w:val="-4"/>
          <w:kern w:val="0"/>
          <w:szCs w:val="24"/>
        </w:rPr>
        <w:t>2.</w:t>
      </w:r>
      <w:r>
        <w:rPr>
          <w:rFonts w:ascii="仿宋_GB2312" w:hAnsi="宋体" w:cs="宋体" w:hint="eastAsia"/>
          <w:bCs/>
          <w:spacing w:val="-4"/>
          <w:kern w:val="0"/>
          <w:szCs w:val="24"/>
        </w:rPr>
        <w:t>在任何情况下，如采用以上规定的方法对资产进行估值，均应被认为采用了适当的估值方法。如管理人有证据表明上述规定不能客观反映理财产品资产公允价值的，管理人可根据具体情况，在综合考虑市场成交价、市场报价、流动性、收益率曲线与标的信用风险等多种因素基础上，按最能反映理财产品资产公允价值的方法进行估值。</w:t>
      </w:r>
    </w:p>
    <w:p w14:paraId="3A6763F4" w14:textId="77777777" w:rsidR="00D8530A" w:rsidRDefault="00000000">
      <w:pPr>
        <w:pStyle w:val="2"/>
        <w:ind w:firstLine="482"/>
      </w:pPr>
      <w:r>
        <w:rPr>
          <w:rFonts w:hint="eastAsia"/>
        </w:rPr>
        <w:t>估值错误处理</w:t>
      </w:r>
    </w:p>
    <w:p w14:paraId="5D6F9E52" w14:textId="77777777" w:rsidR="00D8530A" w:rsidRDefault="00000000">
      <w:pPr>
        <w:tabs>
          <w:tab w:val="left" w:pos="3119"/>
        </w:tabs>
        <w:autoSpaceDE w:val="0"/>
        <w:autoSpaceDN w:val="0"/>
        <w:adjustRightInd w:val="0"/>
        <w:snapToGrid w:val="0"/>
        <w:spacing w:line="360" w:lineRule="auto"/>
        <w:ind w:rightChars="15" w:right="36" w:firstLineChars="200" w:firstLine="480"/>
        <w:rPr>
          <w:rFonts w:ascii="仿宋_GB2312" w:hAnsi="宋体" w:cs="宋体" w:hint="eastAsia"/>
          <w:bCs/>
          <w:kern w:val="0"/>
          <w:szCs w:val="24"/>
        </w:rPr>
      </w:pPr>
      <w:r>
        <w:rPr>
          <w:rFonts w:ascii="仿宋_GB2312" w:hAnsi="宋体" w:cs="宋体" w:hint="eastAsia"/>
          <w:bCs/>
          <w:kern w:val="0"/>
          <w:szCs w:val="24"/>
        </w:rPr>
        <w:t>理财</w:t>
      </w:r>
      <w:r>
        <w:rPr>
          <w:rFonts w:ascii="仿宋_GB2312" w:hAnsi="宋体" w:cs="宋体"/>
          <w:bCs/>
          <w:kern w:val="0"/>
          <w:szCs w:val="24"/>
        </w:rPr>
        <w:t>产品</w:t>
      </w:r>
      <w:r>
        <w:rPr>
          <w:rFonts w:ascii="仿宋_GB2312" w:hAnsi="宋体" w:cs="宋体" w:hint="eastAsia"/>
          <w:bCs/>
          <w:kern w:val="0"/>
          <w:szCs w:val="24"/>
        </w:rPr>
        <w:t>管理人和</w:t>
      </w:r>
      <w:r>
        <w:rPr>
          <w:rFonts w:ascii="仿宋_GB2312" w:hAnsi="宋体" w:cs="宋体"/>
          <w:bCs/>
          <w:kern w:val="0"/>
          <w:szCs w:val="24"/>
        </w:rPr>
        <w:t>理财产品托管人</w:t>
      </w:r>
      <w:r>
        <w:rPr>
          <w:rFonts w:ascii="仿宋_GB2312" w:hAnsi="宋体" w:cs="宋体" w:hint="eastAsia"/>
          <w:bCs/>
          <w:kern w:val="0"/>
          <w:szCs w:val="24"/>
        </w:rPr>
        <w:t>将采取必要、适当、合理的措施确保产品资产估值的准确性、及时性。</w:t>
      </w:r>
    </w:p>
    <w:p w14:paraId="55E8AE09" w14:textId="77777777" w:rsidR="00D8530A" w:rsidRDefault="00000000">
      <w:pPr>
        <w:tabs>
          <w:tab w:val="left" w:pos="3119"/>
        </w:tabs>
        <w:autoSpaceDE w:val="0"/>
        <w:autoSpaceDN w:val="0"/>
        <w:adjustRightInd w:val="0"/>
        <w:snapToGrid w:val="0"/>
        <w:spacing w:line="360" w:lineRule="auto"/>
        <w:ind w:rightChars="15" w:right="36" w:firstLineChars="200" w:firstLine="480"/>
        <w:rPr>
          <w:rFonts w:ascii="仿宋_GB2312" w:hAnsi="宋体" w:cs="宋体" w:hint="eastAsia"/>
          <w:bCs/>
          <w:kern w:val="0"/>
          <w:szCs w:val="24"/>
        </w:rPr>
      </w:pPr>
      <w:r>
        <w:rPr>
          <w:rFonts w:ascii="仿宋_GB2312" w:hAnsi="宋体" w:cs="宋体" w:hint="eastAsia"/>
          <w:bCs/>
          <w:kern w:val="0"/>
          <w:szCs w:val="24"/>
        </w:rPr>
        <w:t>1.估值错误处理原则</w:t>
      </w:r>
    </w:p>
    <w:p w14:paraId="23A9362B" w14:textId="77777777" w:rsidR="00D8530A" w:rsidRDefault="00000000">
      <w:pPr>
        <w:tabs>
          <w:tab w:val="left" w:pos="3119"/>
        </w:tabs>
        <w:autoSpaceDE w:val="0"/>
        <w:autoSpaceDN w:val="0"/>
        <w:adjustRightInd w:val="0"/>
        <w:snapToGrid w:val="0"/>
        <w:spacing w:line="360" w:lineRule="auto"/>
        <w:ind w:rightChars="15" w:right="36" w:firstLineChars="200" w:firstLine="480"/>
        <w:rPr>
          <w:rFonts w:ascii="仿宋_GB2312" w:hAnsi="宋体" w:cs="宋体" w:hint="eastAsia"/>
          <w:bCs/>
          <w:kern w:val="0"/>
          <w:szCs w:val="24"/>
        </w:rPr>
      </w:pPr>
      <w:r>
        <w:rPr>
          <w:rFonts w:ascii="仿宋_GB2312" w:hAnsi="宋体" w:cs="宋体" w:hint="eastAsia"/>
          <w:bCs/>
          <w:kern w:val="0"/>
          <w:szCs w:val="24"/>
        </w:rPr>
        <w:t>（1）由于理财产品管理人或理财产品托管人自身过错造成的估值错误，导致投资者遭受损失的，由估值错误责任方按照各自过错程度对该估值错误导致投资者遭受的直接损失给予赔偿，承担赔偿责任。</w:t>
      </w:r>
    </w:p>
    <w:p w14:paraId="4AF0F18E" w14:textId="77777777" w:rsidR="00D8530A" w:rsidRDefault="00000000">
      <w:pPr>
        <w:tabs>
          <w:tab w:val="left" w:pos="3119"/>
        </w:tabs>
        <w:autoSpaceDE w:val="0"/>
        <w:autoSpaceDN w:val="0"/>
        <w:adjustRightInd w:val="0"/>
        <w:snapToGrid w:val="0"/>
        <w:spacing w:line="360" w:lineRule="auto"/>
        <w:ind w:rightChars="15" w:right="36" w:firstLineChars="200" w:firstLine="480"/>
        <w:rPr>
          <w:rFonts w:ascii="仿宋_GB2312" w:hAnsi="宋体" w:cs="宋体" w:hint="eastAsia"/>
          <w:bCs/>
          <w:kern w:val="0"/>
          <w:szCs w:val="24"/>
        </w:rPr>
      </w:pPr>
      <w:r>
        <w:rPr>
          <w:rFonts w:ascii="仿宋_GB2312" w:hAnsi="宋体" w:cs="宋体" w:hint="eastAsia"/>
          <w:bCs/>
          <w:kern w:val="0"/>
          <w:szCs w:val="24"/>
        </w:rPr>
        <w:t>（2）对因技术原因引起的差错，若系同行业现有技术水平无法预见、无法避免、无法抗拒，属不可抗力。由于不可抗力原因，或由于证券交易所、期货交易所、第三方估值机构、信托公司、基金公司等发送数据错误等非管理人和托管人原因，管理人和托管人虽然已经采取必要、适当、合理的措施进行检查，但未能发现错误的，由此造成的估值错误，管理人和托管人免除赔偿责任。但管理人、托管人应当积极采取必要的措施减轻或消除由此造成的影响。但因该差错取得不当得利的投资者仍应负有返还不当得利的义务。</w:t>
      </w:r>
    </w:p>
    <w:p w14:paraId="63414AAD" w14:textId="77777777" w:rsidR="00D8530A" w:rsidRDefault="00000000">
      <w:pPr>
        <w:tabs>
          <w:tab w:val="left" w:pos="3119"/>
        </w:tabs>
        <w:autoSpaceDE w:val="0"/>
        <w:autoSpaceDN w:val="0"/>
        <w:adjustRightInd w:val="0"/>
        <w:snapToGrid w:val="0"/>
        <w:spacing w:line="360" w:lineRule="auto"/>
        <w:ind w:rightChars="15" w:right="36" w:firstLineChars="200" w:firstLine="480"/>
        <w:rPr>
          <w:rFonts w:ascii="仿宋_GB2312" w:hAnsi="宋体" w:cs="宋体" w:hint="eastAsia"/>
          <w:bCs/>
          <w:kern w:val="0"/>
          <w:szCs w:val="24"/>
        </w:rPr>
      </w:pPr>
      <w:r>
        <w:rPr>
          <w:rFonts w:ascii="仿宋_GB2312" w:hAnsi="宋体" w:cs="宋体" w:hint="eastAsia"/>
          <w:bCs/>
          <w:kern w:val="0"/>
          <w:szCs w:val="24"/>
        </w:rPr>
        <w:lastRenderedPageBreak/>
        <w:t>（3）若因理财产品托管人估值错误造成财产损失，理财产品管理人应向托管人追偿；若因理财产品管理人与理财产品托管人之外的第三方估值差错造成财产的损失，并拒绝进行赔偿时，由理财产品管理人负责向差错方追偿，追偿过程中产生的有关费用，应当列入理财产品费用，由理财产品承担。</w:t>
      </w:r>
    </w:p>
    <w:p w14:paraId="1C9A4A72" w14:textId="77777777" w:rsidR="00D8530A" w:rsidRDefault="00000000">
      <w:pPr>
        <w:tabs>
          <w:tab w:val="left" w:pos="3119"/>
        </w:tabs>
        <w:autoSpaceDE w:val="0"/>
        <w:autoSpaceDN w:val="0"/>
        <w:adjustRightInd w:val="0"/>
        <w:snapToGrid w:val="0"/>
        <w:spacing w:line="360" w:lineRule="auto"/>
        <w:ind w:rightChars="15" w:right="36" w:firstLineChars="200" w:firstLine="480"/>
        <w:rPr>
          <w:rFonts w:ascii="仿宋_GB2312" w:hAnsi="宋体" w:cs="宋体" w:hint="eastAsia"/>
          <w:bCs/>
          <w:kern w:val="0"/>
          <w:szCs w:val="24"/>
        </w:rPr>
      </w:pPr>
      <w:r>
        <w:rPr>
          <w:rFonts w:ascii="仿宋_GB2312" w:hAnsi="宋体" w:cs="宋体" w:hint="eastAsia"/>
          <w:bCs/>
          <w:kern w:val="0"/>
          <w:szCs w:val="24"/>
        </w:rPr>
        <w:t>（4）因估值错误而获得不当得利的投资者负有及时返还不当得利的义务。</w:t>
      </w:r>
    </w:p>
    <w:p w14:paraId="0A982976" w14:textId="77777777" w:rsidR="00D8530A" w:rsidRDefault="00000000">
      <w:pPr>
        <w:tabs>
          <w:tab w:val="left" w:pos="3119"/>
        </w:tabs>
        <w:autoSpaceDE w:val="0"/>
        <w:autoSpaceDN w:val="0"/>
        <w:adjustRightInd w:val="0"/>
        <w:snapToGrid w:val="0"/>
        <w:spacing w:line="360" w:lineRule="auto"/>
        <w:ind w:rightChars="15" w:right="36" w:firstLineChars="200" w:firstLine="480"/>
        <w:rPr>
          <w:rFonts w:ascii="仿宋_GB2312" w:hAnsi="宋体" w:cs="宋体" w:hint="eastAsia"/>
          <w:bCs/>
          <w:kern w:val="0"/>
          <w:szCs w:val="24"/>
        </w:rPr>
      </w:pPr>
      <w:r>
        <w:rPr>
          <w:rFonts w:ascii="仿宋_GB2312" w:hAnsi="宋体" w:cs="宋体" w:hint="eastAsia"/>
          <w:bCs/>
          <w:kern w:val="0"/>
          <w:szCs w:val="24"/>
        </w:rPr>
        <w:t>（5）按法律法规规定的其他原则处理估值错误。</w:t>
      </w:r>
    </w:p>
    <w:p w14:paraId="78529FD0" w14:textId="77777777" w:rsidR="00D8530A" w:rsidRDefault="00000000">
      <w:pPr>
        <w:tabs>
          <w:tab w:val="left" w:pos="3119"/>
        </w:tabs>
        <w:autoSpaceDE w:val="0"/>
        <w:autoSpaceDN w:val="0"/>
        <w:adjustRightInd w:val="0"/>
        <w:snapToGrid w:val="0"/>
        <w:spacing w:line="360" w:lineRule="auto"/>
        <w:ind w:rightChars="15" w:right="36" w:firstLineChars="200" w:firstLine="480"/>
        <w:rPr>
          <w:rFonts w:ascii="仿宋_GB2312" w:hAnsi="宋体" w:cs="宋体" w:hint="eastAsia"/>
          <w:bCs/>
          <w:kern w:val="0"/>
          <w:szCs w:val="24"/>
        </w:rPr>
      </w:pPr>
      <w:r>
        <w:rPr>
          <w:rFonts w:ascii="仿宋_GB2312" w:hAnsi="宋体" w:cs="宋体" w:hint="eastAsia"/>
          <w:bCs/>
          <w:kern w:val="0"/>
          <w:szCs w:val="24"/>
        </w:rPr>
        <w:t>2.估值错误处理程序</w:t>
      </w:r>
    </w:p>
    <w:p w14:paraId="2C2E89BE" w14:textId="77777777" w:rsidR="00D8530A" w:rsidRDefault="00000000">
      <w:pPr>
        <w:tabs>
          <w:tab w:val="left" w:pos="3119"/>
        </w:tabs>
        <w:autoSpaceDE w:val="0"/>
        <w:autoSpaceDN w:val="0"/>
        <w:adjustRightInd w:val="0"/>
        <w:snapToGrid w:val="0"/>
        <w:spacing w:line="360" w:lineRule="auto"/>
        <w:ind w:rightChars="15" w:right="36" w:firstLineChars="200" w:firstLine="480"/>
        <w:rPr>
          <w:rFonts w:ascii="仿宋_GB2312" w:hAnsi="宋体" w:cs="宋体" w:hint="eastAsia"/>
          <w:bCs/>
          <w:kern w:val="0"/>
          <w:szCs w:val="24"/>
        </w:rPr>
      </w:pPr>
      <w:r>
        <w:rPr>
          <w:rFonts w:ascii="仿宋_GB2312" w:hAnsi="宋体" w:cs="宋体" w:hint="eastAsia"/>
          <w:bCs/>
          <w:kern w:val="0"/>
          <w:szCs w:val="24"/>
        </w:rPr>
        <w:t>估值错误被发现后，理财产品管理人与理财产品托管人应当及时进行处理，处理的程序如下：</w:t>
      </w:r>
    </w:p>
    <w:p w14:paraId="6F18B7F0" w14:textId="77777777" w:rsidR="00D8530A" w:rsidRDefault="00000000">
      <w:pPr>
        <w:tabs>
          <w:tab w:val="left" w:pos="3119"/>
        </w:tabs>
        <w:autoSpaceDE w:val="0"/>
        <w:autoSpaceDN w:val="0"/>
        <w:adjustRightInd w:val="0"/>
        <w:snapToGrid w:val="0"/>
        <w:spacing w:line="360" w:lineRule="auto"/>
        <w:ind w:rightChars="15" w:right="36" w:firstLineChars="200" w:firstLine="480"/>
        <w:rPr>
          <w:rFonts w:ascii="仿宋_GB2312" w:hAnsi="宋体" w:cs="宋体" w:hint="eastAsia"/>
          <w:bCs/>
          <w:kern w:val="0"/>
          <w:szCs w:val="24"/>
        </w:rPr>
      </w:pPr>
      <w:r>
        <w:rPr>
          <w:rFonts w:ascii="仿宋_GB2312" w:hAnsi="宋体" w:cs="宋体" w:hint="eastAsia"/>
          <w:bCs/>
          <w:kern w:val="0"/>
          <w:szCs w:val="24"/>
        </w:rPr>
        <w:t>（1）查明估值差错发生的原因，根据估值错误发生的原因确定估值错误的责任方；</w:t>
      </w:r>
    </w:p>
    <w:p w14:paraId="6BE09F4B" w14:textId="77777777" w:rsidR="00D8530A" w:rsidRDefault="00000000">
      <w:pPr>
        <w:tabs>
          <w:tab w:val="left" w:pos="3119"/>
        </w:tabs>
        <w:autoSpaceDE w:val="0"/>
        <w:autoSpaceDN w:val="0"/>
        <w:adjustRightInd w:val="0"/>
        <w:snapToGrid w:val="0"/>
        <w:spacing w:line="360" w:lineRule="auto"/>
        <w:ind w:rightChars="15" w:right="36" w:firstLineChars="200" w:firstLine="480"/>
        <w:rPr>
          <w:rFonts w:ascii="仿宋_GB2312" w:hAnsi="宋体" w:cs="宋体" w:hint="eastAsia"/>
          <w:bCs/>
          <w:kern w:val="0"/>
          <w:szCs w:val="24"/>
        </w:rPr>
      </w:pPr>
      <w:r>
        <w:rPr>
          <w:rFonts w:ascii="仿宋_GB2312" w:hAnsi="宋体" w:cs="宋体" w:hint="eastAsia"/>
          <w:bCs/>
          <w:kern w:val="0"/>
          <w:szCs w:val="24"/>
        </w:rPr>
        <w:t>（2）根据估值错误处理原则对因估值错误造成的损失进行评估；</w:t>
      </w:r>
    </w:p>
    <w:p w14:paraId="1E7052EF" w14:textId="77777777" w:rsidR="00D8530A" w:rsidRDefault="00000000">
      <w:pPr>
        <w:tabs>
          <w:tab w:val="left" w:pos="3119"/>
        </w:tabs>
        <w:autoSpaceDE w:val="0"/>
        <w:autoSpaceDN w:val="0"/>
        <w:adjustRightInd w:val="0"/>
        <w:snapToGrid w:val="0"/>
        <w:spacing w:line="360" w:lineRule="auto"/>
        <w:ind w:rightChars="15" w:right="36" w:firstLineChars="200" w:firstLine="480"/>
        <w:rPr>
          <w:rFonts w:ascii="仿宋_GB2312" w:hAnsi="宋体" w:cs="宋体" w:hint="eastAsia"/>
          <w:bCs/>
          <w:kern w:val="0"/>
          <w:szCs w:val="24"/>
        </w:rPr>
      </w:pPr>
      <w:r>
        <w:rPr>
          <w:rFonts w:ascii="仿宋_GB2312" w:hAnsi="宋体" w:cs="宋体" w:hint="eastAsia"/>
          <w:bCs/>
          <w:kern w:val="0"/>
          <w:szCs w:val="24"/>
        </w:rPr>
        <w:t>（3）根据估值错误处理原则或理财产品管理人与托管人协商的方法，由理财产品管理人与托管人共同进行更正，由估值错误的责任方进行赔偿损失。</w:t>
      </w:r>
    </w:p>
    <w:p w14:paraId="49040511" w14:textId="77777777" w:rsidR="00D8530A" w:rsidRDefault="00000000">
      <w:pPr>
        <w:pStyle w:val="2"/>
        <w:ind w:firstLine="482"/>
      </w:pPr>
      <w:r>
        <w:rPr>
          <w:rFonts w:hint="eastAsia"/>
        </w:rPr>
        <w:t>暂停估值的情形</w:t>
      </w:r>
    </w:p>
    <w:p w14:paraId="02B77BE7" w14:textId="77777777" w:rsidR="00D8530A" w:rsidRDefault="00000000">
      <w:pPr>
        <w:autoSpaceDE w:val="0"/>
        <w:autoSpaceDN w:val="0"/>
        <w:adjustRightInd w:val="0"/>
        <w:snapToGrid w:val="0"/>
        <w:spacing w:line="360" w:lineRule="auto"/>
        <w:ind w:firstLineChars="200" w:firstLine="480"/>
        <w:jc w:val="left"/>
        <w:rPr>
          <w:rFonts w:ascii="仿宋_GB2312" w:hAnsi="宋体" w:cs="宋体" w:hint="eastAsia"/>
          <w:bCs/>
          <w:kern w:val="0"/>
          <w:szCs w:val="24"/>
        </w:rPr>
      </w:pPr>
      <w:r>
        <w:rPr>
          <w:rFonts w:ascii="仿宋_GB2312" w:hAnsi="宋体" w:cs="宋体" w:hint="eastAsia"/>
          <w:bCs/>
          <w:kern w:val="0"/>
          <w:szCs w:val="24"/>
        </w:rPr>
        <w:t>1.当资产估值因不可抗力或其他情形致使本产品管理人和托管人无法准确评估资产价值时；</w:t>
      </w:r>
    </w:p>
    <w:p w14:paraId="068C81ED" w14:textId="77777777" w:rsidR="00D8530A" w:rsidRDefault="00000000">
      <w:pPr>
        <w:autoSpaceDE w:val="0"/>
        <w:autoSpaceDN w:val="0"/>
        <w:adjustRightInd w:val="0"/>
        <w:snapToGrid w:val="0"/>
        <w:spacing w:line="360" w:lineRule="auto"/>
        <w:ind w:firstLineChars="200" w:firstLine="480"/>
        <w:jc w:val="left"/>
        <w:rPr>
          <w:rFonts w:ascii="仿宋_GB2312" w:hAnsi="宋体" w:cs="宋体" w:hint="eastAsia"/>
          <w:bCs/>
          <w:kern w:val="0"/>
          <w:szCs w:val="24"/>
        </w:rPr>
      </w:pPr>
      <w:r>
        <w:rPr>
          <w:rFonts w:ascii="仿宋_GB2312" w:hAnsi="宋体" w:cs="宋体" w:hint="eastAsia"/>
          <w:bCs/>
          <w:kern w:val="0"/>
          <w:szCs w:val="24"/>
        </w:rPr>
        <w:t>2．理财产品投资所涉及的交易市场遇法定节假日或因其他原因暂停营业时；</w:t>
      </w:r>
    </w:p>
    <w:p w14:paraId="1D5F9EFE" w14:textId="77777777" w:rsidR="00D8530A" w:rsidRDefault="00000000">
      <w:pPr>
        <w:autoSpaceDE w:val="0"/>
        <w:autoSpaceDN w:val="0"/>
        <w:adjustRightInd w:val="0"/>
        <w:snapToGrid w:val="0"/>
        <w:spacing w:line="360" w:lineRule="auto"/>
        <w:ind w:firstLineChars="200" w:firstLine="480"/>
        <w:jc w:val="left"/>
        <w:rPr>
          <w:rFonts w:ascii="仿宋_GB2312" w:hAnsi="宋体" w:cs="宋体" w:hint="eastAsia"/>
          <w:bCs/>
          <w:kern w:val="0"/>
          <w:szCs w:val="24"/>
        </w:rPr>
      </w:pPr>
      <w:r>
        <w:rPr>
          <w:rFonts w:ascii="仿宋_GB2312" w:hAnsi="宋体" w:cs="宋体" w:hint="eastAsia"/>
          <w:bCs/>
          <w:kern w:val="0"/>
          <w:szCs w:val="24"/>
        </w:rPr>
        <w:t>3.理财产品投资的其他资产产品合同约定暂停估值或无法估值的情形发生，导致理财产品无法估值时；</w:t>
      </w:r>
    </w:p>
    <w:p w14:paraId="2EEF943C" w14:textId="77777777" w:rsidR="00D8530A" w:rsidRDefault="00000000">
      <w:pPr>
        <w:autoSpaceDE w:val="0"/>
        <w:autoSpaceDN w:val="0"/>
        <w:adjustRightInd w:val="0"/>
        <w:snapToGrid w:val="0"/>
        <w:spacing w:line="360" w:lineRule="auto"/>
        <w:ind w:firstLineChars="200" w:firstLine="480"/>
        <w:jc w:val="left"/>
        <w:rPr>
          <w:rFonts w:ascii="仿宋_GB2312" w:hAnsi="宋体" w:cs="宋体" w:hint="eastAsia"/>
          <w:bCs/>
          <w:kern w:val="0"/>
          <w:szCs w:val="24"/>
        </w:rPr>
      </w:pPr>
      <w:r>
        <w:rPr>
          <w:rFonts w:ascii="仿宋_GB2312" w:hAnsi="宋体" w:cs="宋体" w:hint="eastAsia"/>
          <w:bCs/>
          <w:kern w:val="0"/>
          <w:szCs w:val="24"/>
        </w:rPr>
        <w:t>4</w:t>
      </w:r>
      <w:r>
        <w:rPr>
          <w:rFonts w:ascii="仿宋_GB2312" w:hAnsi="宋体" w:cs="宋体"/>
          <w:bCs/>
          <w:kern w:val="0"/>
          <w:szCs w:val="24"/>
        </w:rPr>
        <w:t>.</w:t>
      </w:r>
      <w:r>
        <w:rPr>
          <w:rFonts w:ascii="仿宋_GB2312" w:hAnsi="宋体" w:cs="宋体" w:hint="eastAsia"/>
          <w:bCs/>
          <w:kern w:val="0"/>
          <w:szCs w:val="24"/>
        </w:rPr>
        <w:t>当前一估值日理财产品资产净值5</w:t>
      </w:r>
      <w:r>
        <w:rPr>
          <w:rFonts w:ascii="仿宋_GB2312" w:hAnsi="宋体" w:cs="宋体"/>
          <w:bCs/>
          <w:kern w:val="0"/>
          <w:szCs w:val="24"/>
        </w:rPr>
        <w:t>0</w:t>
      </w:r>
      <w:r>
        <w:rPr>
          <w:rFonts w:ascii="仿宋_GB2312" w:hAnsi="宋体" w:cs="宋体" w:hint="eastAsia"/>
          <w:bCs/>
          <w:kern w:val="0"/>
          <w:szCs w:val="24"/>
        </w:rPr>
        <w:t>%以上的资产不具备活跃市场或在活跃市场中无报价，且采用估值技术不能可靠计量公允价值时；</w:t>
      </w:r>
    </w:p>
    <w:p w14:paraId="301B459B" w14:textId="77777777" w:rsidR="00D8530A" w:rsidRDefault="00000000">
      <w:pPr>
        <w:autoSpaceDE w:val="0"/>
        <w:autoSpaceDN w:val="0"/>
        <w:adjustRightInd w:val="0"/>
        <w:snapToGrid w:val="0"/>
        <w:spacing w:line="360" w:lineRule="auto"/>
        <w:ind w:firstLineChars="200" w:firstLine="480"/>
        <w:jc w:val="left"/>
        <w:rPr>
          <w:rFonts w:ascii="仿宋_GB2312" w:hAnsi="宋体" w:cs="宋体" w:hint="eastAsia"/>
          <w:bCs/>
          <w:kern w:val="0"/>
          <w:szCs w:val="24"/>
        </w:rPr>
      </w:pPr>
      <w:r>
        <w:rPr>
          <w:rFonts w:ascii="仿宋_GB2312" w:hAnsi="宋体" w:cs="宋体"/>
          <w:bCs/>
          <w:kern w:val="0"/>
          <w:szCs w:val="24"/>
        </w:rPr>
        <w:t>5</w:t>
      </w:r>
      <w:r>
        <w:rPr>
          <w:rFonts w:ascii="仿宋_GB2312" w:hAnsi="宋体" w:cs="宋体" w:hint="eastAsia"/>
          <w:bCs/>
          <w:kern w:val="0"/>
          <w:szCs w:val="24"/>
        </w:rPr>
        <w:t>.国家金融监督管理总局认定的其他情形或理财产品管理人、托管人有合理理由认为将影响本理财产品估值的其他情形。</w:t>
      </w:r>
    </w:p>
    <w:p w14:paraId="62FBDA3E" w14:textId="77777777" w:rsidR="00D8530A" w:rsidRDefault="00000000">
      <w:pPr>
        <w:jc w:val="left"/>
        <w:rPr>
          <w:rFonts w:ascii="仿宋_GB2312" w:hAnsi="宋体" w:cs="宋体" w:hint="eastAsia"/>
          <w:bCs/>
          <w:kern w:val="0"/>
          <w:szCs w:val="24"/>
        </w:rPr>
      </w:pPr>
      <w:r>
        <w:rPr>
          <w:rFonts w:ascii="仿宋_GB2312" w:hAnsi="宋体" w:cs="宋体" w:hint="eastAsia"/>
          <w:bCs/>
          <w:kern w:val="0"/>
          <w:szCs w:val="24"/>
        </w:rPr>
        <w:br w:type="page"/>
      </w:r>
    </w:p>
    <w:p w14:paraId="482C2469" w14:textId="77777777" w:rsidR="00D8530A" w:rsidRDefault="00000000">
      <w:pPr>
        <w:pStyle w:val="1"/>
      </w:pPr>
      <w:r>
        <w:rPr>
          <w:rFonts w:hint="eastAsia"/>
        </w:rPr>
        <w:lastRenderedPageBreak/>
        <w:t>理财产品的利益分配</w:t>
      </w:r>
    </w:p>
    <w:p w14:paraId="4594C92F" w14:textId="77777777" w:rsidR="00D8530A" w:rsidRDefault="00000000">
      <w:pPr>
        <w:pStyle w:val="2"/>
        <w:ind w:firstLine="482"/>
      </w:pPr>
      <w:r>
        <w:rPr>
          <w:rFonts w:hint="eastAsia"/>
        </w:rPr>
        <w:t>理财产品的收益构成</w:t>
      </w:r>
    </w:p>
    <w:p w14:paraId="76717598" w14:textId="77777777" w:rsidR="00D8530A" w:rsidRDefault="00000000">
      <w:pPr>
        <w:pStyle w:val="2"/>
        <w:numPr>
          <w:ilvl w:val="0"/>
          <w:numId w:val="0"/>
        </w:numPr>
        <w:tabs>
          <w:tab w:val="left" w:pos="3261"/>
        </w:tabs>
        <w:ind w:firstLine="482"/>
      </w:pPr>
      <w:r>
        <w:rPr>
          <w:rFonts w:hint="eastAsia"/>
        </w:rPr>
        <w:t>本理财产品的收益包括：投资债券、货币市场工具等投资范围内的资产和监管机构认可的资产或资产管理产品所产生的利息收入、买卖证券差价收入、银行存款利息以及其他合法收入。该收益构成不代表投资者一定可以获得的收益。</w:t>
      </w:r>
    </w:p>
    <w:p w14:paraId="1EEC93CE" w14:textId="77777777" w:rsidR="00D8530A" w:rsidRDefault="00000000">
      <w:pPr>
        <w:pStyle w:val="2"/>
        <w:tabs>
          <w:tab w:val="clear" w:pos="709"/>
        </w:tabs>
        <w:ind w:firstLine="482"/>
      </w:pPr>
      <w:r>
        <w:rPr>
          <w:rFonts w:hint="eastAsia"/>
        </w:rPr>
        <w:t>理财收益的分配类型</w:t>
      </w:r>
    </w:p>
    <w:p w14:paraId="459ADC0E" w14:textId="77777777" w:rsidR="00D8530A" w:rsidRDefault="00000000">
      <w:pPr>
        <w:autoSpaceDE w:val="0"/>
        <w:autoSpaceDN w:val="0"/>
        <w:adjustRightInd w:val="0"/>
        <w:snapToGrid w:val="0"/>
        <w:spacing w:line="360" w:lineRule="auto"/>
        <w:ind w:firstLineChars="200" w:firstLine="480"/>
        <w:jc w:val="left"/>
        <w:rPr>
          <w:rFonts w:ascii="仿宋_GB2312" w:hAnsi="宋体" w:cs="宋体" w:hint="eastAsia"/>
          <w:bCs/>
          <w:kern w:val="0"/>
          <w:szCs w:val="24"/>
        </w:rPr>
      </w:pPr>
      <w:r>
        <w:rPr>
          <w:rFonts w:ascii="仿宋_GB2312" w:hAnsi="宋体" w:cs="宋体" w:hint="eastAsia"/>
          <w:bCs/>
          <w:kern w:val="0"/>
          <w:szCs w:val="24"/>
        </w:rPr>
        <w:t>1.依据分配时点，理财收益的分配可分为“期间分配”与“终止分配”。</w:t>
      </w:r>
    </w:p>
    <w:p w14:paraId="780D5FD9" w14:textId="77777777" w:rsidR="00D8530A" w:rsidRDefault="00000000">
      <w:pPr>
        <w:autoSpaceDE w:val="0"/>
        <w:autoSpaceDN w:val="0"/>
        <w:adjustRightInd w:val="0"/>
        <w:snapToGrid w:val="0"/>
        <w:spacing w:line="360" w:lineRule="auto"/>
        <w:ind w:firstLineChars="200" w:firstLine="480"/>
        <w:jc w:val="left"/>
        <w:rPr>
          <w:rFonts w:ascii="仿宋_GB2312" w:hAnsi="宋体" w:cs="宋体" w:hint="eastAsia"/>
          <w:bCs/>
          <w:kern w:val="0"/>
          <w:szCs w:val="24"/>
        </w:rPr>
      </w:pPr>
      <w:r>
        <w:rPr>
          <w:rFonts w:ascii="仿宋_GB2312" w:hAnsi="宋体" w:cs="宋体" w:hint="eastAsia"/>
          <w:bCs/>
          <w:kern w:val="0"/>
          <w:szCs w:val="24"/>
        </w:rPr>
        <w:t>2.依据分配方式，理财收益的分配可分为“现金分配”与“非现金分配”。</w:t>
      </w:r>
    </w:p>
    <w:p w14:paraId="153B4453" w14:textId="77777777" w:rsidR="00D8530A" w:rsidRDefault="00000000">
      <w:pPr>
        <w:pStyle w:val="2"/>
        <w:tabs>
          <w:tab w:val="clear" w:pos="709"/>
        </w:tabs>
        <w:ind w:firstLine="482"/>
      </w:pPr>
      <w:r>
        <w:rPr>
          <w:rFonts w:hint="eastAsia"/>
        </w:rPr>
        <w:t>理财收益的分配原则</w:t>
      </w:r>
    </w:p>
    <w:p w14:paraId="5F9DB5EF" w14:textId="77777777" w:rsidR="00D8530A" w:rsidRDefault="00000000">
      <w:pPr>
        <w:autoSpaceDE w:val="0"/>
        <w:autoSpaceDN w:val="0"/>
        <w:adjustRightInd w:val="0"/>
        <w:snapToGrid w:val="0"/>
        <w:spacing w:line="360" w:lineRule="auto"/>
        <w:ind w:firstLineChars="200" w:firstLine="480"/>
        <w:jc w:val="left"/>
        <w:rPr>
          <w:rFonts w:ascii="仿宋_GB2312" w:hAnsi="宋体" w:cs="宋体" w:hint="eastAsia"/>
          <w:bCs/>
          <w:kern w:val="0"/>
          <w:szCs w:val="24"/>
        </w:rPr>
      </w:pPr>
      <w:r>
        <w:rPr>
          <w:rFonts w:ascii="仿宋_GB2312" w:hAnsi="宋体" w:cs="宋体" w:hint="eastAsia"/>
          <w:bCs/>
          <w:kern w:val="0"/>
          <w:szCs w:val="24"/>
        </w:rPr>
        <w:t>1.本产品收益分配应遵循下列原则：</w:t>
      </w:r>
    </w:p>
    <w:p w14:paraId="68253A8A" w14:textId="77777777" w:rsidR="00D8530A" w:rsidRDefault="00000000">
      <w:pPr>
        <w:autoSpaceDE w:val="0"/>
        <w:autoSpaceDN w:val="0"/>
        <w:adjustRightInd w:val="0"/>
        <w:snapToGrid w:val="0"/>
        <w:spacing w:line="360" w:lineRule="auto"/>
        <w:ind w:firstLineChars="200" w:firstLine="480"/>
        <w:jc w:val="left"/>
        <w:rPr>
          <w:rFonts w:ascii="仿宋_GB2312" w:hAnsi="宋体" w:cs="宋体" w:hint="eastAsia"/>
          <w:bCs/>
          <w:kern w:val="0"/>
          <w:szCs w:val="24"/>
        </w:rPr>
      </w:pPr>
      <w:r>
        <w:rPr>
          <w:rFonts w:ascii="仿宋_GB2312" w:hAnsi="宋体" w:cs="宋体" w:hint="eastAsia"/>
          <w:bCs/>
          <w:kern w:val="0"/>
          <w:szCs w:val="24"/>
        </w:rPr>
        <w:t>（1）每一产品份额享有同等分配权。</w:t>
      </w:r>
    </w:p>
    <w:p w14:paraId="43CEB321" w14:textId="77777777" w:rsidR="00D8530A" w:rsidRDefault="00000000">
      <w:pPr>
        <w:autoSpaceDE w:val="0"/>
        <w:autoSpaceDN w:val="0"/>
        <w:adjustRightInd w:val="0"/>
        <w:snapToGrid w:val="0"/>
        <w:spacing w:line="360" w:lineRule="auto"/>
        <w:ind w:firstLineChars="200" w:firstLine="480"/>
        <w:jc w:val="left"/>
        <w:rPr>
          <w:rFonts w:ascii="仿宋_GB2312" w:hAnsi="宋体" w:cs="宋体" w:hint="eastAsia"/>
          <w:bCs/>
          <w:kern w:val="0"/>
          <w:szCs w:val="24"/>
        </w:rPr>
      </w:pPr>
      <w:r>
        <w:rPr>
          <w:rFonts w:ascii="仿宋_GB2312" w:hAnsi="宋体" w:cs="宋体" w:hint="eastAsia"/>
          <w:bCs/>
          <w:kern w:val="0"/>
          <w:szCs w:val="24"/>
        </w:rPr>
        <w:t>（2）在不</w:t>
      </w:r>
      <w:r>
        <w:rPr>
          <w:rFonts w:ascii="仿宋_GB2312" w:hAnsi="宋体" w:cs="宋体"/>
          <w:bCs/>
          <w:kern w:val="0"/>
          <w:szCs w:val="24"/>
        </w:rPr>
        <w:t>违反法律法规、理财产品销售文件约定以及对份额持有人权益无实质性不利影响的情况下，产品管理人可</w:t>
      </w:r>
      <w:r>
        <w:rPr>
          <w:rFonts w:ascii="仿宋_GB2312" w:hAnsi="宋体" w:cs="宋体" w:hint="eastAsia"/>
          <w:bCs/>
          <w:kern w:val="0"/>
          <w:szCs w:val="24"/>
        </w:rPr>
        <w:t>调整</w:t>
      </w:r>
      <w:r>
        <w:rPr>
          <w:rFonts w:ascii="仿宋_GB2312" w:hAnsi="宋体" w:cs="宋体"/>
          <w:bCs/>
          <w:kern w:val="0"/>
          <w:szCs w:val="24"/>
        </w:rPr>
        <w:t>本理财产品</w:t>
      </w:r>
      <w:r>
        <w:rPr>
          <w:rFonts w:ascii="仿宋_GB2312" w:hAnsi="宋体" w:cs="宋体" w:hint="eastAsia"/>
          <w:bCs/>
          <w:kern w:val="0"/>
          <w:szCs w:val="24"/>
        </w:rPr>
        <w:t>收益</w:t>
      </w:r>
      <w:r>
        <w:rPr>
          <w:rFonts w:ascii="仿宋_GB2312" w:hAnsi="宋体" w:cs="宋体"/>
          <w:bCs/>
          <w:kern w:val="0"/>
          <w:szCs w:val="24"/>
        </w:rPr>
        <w:t>的分配原则与支付方式。法律</w:t>
      </w:r>
      <w:r>
        <w:rPr>
          <w:rFonts w:ascii="仿宋_GB2312" w:hAnsi="宋体" w:cs="宋体" w:hint="eastAsia"/>
          <w:bCs/>
          <w:kern w:val="0"/>
          <w:szCs w:val="24"/>
        </w:rPr>
        <w:t>法规</w:t>
      </w:r>
      <w:r>
        <w:rPr>
          <w:rFonts w:ascii="仿宋_GB2312" w:hAnsi="宋体" w:cs="宋体"/>
          <w:bCs/>
          <w:kern w:val="0"/>
          <w:szCs w:val="24"/>
        </w:rPr>
        <w:t>或监管机构另有规定的从其规定。</w:t>
      </w:r>
    </w:p>
    <w:p w14:paraId="4FFFE82E" w14:textId="77777777" w:rsidR="00D8530A" w:rsidRDefault="00000000">
      <w:pPr>
        <w:pStyle w:val="2"/>
        <w:tabs>
          <w:tab w:val="clear" w:pos="709"/>
        </w:tabs>
        <w:autoSpaceDE w:val="0"/>
        <w:autoSpaceDN w:val="0"/>
        <w:adjustRightInd w:val="0"/>
        <w:snapToGrid w:val="0"/>
        <w:ind w:firstLine="482"/>
      </w:pPr>
      <w:r>
        <w:rPr>
          <w:rFonts w:hint="eastAsia"/>
        </w:rPr>
        <w:t>理财收益的分配方案</w:t>
      </w:r>
      <w:r>
        <w:rPr>
          <w:rFonts w:hint="eastAsia"/>
        </w:rPr>
        <w:t xml:space="preserve"> </w:t>
      </w:r>
    </w:p>
    <w:p w14:paraId="517F0A27" w14:textId="77777777" w:rsidR="00D8530A" w:rsidRDefault="00000000">
      <w:pPr>
        <w:autoSpaceDE w:val="0"/>
        <w:autoSpaceDN w:val="0"/>
        <w:adjustRightInd w:val="0"/>
        <w:snapToGrid w:val="0"/>
        <w:spacing w:line="360" w:lineRule="auto"/>
        <w:ind w:firstLineChars="200" w:firstLine="480"/>
        <w:jc w:val="left"/>
      </w:pPr>
      <w:r>
        <w:rPr>
          <w:rFonts w:ascii="仿宋_GB2312" w:hAnsi="宋体" w:cs="宋体" w:hint="eastAsia"/>
          <w:bCs/>
          <w:kern w:val="0"/>
          <w:szCs w:val="24"/>
        </w:rPr>
        <w:t>1.</w:t>
      </w:r>
      <w:r>
        <w:rPr>
          <w:rFonts w:hint="eastAsia"/>
        </w:rPr>
        <w:t>分配方案要点：</w:t>
      </w:r>
    </w:p>
    <w:p w14:paraId="6C555A27" w14:textId="77777777" w:rsidR="00D8530A" w:rsidRDefault="00000000">
      <w:pPr>
        <w:autoSpaceDE w:val="0"/>
        <w:autoSpaceDN w:val="0"/>
        <w:adjustRightInd w:val="0"/>
        <w:snapToGrid w:val="0"/>
        <w:spacing w:line="360" w:lineRule="auto"/>
        <w:ind w:firstLineChars="200" w:firstLine="480"/>
        <w:jc w:val="left"/>
        <w:rPr>
          <w:rFonts w:ascii="仿宋_GB2312" w:hAnsi="宋体" w:cs="宋体" w:hint="eastAsia"/>
          <w:bCs/>
          <w:kern w:val="0"/>
          <w:szCs w:val="24"/>
        </w:rPr>
      </w:pPr>
      <w:r>
        <w:rPr>
          <w:rFonts w:ascii="仿宋_GB2312" w:hAnsi="宋体" w:cs="宋体" w:hint="eastAsia"/>
          <w:bCs/>
          <w:kern w:val="0"/>
          <w:szCs w:val="24"/>
        </w:rPr>
        <w:t>（</w:t>
      </w:r>
      <w:r>
        <w:rPr>
          <w:rFonts w:ascii="仿宋_GB2312" w:hAnsi="宋体" w:cs="宋体"/>
          <w:bCs/>
          <w:kern w:val="0"/>
          <w:szCs w:val="24"/>
        </w:rPr>
        <w:t>1）</w:t>
      </w:r>
      <w:r>
        <w:rPr>
          <w:rFonts w:ascii="仿宋_GB2312" w:hAnsi="宋体" w:cs="宋体" w:hint="eastAsia"/>
          <w:bCs/>
          <w:kern w:val="0"/>
          <w:szCs w:val="24"/>
        </w:rPr>
        <w:t>本</w:t>
      </w:r>
      <w:r>
        <w:rPr>
          <w:rFonts w:ascii="仿宋_GB2312" w:hAnsi="宋体" w:cs="宋体"/>
          <w:bCs/>
          <w:kern w:val="0"/>
          <w:szCs w:val="24"/>
        </w:rPr>
        <w:t>理财产品的分配时点包括</w:t>
      </w:r>
      <w:r>
        <w:rPr>
          <w:rFonts w:ascii="仿宋_GB2312" w:hAnsi="宋体" w:cs="宋体" w:hint="eastAsia"/>
          <w:bCs/>
          <w:kern w:val="0"/>
          <w:szCs w:val="24"/>
        </w:rPr>
        <w:t>【“终止分配”】。</w:t>
      </w:r>
    </w:p>
    <w:p w14:paraId="20D563FC" w14:textId="77777777" w:rsidR="00D8530A" w:rsidRDefault="00000000">
      <w:pPr>
        <w:autoSpaceDE w:val="0"/>
        <w:autoSpaceDN w:val="0"/>
        <w:adjustRightInd w:val="0"/>
        <w:snapToGrid w:val="0"/>
        <w:spacing w:line="360" w:lineRule="auto"/>
        <w:ind w:firstLineChars="200" w:firstLine="480"/>
        <w:jc w:val="left"/>
        <w:rPr>
          <w:rFonts w:ascii="仿宋_GB2312" w:hAnsi="宋体" w:cs="宋体" w:hint="eastAsia"/>
          <w:bCs/>
          <w:kern w:val="0"/>
          <w:szCs w:val="24"/>
        </w:rPr>
      </w:pPr>
      <w:r>
        <w:rPr>
          <w:rFonts w:ascii="仿宋_GB2312" w:hAnsi="宋体" w:cs="宋体" w:hint="eastAsia"/>
          <w:bCs/>
          <w:kern w:val="0"/>
          <w:szCs w:val="24"/>
        </w:rPr>
        <w:t>（2</w:t>
      </w:r>
      <w:r>
        <w:rPr>
          <w:rFonts w:ascii="仿宋_GB2312" w:hAnsi="宋体" w:cs="宋体"/>
          <w:bCs/>
          <w:kern w:val="0"/>
          <w:szCs w:val="24"/>
        </w:rPr>
        <w:t>）</w:t>
      </w:r>
      <w:r>
        <w:rPr>
          <w:rFonts w:ascii="仿宋_GB2312" w:hAnsi="宋体" w:cs="宋体" w:hint="eastAsia"/>
          <w:bCs/>
          <w:kern w:val="0"/>
          <w:szCs w:val="24"/>
        </w:rPr>
        <w:t>本</w:t>
      </w:r>
      <w:r>
        <w:rPr>
          <w:rFonts w:ascii="仿宋_GB2312" w:hAnsi="宋体" w:cs="宋体"/>
          <w:bCs/>
          <w:kern w:val="0"/>
          <w:szCs w:val="24"/>
        </w:rPr>
        <w:t>理财产品的分配</w:t>
      </w:r>
      <w:r>
        <w:rPr>
          <w:rFonts w:ascii="仿宋_GB2312" w:hAnsi="宋体" w:cs="宋体" w:hint="eastAsia"/>
          <w:bCs/>
          <w:kern w:val="0"/>
          <w:szCs w:val="24"/>
        </w:rPr>
        <w:t>方式</w:t>
      </w:r>
      <w:r>
        <w:rPr>
          <w:rFonts w:ascii="仿宋_GB2312" w:hAnsi="宋体" w:cs="宋体"/>
          <w:bCs/>
          <w:kern w:val="0"/>
          <w:szCs w:val="24"/>
        </w:rPr>
        <w:t>采取</w:t>
      </w:r>
      <w:r>
        <w:rPr>
          <w:rFonts w:ascii="仿宋_GB2312" w:hAnsi="宋体" w:cs="宋体" w:hint="eastAsia"/>
          <w:bCs/>
          <w:kern w:val="0"/>
          <w:szCs w:val="24"/>
        </w:rPr>
        <w:t>【“现金分配”】。</w:t>
      </w:r>
    </w:p>
    <w:p w14:paraId="0D00753A" w14:textId="77777777" w:rsidR="00D8530A" w:rsidRDefault="00000000">
      <w:pPr>
        <w:autoSpaceDE w:val="0"/>
        <w:autoSpaceDN w:val="0"/>
        <w:adjustRightInd w:val="0"/>
        <w:snapToGrid w:val="0"/>
        <w:spacing w:line="360" w:lineRule="auto"/>
        <w:ind w:firstLineChars="200" w:firstLine="480"/>
        <w:jc w:val="left"/>
        <w:rPr>
          <w:rFonts w:ascii="仿宋_GB2312" w:hAnsi="宋体" w:cs="宋体" w:hint="eastAsia"/>
          <w:bCs/>
          <w:kern w:val="0"/>
          <w:szCs w:val="24"/>
        </w:rPr>
      </w:pPr>
      <w:r>
        <w:rPr>
          <w:rFonts w:ascii="仿宋_GB2312" w:hAnsi="宋体" w:cs="宋体"/>
          <w:bCs/>
          <w:kern w:val="0"/>
          <w:szCs w:val="24"/>
        </w:rPr>
        <w:t>2.</w:t>
      </w:r>
      <w:r>
        <w:rPr>
          <w:rFonts w:ascii="仿宋_GB2312" w:hAnsi="宋体" w:cs="宋体" w:hint="eastAsia"/>
          <w:bCs/>
          <w:kern w:val="0"/>
          <w:szCs w:val="24"/>
        </w:rPr>
        <w:t>具体</w:t>
      </w:r>
      <w:r>
        <w:rPr>
          <w:rFonts w:ascii="仿宋_GB2312" w:hAnsi="宋体" w:cs="宋体"/>
          <w:bCs/>
          <w:kern w:val="0"/>
          <w:szCs w:val="24"/>
        </w:rPr>
        <w:t>理财产品</w:t>
      </w:r>
      <w:r>
        <w:rPr>
          <w:rFonts w:ascii="仿宋_GB2312" w:hAnsi="宋体" w:cs="宋体" w:hint="eastAsia"/>
          <w:bCs/>
          <w:kern w:val="0"/>
          <w:szCs w:val="24"/>
        </w:rPr>
        <w:t>收益</w:t>
      </w:r>
      <w:r>
        <w:rPr>
          <w:rFonts w:ascii="仿宋_GB2312" w:hAnsi="宋体" w:cs="宋体"/>
          <w:bCs/>
          <w:kern w:val="0"/>
          <w:szCs w:val="24"/>
        </w:rPr>
        <w:t>分配方案由产品管理人拟定，并由产品托管人复核后确定。</w:t>
      </w:r>
    </w:p>
    <w:p w14:paraId="7FB7D83A" w14:textId="77777777" w:rsidR="00D8530A" w:rsidRDefault="00000000">
      <w:pPr>
        <w:autoSpaceDE w:val="0"/>
        <w:autoSpaceDN w:val="0"/>
        <w:adjustRightInd w:val="0"/>
        <w:snapToGrid w:val="0"/>
        <w:spacing w:line="360" w:lineRule="auto"/>
        <w:ind w:firstLineChars="200" w:firstLine="480"/>
        <w:jc w:val="left"/>
        <w:rPr>
          <w:rFonts w:ascii="仿宋_GB2312" w:hAnsi="宋体" w:cs="宋体" w:hint="eastAsia"/>
          <w:bCs/>
          <w:kern w:val="0"/>
          <w:szCs w:val="24"/>
        </w:rPr>
      </w:pPr>
      <w:r>
        <w:rPr>
          <w:rFonts w:ascii="仿宋_GB2312" w:hAnsi="宋体" w:cs="宋体" w:hint="eastAsia"/>
          <w:bCs/>
          <w:kern w:val="0"/>
          <w:szCs w:val="24"/>
        </w:rPr>
        <w:t>3.理财</w:t>
      </w:r>
      <w:r>
        <w:rPr>
          <w:rFonts w:ascii="仿宋_GB2312" w:hAnsi="宋体" w:cs="宋体"/>
          <w:bCs/>
          <w:kern w:val="0"/>
          <w:szCs w:val="24"/>
        </w:rPr>
        <w:t>产品存续期间，产品管理人有权</w:t>
      </w:r>
      <w:r>
        <w:rPr>
          <w:rFonts w:ascii="仿宋_GB2312" w:hAnsi="宋体" w:cs="宋体" w:hint="eastAsia"/>
          <w:bCs/>
          <w:kern w:val="0"/>
          <w:szCs w:val="24"/>
        </w:rPr>
        <w:t>视</w:t>
      </w:r>
      <w:r>
        <w:rPr>
          <w:rFonts w:ascii="仿宋_GB2312" w:hAnsi="宋体" w:cs="宋体"/>
          <w:bCs/>
          <w:kern w:val="0"/>
          <w:szCs w:val="24"/>
        </w:rPr>
        <w:t>理财产品收益情况进行主动分配，相应</w:t>
      </w:r>
      <w:r>
        <w:rPr>
          <w:rFonts w:ascii="仿宋_GB2312" w:hAnsi="宋体" w:cs="宋体" w:hint="eastAsia"/>
          <w:bCs/>
          <w:kern w:val="0"/>
          <w:szCs w:val="24"/>
        </w:rPr>
        <w:t>收益</w:t>
      </w:r>
      <w:r>
        <w:rPr>
          <w:rFonts w:ascii="仿宋_GB2312" w:hAnsi="宋体" w:cs="宋体"/>
          <w:bCs/>
          <w:kern w:val="0"/>
          <w:szCs w:val="24"/>
        </w:rPr>
        <w:t>分配基准日、分配方案由管理人及时披露。</w:t>
      </w:r>
    </w:p>
    <w:p w14:paraId="10765B29" w14:textId="77777777" w:rsidR="00D8530A" w:rsidRDefault="00000000">
      <w:pPr>
        <w:pStyle w:val="2"/>
        <w:ind w:firstLine="482"/>
      </w:pPr>
      <w:r>
        <w:rPr>
          <w:rFonts w:hint="eastAsia"/>
        </w:rPr>
        <w:t>理财收益的分配</w:t>
      </w:r>
    </w:p>
    <w:p w14:paraId="32700D47" w14:textId="77777777" w:rsidR="00D8530A" w:rsidRDefault="00000000">
      <w:pPr>
        <w:autoSpaceDE w:val="0"/>
        <w:autoSpaceDN w:val="0"/>
        <w:adjustRightInd w:val="0"/>
        <w:snapToGrid w:val="0"/>
        <w:spacing w:line="360" w:lineRule="auto"/>
        <w:ind w:firstLineChars="200" w:firstLine="480"/>
        <w:jc w:val="left"/>
        <w:rPr>
          <w:rFonts w:ascii="仿宋_GB2312" w:hAnsi="宋体" w:cs="宋体" w:hint="eastAsia"/>
          <w:bCs/>
          <w:kern w:val="0"/>
          <w:szCs w:val="24"/>
        </w:rPr>
      </w:pPr>
      <w:r>
        <w:rPr>
          <w:rFonts w:ascii="仿宋_GB2312" w:hAnsi="宋体" w:cs="宋体" w:hint="eastAsia"/>
          <w:bCs/>
          <w:kern w:val="0"/>
          <w:szCs w:val="24"/>
        </w:rPr>
        <w:t>1.理财收益</w:t>
      </w:r>
      <w:r>
        <w:rPr>
          <w:rFonts w:ascii="仿宋_GB2312" w:hAnsi="宋体" w:cs="宋体"/>
          <w:bCs/>
          <w:kern w:val="0"/>
          <w:szCs w:val="24"/>
        </w:rPr>
        <w:t>的分配日</w:t>
      </w:r>
    </w:p>
    <w:p w14:paraId="0751488D" w14:textId="77777777" w:rsidR="00D8530A" w:rsidRDefault="00000000">
      <w:pPr>
        <w:autoSpaceDE w:val="0"/>
        <w:autoSpaceDN w:val="0"/>
        <w:adjustRightInd w:val="0"/>
        <w:snapToGrid w:val="0"/>
        <w:spacing w:line="360" w:lineRule="auto"/>
        <w:ind w:firstLineChars="200" w:firstLine="480"/>
        <w:jc w:val="left"/>
        <w:rPr>
          <w:rFonts w:ascii="仿宋_GB2312" w:hAnsi="宋体" w:cs="宋体" w:hint="eastAsia"/>
          <w:bCs/>
          <w:kern w:val="0"/>
          <w:szCs w:val="24"/>
        </w:rPr>
      </w:pPr>
      <w:r>
        <w:rPr>
          <w:rFonts w:ascii="仿宋_GB2312" w:hAnsi="宋体" w:cs="宋体" w:hint="eastAsia"/>
          <w:bCs/>
          <w:kern w:val="0"/>
          <w:szCs w:val="24"/>
        </w:rPr>
        <w:lastRenderedPageBreak/>
        <w:t>（1</w:t>
      </w:r>
      <w:r>
        <w:rPr>
          <w:rFonts w:ascii="仿宋_GB2312" w:hAnsi="宋体" w:cs="宋体"/>
          <w:bCs/>
          <w:kern w:val="0"/>
          <w:szCs w:val="24"/>
        </w:rPr>
        <w:t>）</w:t>
      </w:r>
      <w:r>
        <w:rPr>
          <w:rFonts w:ascii="仿宋_GB2312" w:hAnsi="宋体" w:cs="宋体" w:hint="eastAsia"/>
          <w:bCs/>
          <w:kern w:val="0"/>
          <w:szCs w:val="24"/>
        </w:rPr>
        <w:t>若</w:t>
      </w:r>
      <w:r>
        <w:rPr>
          <w:rFonts w:ascii="仿宋_GB2312" w:hAnsi="宋体" w:cs="宋体"/>
          <w:bCs/>
          <w:kern w:val="0"/>
          <w:szCs w:val="24"/>
        </w:rPr>
        <w:t>为期间分配的，原则上产品管理人应于分配基准日后</w:t>
      </w:r>
      <w:r>
        <w:rPr>
          <w:rFonts w:ascii="仿宋_GB2312" w:hAnsi="宋体" w:cs="宋体" w:hint="eastAsia"/>
          <w:bCs/>
          <w:kern w:val="0"/>
          <w:szCs w:val="24"/>
        </w:rPr>
        <w:t>【5】个工作日</w:t>
      </w:r>
      <w:r>
        <w:rPr>
          <w:rFonts w:ascii="仿宋_GB2312" w:hAnsi="宋体" w:cs="宋体"/>
          <w:bCs/>
          <w:kern w:val="0"/>
          <w:szCs w:val="24"/>
        </w:rPr>
        <w:t>内分配理财</w:t>
      </w:r>
      <w:r>
        <w:rPr>
          <w:rFonts w:ascii="仿宋_GB2312" w:hAnsi="宋体" w:cs="宋体" w:hint="eastAsia"/>
          <w:bCs/>
          <w:kern w:val="0"/>
          <w:szCs w:val="24"/>
        </w:rPr>
        <w:t>收益</w:t>
      </w:r>
      <w:r>
        <w:rPr>
          <w:rFonts w:ascii="仿宋_GB2312" w:hAnsi="宋体" w:cs="宋体"/>
          <w:bCs/>
          <w:kern w:val="0"/>
          <w:szCs w:val="24"/>
        </w:rPr>
        <w:t>（</w:t>
      </w:r>
      <w:r>
        <w:rPr>
          <w:rFonts w:ascii="仿宋_GB2312" w:hAnsi="宋体" w:cs="宋体" w:hint="eastAsia"/>
          <w:bCs/>
          <w:kern w:val="0"/>
          <w:szCs w:val="24"/>
        </w:rPr>
        <w:t>如有</w:t>
      </w:r>
      <w:r>
        <w:rPr>
          <w:rFonts w:ascii="仿宋_GB2312" w:hAnsi="宋体" w:cs="宋体"/>
          <w:bCs/>
          <w:kern w:val="0"/>
          <w:szCs w:val="24"/>
        </w:rPr>
        <w:t>）</w:t>
      </w:r>
      <w:r>
        <w:rPr>
          <w:rFonts w:ascii="仿宋_GB2312" w:hAnsi="宋体" w:cs="宋体" w:hint="eastAsia"/>
          <w:bCs/>
          <w:kern w:val="0"/>
          <w:szCs w:val="24"/>
        </w:rPr>
        <w:t>。</w:t>
      </w:r>
    </w:p>
    <w:p w14:paraId="2A75CACE" w14:textId="77777777" w:rsidR="00D8530A" w:rsidRDefault="00000000">
      <w:pPr>
        <w:autoSpaceDE w:val="0"/>
        <w:autoSpaceDN w:val="0"/>
        <w:adjustRightInd w:val="0"/>
        <w:snapToGrid w:val="0"/>
        <w:spacing w:line="360" w:lineRule="auto"/>
        <w:ind w:firstLineChars="200" w:firstLine="480"/>
        <w:jc w:val="left"/>
        <w:rPr>
          <w:rFonts w:ascii="仿宋_GB2312" w:hAnsi="宋体" w:cs="宋体" w:hint="eastAsia"/>
          <w:bCs/>
          <w:kern w:val="0"/>
          <w:szCs w:val="24"/>
        </w:rPr>
      </w:pPr>
      <w:r>
        <w:rPr>
          <w:rFonts w:ascii="仿宋_GB2312" w:hAnsi="宋体" w:cs="宋体" w:hint="eastAsia"/>
          <w:bCs/>
          <w:kern w:val="0"/>
          <w:szCs w:val="24"/>
        </w:rPr>
        <w:t>（2</w:t>
      </w:r>
      <w:r>
        <w:rPr>
          <w:rFonts w:ascii="仿宋_GB2312" w:hAnsi="宋体" w:cs="宋体"/>
          <w:bCs/>
          <w:kern w:val="0"/>
          <w:szCs w:val="24"/>
        </w:rPr>
        <w:t>）</w:t>
      </w:r>
      <w:r>
        <w:rPr>
          <w:rFonts w:ascii="仿宋_GB2312" w:hAnsi="宋体" w:cs="宋体" w:hint="eastAsia"/>
          <w:bCs/>
          <w:kern w:val="0"/>
          <w:szCs w:val="24"/>
        </w:rPr>
        <w:t>若为</w:t>
      </w:r>
      <w:r>
        <w:rPr>
          <w:rFonts w:ascii="仿宋_GB2312" w:hAnsi="宋体" w:cs="宋体"/>
          <w:bCs/>
          <w:kern w:val="0"/>
          <w:szCs w:val="24"/>
        </w:rPr>
        <w:t>终止分配的，</w:t>
      </w:r>
      <w:r>
        <w:rPr>
          <w:rFonts w:ascii="仿宋_GB2312" w:hAnsi="宋体" w:cs="宋体" w:hint="eastAsia"/>
          <w:bCs/>
          <w:kern w:val="0"/>
          <w:szCs w:val="24"/>
        </w:rPr>
        <w:t>产品</w:t>
      </w:r>
      <w:r>
        <w:rPr>
          <w:rFonts w:ascii="仿宋_GB2312" w:hAnsi="宋体" w:cs="宋体"/>
          <w:bCs/>
          <w:kern w:val="0"/>
          <w:szCs w:val="24"/>
        </w:rPr>
        <w:t>管理人应按</w:t>
      </w:r>
      <w:r>
        <w:rPr>
          <w:rFonts w:ascii="仿宋_GB2312" w:hAnsi="宋体" w:cs="宋体"/>
          <w:bCs/>
          <w:kern w:val="0"/>
          <w:szCs w:val="24"/>
        </w:rPr>
        <w:t>“</w:t>
      </w:r>
      <w:r>
        <w:rPr>
          <w:rFonts w:ascii="仿宋_GB2312" w:hAnsi="宋体" w:cs="宋体" w:hint="eastAsia"/>
          <w:bCs/>
          <w:kern w:val="0"/>
          <w:szCs w:val="24"/>
        </w:rPr>
        <w:t>第十一</w:t>
      </w:r>
      <w:proofErr w:type="gramStart"/>
      <w:r>
        <w:rPr>
          <w:rFonts w:ascii="仿宋_GB2312" w:hAnsi="宋体" w:cs="宋体" w:hint="eastAsia"/>
          <w:bCs/>
          <w:kern w:val="0"/>
          <w:szCs w:val="24"/>
        </w:rPr>
        <w:t>节 理财</w:t>
      </w:r>
      <w:proofErr w:type="gramEnd"/>
      <w:r>
        <w:rPr>
          <w:rFonts w:ascii="仿宋_GB2312" w:hAnsi="宋体" w:cs="宋体"/>
          <w:bCs/>
          <w:kern w:val="0"/>
          <w:szCs w:val="24"/>
        </w:rPr>
        <w:t>产品</w:t>
      </w:r>
      <w:r>
        <w:rPr>
          <w:rFonts w:ascii="仿宋_GB2312" w:hAnsi="宋体" w:cs="宋体" w:hint="eastAsia"/>
          <w:bCs/>
          <w:kern w:val="0"/>
          <w:szCs w:val="24"/>
        </w:rPr>
        <w:t>的</w:t>
      </w:r>
      <w:r>
        <w:rPr>
          <w:rFonts w:ascii="仿宋_GB2312" w:hAnsi="宋体" w:cs="宋体"/>
          <w:bCs/>
          <w:kern w:val="0"/>
          <w:szCs w:val="24"/>
        </w:rPr>
        <w:t>终止与清算</w:t>
      </w:r>
      <w:r>
        <w:rPr>
          <w:rFonts w:ascii="仿宋_GB2312" w:hAnsi="宋体" w:cs="宋体"/>
          <w:bCs/>
          <w:kern w:val="0"/>
          <w:szCs w:val="24"/>
        </w:rPr>
        <w:t>”</w:t>
      </w:r>
      <w:r>
        <w:rPr>
          <w:rFonts w:ascii="仿宋_GB2312" w:hAnsi="宋体" w:cs="宋体" w:hint="eastAsia"/>
          <w:bCs/>
          <w:kern w:val="0"/>
          <w:szCs w:val="24"/>
        </w:rPr>
        <w:t>中</w:t>
      </w:r>
      <w:r>
        <w:rPr>
          <w:rFonts w:ascii="仿宋_GB2312" w:hAnsi="宋体" w:cs="宋体"/>
          <w:bCs/>
          <w:kern w:val="0"/>
          <w:szCs w:val="24"/>
        </w:rPr>
        <w:t>产品清算期的相关约定向投资者分配</w:t>
      </w:r>
      <w:r>
        <w:rPr>
          <w:rFonts w:ascii="仿宋_GB2312" w:hAnsi="宋体" w:cs="宋体" w:hint="eastAsia"/>
          <w:bCs/>
          <w:kern w:val="0"/>
          <w:szCs w:val="24"/>
        </w:rPr>
        <w:t>理财收益</w:t>
      </w:r>
      <w:r>
        <w:rPr>
          <w:rFonts w:ascii="仿宋_GB2312" w:hAnsi="宋体" w:cs="宋体"/>
          <w:bCs/>
          <w:kern w:val="0"/>
          <w:szCs w:val="24"/>
        </w:rPr>
        <w:t>（</w:t>
      </w:r>
      <w:r>
        <w:rPr>
          <w:rFonts w:ascii="仿宋_GB2312" w:hAnsi="宋体" w:cs="宋体" w:hint="eastAsia"/>
          <w:bCs/>
          <w:kern w:val="0"/>
          <w:szCs w:val="24"/>
        </w:rPr>
        <w:t>如有</w:t>
      </w:r>
      <w:r>
        <w:rPr>
          <w:rFonts w:ascii="仿宋_GB2312" w:hAnsi="宋体" w:cs="宋体"/>
          <w:bCs/>
          <w:kern w:val="0"/>
          <w:szCs w:val="24"/>
        </w:rPr>
        <w:t>）</w:t>
      </w:r>
      <w:r>
        <w:rPr>
          <w:rFonts w:ascii="仿宋_GB2312" w:hAnsi="宋体" w:cs="宋体" w:hint="eastAsia"/>
          <w:bCs/>
          <w:kern w:val="0"/>
          <w:szCs w:val="24"/>
        </w:rPr>
        <w:t>。</w:t>
      </w:r>
    </w:p>
    <w:p w14:paraId="332FEB98" w14:textId="77777777" w:rsidR="00D8530A" w:rsidRDefault="00000000">
      <w:pPr>
        <w:autoSpaceDE w:val="0"/>
        <w:autoSpaceDN w:val="0"/>
        <w:adjustRightInd w:val="0"/>
        <w:snapToGrid w:val="0"/>
        <w:spacing w:line="360" w:lineRule="auto"/>
        <w:ind w:firstLineChars="200" w:firstLine="480"/>
        <w:jc w:val="left"/>
        <w:rPr>
          <w:rFonts w:ascii="仿宋_GB2312" w:hAnsi="宋体" w:cs="宋体" w:hint="eastAsia"/>
          <w:bCs/>
          <w:kern w:val="0"/>
          <w:szCs w:val="24"/>
        </w:rPr>
      </w:pPr>
      <w:r>
        <w:rPr>
          <w:rFonts w:ascii="仿宋_GB2312" w:hAnsi="宋体" w:cs="宋体"/>
          <w:bCs/>
          <w:kern w:val="0"/>
          <w:szCs w:val="24"/>
        </w:rPr>
        <w:t>2.</w:t>
      </w:r>
      <w:r>
        <w:rPr>
          <w:rFonts w:ascii="仿宋_GB2312" w:hAnsi="宋体" w:cs="宋体" w:hint="eastAsia"/>
          <w:bCs/>
          <w:kern w:val="0"/>
          <w:szCs w:val="24"/>
        </w:rPr>
        <w:t>具体</w:t>
      </w:r>
      <w:r>
        <w:rPr>
          <w:rFonts w:ascii="仿宋_GB2312" w:hAnsi="宋体" w:cs="宋体"/>
          <w:bCs/>
          <w:kern w:val="0"/>
          <w:szCs w:val="24"/>
        </w:rPr>
        <w:t>的理财产品分配</w:t>
      </w:r>
      <w:r>
        <w:rPr>
          <w:rFonts w:ascii="仿宋_GB2312" w:hAnsi="宋体" w:cs="宋体" w:hint="eastAsia"/>
          <w:bCs/>
          <w:kern w:val="0"/>
          <w:szCs w:val="24"/>
        </w:rPr>
        <w:t>以</w:t>
      </w:r>
      <w:r>
        <w:rPr>
          <w:rFonts w:ascii="仿宋_GB2312" w:hAnsi="宋体" w:cs="宋体"/>
          <w:bCs/>
          <w:kern w:val="0"/>
          <w:szCs w:val="24"/>
        </w:rPr>
        <w:t>管理人实际分配的为准。</w:t>
      </w:r>
    </w:p>
    <w:p w14:paraId="659F8F6D" w14:textId="77777777" w:rsidR="00D8530A" w:rsidRDefault="00000000">
      <w:pPr>
        <w:widowControl/>
        <w:jc w:val="left"/>
        <w:rPr>
          <w:rFonts w:ascii="仿宋_GB2312" w:eastAsia="宋体" w:hAnsi="宋体" w:cs="宋体" w:hint="eastAsia"/>
          <w:bCs/>
          <w:kern w:val="0"/>
          <w:szCs w:val="24"/>
        </w:rPr>
      </w:pPr>
      <w:r>
        <w:rPr>
          <w:rFonts w:ascii="仿宋_GB2312" w:hAnsi="宋体"/>
          <w:bCs/>
        </w:rPr>
        <w:br w:type="page"/>
      </w:r>
    </w:p>
    <w:p w14:paraId="49857DFE" w14:textId="77777777" w:rsidR="00D8530A" w:rsidRDefault="00000000">
      <w:pPr>
        <w:pStyle w:val="1"/>
      </w:pPr>
      <w:r>
        <w:rPr>
          <w:rFonts w:hint="eastAsia"/>
        </w:rPr>
        <w:lastRenderedPageBreak/>
        <w:t>理财产品的费用与税收</w:t>
      </w:r>
    </w:p>
    <w:p w14:paraId="52F790C9" w14:textId="77777777" w:rsidR="00D8530A" w:rsidRDefault="00000000">
      <w:pPr>
        <w:pStyle w:val="2"/>
        <w:ind w:firstLine="482"/>
      </w:pPr>
      <w:r>
        <w:rPr>
          <w:rFonts w:hint="eastAsia"/>
        </w:rPr>
        <w:t>理财费用</w:t>
      </w:r>
    </w:p>
    <w:p w14:paraId="1E1BFFFC"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bCs/>
          <w:kern w:val="0"/>
          <w:szCs w:val="24"/>
        </w:rPr>
        <w:t>1.理财产品费用的种类</w:t>
      </w:r>
    </w:p>
    <w:p w14:paraId="644C9E90"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bCs/>
          <w:kern w:val="0"/>
          <w:szCs w:val="24"/>
        </w:rPr>
        <w:t>（1）理财产品的认购费、申购费、赎回费；</w:t>
      </w:r>
    </w:p>
    <w:p w14:paraId="4FAF9D9C"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bCs/>
          <w:kern w:val="0"/>
          <w:szCs w:val="24"/>
        </w:rPr>
        <w:t>（2）理财产品的销售服务费；</w:t>
      </w:r>
    </w:p>
    <w:p w14:paraId="01D56DF5"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bCs/>
          <w:kern w:val="0"/>
          <w:szCs w:val="24"/>
        </w:rPr>
        <w:t>（3）理财产品的</w:t>
      </w:r>
      <w:r>
        <w:rPr>
          <w:rFonts w:ascii="仿宋_GB2312" w:hAnsi="宋体" w:cs="宋体" w:hint="eastAsia"/>
          <w:bCs/>
          <w:kern w:val="0"/>
          <w:szCs w:val="24"/>
        </w:rPr>
        <w:t>固定管理费</w:t>
      </w:r>
      <w:r>
        <w:rPr>
          <w:rFonts w:ascii="仿宋_GB2312" w:hAnsi="宋体" w:cs="宋体"/>
          <w:bCs/>
          <w:kern w:val="0"/>
          <w:szCs w:val="24"/>
        </w:rPr>
        <w:t>及</w:t>
      </w:r>
      <w:r>
        <w:rPr>
          <w:rFonts w:ascii="仿宋_GB2312" w:hAnsi="宋体" w:cs="宋体" w:hint="eastAsia"/>
          <w:bCs/>
          <w:kern w:val="0"/>
          <w:szCs w:val="24"/>
        </w:rPr>
        <w:t>浮动管理费</w:t>
      </w:r>
      <w:r>
        <w:rPr>
          <w:rFonts w:ascii="仿宋_GB2312" w:hAnsi="宋体" w:cs="宋体"/>
          <w:bCs/>
          <w:kern w:val="0"/>
          <w:szCs w:val="24"/>
        </w:rPr>
        <w:t>；</w:t>
      </w:r>
    </w:p>
    <w:p w14:paraId="58A8C06C"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bCs/>
          <w:kern w:val="0"/>
          <w:szCs w:val="24"/>
        </w:rPr>
        <w:t>（4）理财产品的</w:t>
      </w:r>
      <w:r>
        <w:rPr>
          <w:rFonts w:ascii="仿宋_GB2312" w:hAnsi="宋体" w:cs="宋体" w:hint="eastAsia"/>
          <w:bCs/>
          <w:kern w:val="0"/>
          <w:szCs w:val="24"/>
        </w:rPr>
        <w:t>托管费</w:t>
      </w:r>
      <w:r>
        <w:rPr>
          <w:rFonts w:ascii="仿宋_GB2312" w:hAnsi="宋体" w:cs="宋体"/>
          <w:bCs/>
          <w:kern w:val="0"/>
          <w:szCs w:val="24"/>
        </w:rPr>
        <w:t>；</w:t>
      </w:r>
    </w:p>
    <w:p w14:paraId="14761C5C"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（5）理财产品的信息服务费；</w:t>
      </w:r>
    </w:p>
    <w:p w14:paraId="0A66EBDD"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bCs/>
          <w:kern w:val="0"/>
          <w:szCs w:val="24"/>
        </w:rPr>
        <w:t>（</w:t>
      </w:r>
      <w:r>
        <w:rPr>
          <w:rFonts w:ascii="仿宋_GB2312" w:hAnsi="宋体" w:cs="宋体" w:hint="eastAsia"/>
          <w:bCs/>
          <w:kern w:val="0"/>
          <w:szCs w:val="24"/>
        </w:rPr>
        <w:t>6</w:t>
      </w:r>
      <w:r>
        <w:rPr>
          <w:rFonts w:ascii="仿宋_GB2312" w:hAnsi="宋体" w:cs="宋体"/>
          <w:bCs/>
          <w:kern w:val="0"/>
          <w:szCs w:val="24"/>
        </w:rPr>
        <w:t>）</w:t>
      </w:r>
      <w:r>
        <w:rPr>
          <w:rFonts w:ascii="仿宋_GB2312" w:hAnsi="宋体" w:cs="宋体" w:hint="eastAsia"/>
          <w:bCs/>
          <w:kern w:val="0"/>
          <w:szCs w:val="24"/>
        </w:rPr>
        <w:t>其他费用，包括但不限于：与</w:t>
      </w:r>
      <w:r>
        <w:rPr>
          <w:rFonts w:ascii="仿宋_GB2312" w:hAnsi="宋体" w:cs="宋体"/>
          <w:bCs/>
          <w:kern w:val="0"/>
          <w:szCs w:val="24"/>
        </w:rPr>
        <w:t>理财产品相关的</w:t>
      </w:r>
      <w:r>
        <w:rPr>
          <w:rFonts w:ascii="仿宋_GB2312" w:hAnsi="宋体" w:cs="宋体" w:hint="eastAsia"/>
          <w:bCs/>
          <w:kern w:val="0"/>
          <w:szCs w:val="24"/>
        </w:rPr>
        <w:t>账户服务费用、资产服务费用、交易费用（包括但不限于交易佣金、撮合费用等）、注册登记费、验资费、审计费、信息披露费、清算费用、执行费用（包括但不限于律师费、诉讼费、仲裁费、公证费、保全费、执行费等）以及按照法律法规、监管规定和理财产品销售文件约定可以列入的其他费用，具体以实际发生为准。</w:t>
      </w:r>
    </w:p>
    <w:p w14:paraId="1656919E"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宋体" w:hAnsi="宋体" w:cs="宋体" w:hint="eastAsia"/>
          <w:kern w:val="0"/>
          <w:szCs w:val="24"/>
        </w:rPr>
        <w:t>本产品可能根据投资者购买理财产品的</w:t>
      </w:r>
      <w:r>
        <w:rPr>
          <w:rFonts w:ascii="仿宋_GB2312" w:hAnsi="宋体" w:cs="宋体" w:hint="eastAsia"/>
          <w:bCs/>
          <w:kern w:val="0"/>
          <w:szCs w:val="24"/>
        </w:rPr>
        <w:t>金额、销售渠道、客户类型</w:t>
      </w:r>
      <w:r>
        <w:rPr>
          <w:rFonts w:ascii="宋体" w:hAnsi="宋体" w:cs="宋体" w:hint="eastAsia"/>
          <w:kern w:val="0"/>
          <w:szCs w:val="24"/>
        </w:rPr>
        <w:t>等因素设置不同产品份额</w:t>
      </w:r>
      <w:r>
        <w:rPr>
          <w:rFonts w:ascii="仿宋_GB2312" w:hAnsi="宋体" w:cs="宋体" w:hint="eastAsia"/>
          <w:bCs/>
          <w:kern w:val="0"/>
          <w:szCs w:val="24"/>
        </w:rPr>
        <w:t>类别</w:t>
      </w:r>
      <w:r>
        <w:rPr>
          <w:rFonts w:ascii="宋体" w:hAnsi="宋体" w:cs="宋体" w:hint="eastAsia"/>
          <w:kern w:val="0"/>
          <w:szCs w:val="24"/>
        </w:rPr>
        <w:t>，各类产品份额</w:t>
      </w:r>
      <w:r>
        <w:rPr>
          <w:rFonts w:ascii="仿宋_GB2312" w:hAnsi="宋体" w:cs="宋体" w:hint="eastAsia"/>
          <w:bCs/>
          <w:kern w:val="0"/>
          <w:szCs w:val="24"/>
        </w:rPr>
        <w:t>可能分别设置不同的</w:t>
      </w:r>
      <w:r>
        <w:rPr>
          <w:rFonts w:ascii="仿宋_GB2312" w:hAnsi="宋体" w:cs="宋体"/>
          <w:bCs/>
          <w:kern w:val="0"/>
          <w:szCs w:val="24"/>
        </w:rPr>
        <w:t>销售服务</w:t>
      </w:r>
      <w:r>
        <w:rPr>
          <w:rFonts w:ascii="宋体" w:hAnsi="宋体" w:cs="宋体"/>
          <w:kern w:val="0"/>
          <w:szCs w:val="24"/>
        </w:rPr>
        <w:t>费率，</w:t>
      </w:r>
      <w:r>
        <w:rPr>
          <w:rFonts w:ascii="仿宋_GB2312" w:hAnsi="宋体" w:cs="宋体"/>
          <w:bCs/>
          <w:kern w:val="0"/>
          <w:szCs w:val="24"/>
        </w:rPr>
        <w:t>费率具体数值以《产品说明书》</w:t>
      </w:r>
      <w:r>
        <w:rPr>
          <w:rFonts w:ascii="仿宋_GB2312" w:hAnsi="宋体" w:cs="宋体"/>
          <w:bCs/>
          <w:kern w:val="0"/>
          <w:szCs w:val="24"/>
        </w:rPr>
        <w:t>“</w:t>
      </w:r>
      <w:r>
        <w:rPr>
          <w:rFonts w:ascii="仿宋_GB2312" w:hAnsi="宋体" w:cs="宋体" w:hint="eastAsia"/>
          <w:bCs/>
          <w:kern w:val="0"/>
          <w:szCs w:val="24"/>
        </w:rPr>
        <w:t>第一</w:t>
      </w:r>
      <w:proofErr w:type="gramStart"/>
      <w:r>
        <w:rPr>
          <w:rFonts w:ascii="仿宋_GB2312" w:hAnsi="宋体" w:cs="宋体" w:hint="eastAsia"/>
          <w:bCs/>
          <w:kern w:val="0"/>
          <w:szCs w:val="24"/>
        </w:rPr>
        <w:t>节 理财</w:t>
      </w:r>
      <w:proofErr w:type="gramEnd"/>
      <w:r>
        <w:rPr>
          <w:rFonts w:ascii="仿宋_GB2312" w:hAnsi="宋体" w:cs="宋体" w:hint="eastAsia"/>
          <w:bCs/>
          <w:kern w:val="0"/>
          <w:szCs w:val="24"/>
        </w:rPr>
        <w:t>产品说明书关键要素</w:t>
      </w:r>
      <w:r>
        <w:rPr>
          <w:rFonts w:ascii="仿宋_GB2312" w:hAnsi="宋体" w:cs="宋体"/>
          <w:bCs/>
          <w:kern w:val="0"/>
          <w:szCs w:val="24"/>
        </w:rPr>
        <w:t>”</w:t>
      </w:r>
      <w:r>
        <w:rPr>
          <w:rFonts w:ascii="仿宋_GB2312" w:hAnsi="宋体" w:cs="宋体"/>
          <w:bCs/>
          <w:kern w:val="0"/>
          <w:szCs w:val="24"/>
        </w:rPr>
        <w:t>为准。</w:t>
      </w:r>
    </w:p>
    <w:p w14:paraId="48ACC7A1"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bCs/>
          <w:kern w:val="0"/>
          <w:szCs w:val="24"/>
        </w:rPr>
        <w:t>2.理财产品费用计提方法、计提标准和支付方式</w:t>
      </w:r>
    </w:p>
    <w:p w14:paraId="6657C9CE"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bCs/>
          <w:kern w:val="0"/>
          <w:szCs w:val="24"/>
        </w:rPr>
        <w:t>（1）理财产品的认购费、申购费、赎回费</w:t>
      </w:r>
    </w:p>
    <w:p w14:paraId="376A0984"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bCs/>
          <w:kern w:val="0"/>
          <w:szCs w:val="24"/>
        </w:rPr>
        <w:t>1）认购费：费率具体数值以《产品说明书》</w:t>
      </w:r>
      <w:r>
        <w:rPr>
          <w:rFonts w:ascii="仿宋_GB2312" w:hAnsi="宋体" w:cs="宋体"/>
          <w:bCs/>
          <w:kern w:val="0"/>
          <w:szCs w:val="24"/>
        </w:rPr>
        <w:t>“</w:t>
      </w:r>
      <w:r>
        <w:rPr>
          <w:rFonts w:ascii="仿宋_GB2312" w:hAnsi="宋体" w:cs="宋体" w:hint="eastAsia"/>
          <w:bCs/>
          <w:kern w:val="0"/>
          <w:szCs w:val="24"/>
        </w:rPr>
        <w:t>第一</w:t>
      </w:r>
      <w:proofErr w:type="gramStart"/>
      <w:r>
        <w:rPr>
          <w:rFonts w:ascii="仿宋_GB2312" w:hAnsi="宋体" w:cs="宋体" w:hint="eastAsia"/>
          <w:bCs/>
          <w:kern w:val="0"/>
          <w:szCs w:val="24"/>
        </w:rPr>
        <w:t>节 理财</w:t>
      </w:r>
      <w:proofErr w:type="gramEnd"/>
      <w:r>
        <w:rPr>
          <w:rFonts w:ascii="仿宋_GB2312" w:hAnsi="宋体" w:cs="宋体" w:hint="eastAsia"/>
          <w:bCs/>
          <w:kern w:val="0"/>
          <w:szCs w:val="24"/>
        </w:rPr>
        <w:t>产品说明书关键要素</w:t>
      </w:r>
      <w:r>
        <w:rPr>
          <w:rFonts w:ascii="仿宋_GB2312" w:hAnsi="宋体" w:cs="宋体"/>
          <w:bCs/>
          <w:kern w:val="0"/>
          <w:szCs w:val="24"/>
        </w:rPr>
        <w:t>”</w:t>
      </w:r>
      <w:r>
        <w:rPr>
          <w:rFonts w:ascii="仿宋_GB2312" w:hAnsi="宋体" w:cs="宋体"/>
          <w:bCs/>
          <w:kern w:val="0"/>
          <w:szCs w:val="24"/>
        </w:rPr>
        <w:t>为准。</w:t>
      </w:r>
    </w:p>
    <w:p w14:paraId="52CAC344"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bCs/>
          <w:kern w:val="0"/>
          <w:szCs w:val="24"/>
        </w:rPr>
        <w:t>2）申购费：费率具体数值以《产品说明书》</w:t>
      </w:r>
      <w:r>
        <w:rPr>
          <w:rFonts w:ascii="仿宋_GB2312" w:hAnsi="宋体" w:cs="宋体"/>
          <w:bCs/>
          <w:kern w:val="0"/>
          <w:szCs w:val="24"/>
        </w:rPr>
        <w:t>“</w:t>
      </w:r>
      <w:r>
        <w:rPr>
          <w:rFonts w:ascii="仿宋_GB2312" w:hAnsi="宋体" w:cs="宋体" w:hint="eastAsia"/>
          <w:bCs/>
          <w:kern w:val="0"/>
          <w:szCs w:val="24"/>
        </w:rPr>
        <w:t>第一</w:t>
      </w:r>
      <w:proofErr w:type="gramStart"/>
      <w:r>
        <w:rPr>
          <w:rFonts w:ascii="仿宋_GB2312" w:hAnsi="宋体" w:cs="宋体" w:hint="eastAsia"/>
          <w:bCs/>
          <w:kern w:val="0"/>
          <w:szCs w:val="24"/>
        </w:rPr>
        <w:t>节 理财</w:t>
      </w:r>
      <w:proofErr w:type="gramEnd"/>
      <w:r>
        <w:rPr>
          <w:rFonts w:ascii="仿宋_GB2312" w:hAnsi="宋体" w:cs="宋体" w:hint="eastAsia"/>
          <w:bCs/>
          <w:kern w:val="0"/>
          <w:szCs w:val="24"/>
        </w:rPr>
        <w:t>产品说明书关键要素</w:t>
      </w:r>
      <w:r>
        <w:rPr>
          <w:rFonts w:ascii="仿宋_GB2312" w:hAnsi="宋体" w:cs="宋体"/>
          <w:bCs/>
          <w:kern w:val="0"/>
          <w:szCs w:val="24"/>
        </w:rPr>
        <w:t>”</w:t>
      </w:r>
      <w:r>
        <w:rPr>
          <w:rFonts w:ascii="仿宋_GB2312" w:hAnsi="宋体" w:cs="宋体"/>
          <w:bCs/>
          <w:kern w:val="0"/>
          <w:szCs w:val="24"/>
        </w:rPr>
        <w:t>为准。</w:t>
      </w:r>
    </w:p>
    <w:p w14:paraId="4C2A5503"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bCs/>
          <w:kern w:val="0"/>
          <w:szCs w:val="24"/>
        </w:rPr>
        <w:t>3）赎回费：费率具体数值以《产品说明书》</w:t>
      </w:r>
      <w:r>
        <w:rPr>
          <w:rFonts w:ascii="仿宋_GB2312" w:hAnsi="宋体" w:cs="宋体"/>
          <w:bCs/>
          <w:kern w:val="0"/>
          <w:szCs w:val="24"/>
        </w:rPr>
        <w:t>“</w:t>
      </w:r>
      <w:r>
        <w:rPr>
          <w:rFonts w:ascii="仿宋_GB2312" w:hAnsi="宋体" w:cs="宋体" w:hint="eastAsia"/>
          <w:bCs/>
          <w:kern w:val="0"/>
          <w:szCs w:val="24"/>
        </w:rPr>
        <w:t>第一</w:t>
      </w:r>
      <w:proofErr w:type="gramStart"/>
      <w:r>
        <w:rPr>
          <w:rFonts w:ascii="仿宋_GB2312" w:hAnsi="宋体" w:cs="宋体" w:hint="eastAsia"/>
          <w:bCs/>
          <w:kern w:val="0"/>
          <w:szCs w:val="24"/>
        </w:rPr>
        <w:t>节 理财</w:t>
      </w:r>
      <w:proofErr w:type="gramEnd"/>
      <w:r>
        <w:rPr>
          <w:rFonts w:ascii="仿宋_GB2312" w:hAnsi="宋体" w:cs="宋体" w:hint="eastAsia"/>
          <w:bCs/>
          <w:kern w:val="0"/>
          <w:szCs w:val="24"/>
        </w:rPr>
        <w:t>产品说明书关键要素”为准。</w:t>
      </w:r>
    </w:p>
    <w:p w14:paraId="676E403A"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（2）理财产品的销售服务费</w:t>
      </w:r>
    </w:p>
    <w:p w14:paraId="71C7877C" w14:textId="77777777" w:rsidR="00D8530A" w:rsidRDefault="00000000">
      <w:pPr>
        <w:tabs>
          <w:tab w:val="left" w:pos="3119"/>
        </w:tabs>
        <w:autoSpaceDE w:val="0"/>
        <w:autoSpaceDN w:val="0"/>
        <w:snapToGrid w:val="0"/>
        <w:spacing w:line="360" w:lineRule="auto"/>
        <w:ind w:firstLineChars="200" w:firstLine="480"/>
        <w:rPr>
          <w:rFonts w:ascii="仿宋_GB2312" w:hAnsi="宋体" w:cs="宋体" w:hint="eastAsia"/>
          <w:bCs/>
          <w:spacing w:val="-4"/>
          <w:kern w:val="0"/>
          <w:szCs w:val="24"/>
        </w:rPr>
      </w:pPr>
      <w:r>
        <w:rPr>
          <w:rFonts w:ascii="仿宋_GB2312" w:hAnsi="宋体" w:cs="宋体" w:hint="eastAsia"/>
          <w:bCs/>
          <w:kern w:val="0"/>
          <w:szCs w:val="24"/>
        </w:rPr>
        <w:t>本产品的销售服务费按前一日理财资产净值与销售服务费费率每日计提。</w:t>
      </w:r>
      <w:r>
        <w:rPr>
          <w:rFonts w:ascii="仿宋_GB2312" w:hAnsi="宋体" w:cs="宋体" w:hint="eastAsia"/>
          <w:bCs/>
          <w:spacing w:val="-4"/>
          <w:kern w:val="0"/>
          <w:szCs w:val="24"/>
        </w:rPr>
        <w:t>管理人可按季或产品开放周期（如有）收取，或与后续季度、开放周期（如有）合并收取</w:t>
      </w:r>
      <w:r>
        <w:rPr>
          <w:rFonts w:ascii="仿宋_GB2312" w:hAnsi="宋体" w:cs="宋体" w:hint="eastAsia"/>
          <w:bCs/>
          <w:kern w:val="0"/>
          <w:szCs w:val="24"/>
        </w:rPr>
        <w:t>。销售服务费</w:t>
      </w:r>
      <w:r>
        <w:rPr>
          <w:rFonts w:ascii="仿宋_GB2312" w:hAnsi="宋体" w:cs="宋体" w:hint="eastAsia"/>
          <w:bCs/>
          <w:spacing w:val="-4"/>
          <w:kern w:val="0"/>
          <w:szCs w:val="24"/>
        </w:rPr>
        <w:t>精确到小数点后2位，小</w:t>
      </w:r>
      <w:r>
        <w:rPr>
          <w:rFonts w:ascii="仿宋_GB2312" w:hAnsi="宋体" w:cs="宋体" w:hint="eastAsia"/>
          <w:bCs/>
          <w:spacing w:val="-4"/>
          <w:kern w:val="0"/>
          <w:szCs w:val="24"/>
        </w:rPr>
        <w:lastRenderedPageBreak/>
        <w:t>数点2位以后四舍五入。</w:t>
      </w:r>
    </w:p>
    <w:p w14:paraId="74EE622E"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销售服务费的计算方法如下：</w:t>
      </w:r>
    </w:p>
    <w:p w14:paraId="36682B32"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proofErr w:type="gramStart"/>
      <w:r>
        <w:rPr>
          <w:rFonts w:ascii="仿宋_GB2312" w:hAnsi="宋体" w:cs="宋体" w:hint="eastAsia"/>
          <w:bCs/>
          <w:kern w:val="0"/>
          <w:szCs w:val="24"/>
        </w:rPr>
        <w:t>H＝</w:t>
      </w:r>
      <w:proofErr w:type="gramEnd"/>
      <w:r>
        <w:rPr>
          <w:rFonts w:ascii="仿宋_GB2312" w:hAnsi="宋体" w:cs="宋体" w:hint="eastAsia"/>
          <w:bCs/>
          <w:kern w:val="0"/>
          <w:szCs w:val="24"/>
        </w:rPr>
        <w:t>E×销售服务费年费率÷365</w:t>
      </w:r>
    </w:p>
    <w:p w14:paraId="3010AA63"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H为每日应计提的销售服务费</w:t>
      </w:r>
    </w:p>
    <w:p w14:paraId="5D073F1E"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E为前一日的理财资产净值</w:t>
      </w:r>
    </w:p>
    <w:p w14:paraId="428AD3E3"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销售服务费依照上述约定，从理财财产中支付。费率具体数值以《产品说明书》“第一</w:t>
      </w:r>
      <w:proofErr w:type="gramStart"/>
      <w:r>
        <w:rPr>
          <w:rFonts w:ascii="仿宋_GB2312" w:hAnsi="宋体" w:cs="宋体" w:hint="eastAsia"/>
          <w:bCs/>
          <w:kern w:val="0"/>
          <w:szCs w:val="24"/>
        </w:rPr>
        <w:t>节 理财</w:t>
      </w:r>
      <w:proofErr w:type="gramEnd"/>
      <w:r>
        <w:rPr>
          <w:rFonts w:ascii="仿宋_GB2312" w:hAnsi="宋体" w:cs="宋体" w:hint="eastAsia"/>
          <w:bCs/>
          <w:kern w:val="0"/>
          <w:szCs w:val="24"/>
        </w:rPr>
        <w:t>产品说明书关键要素”为准。</w:t>
      </w:r>
    </w:p>
    <w:p w14:paraId="469286C3"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（3）理财产品的固定管理费</w:t>
      </w:r>
    </w:p>
    <w:p w14:paraId="53F628F3"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本产品的固定管理费按前一日理财资产净值与固定管理费费率每日计提，</w:t>
      </w:r>
      <w:r>
        <w:rPr>
          <w:rFonts w:ascii="仿宋_GB2312" w:hAnsi="宋体" w:cs="宋体" w:hint="eastAsia"/>
          <w:bCs/>
          <w:spacing w:val="-4"/>
          <w:kern w:val="0"/>
          <w:szCs w:val="24"/>
        </w:rPr>
        <w:t>管理人可按季或产品开放周期（如有）收取，或与后续季度、开放周期（如有）合并收取。</w:t>
      </w:r>
      <w:r>
        <w:rPr>
          <w:rFonts w:ascii="仿宋_GB2312" w:hAnsi="宋体" w:cs="宋体" w:hint="eastAsia"/>
          <w:bCs/>
          <w:kern w:val="0"/>
          <w:szCs w:val="24"/>
        </w:rPr>
        <w:t>固定管理费</w:t>
      </w:r>
      <w:r>
        <w:rPr>
          <w:rFonts w:ascii="仿宋_GB2312" w:hAnsi="宋体" w:cs="宋体" w:hint="eastAsia"/>
          <w:bCs/>
          <w:spacing w:val="-4"/>
          <w:kern w:val="0"/>
          <w:szCs w:val="24"/>
        </w:rPr>
        <w:t>精确到小数点后2位，小数点2位以后四舍五入</w:t>
      </w:r>
      <w:r>
        <w:rPr>
          <w:rFonts w:ascii="仿宋_GB2312" w:hAnsi="宋体" w:cs="宋体" w:hint="eastAsia"/>
          <w:bCs/>
          <w:kern w:val="0"/>
          <w:szCs w:val="24"/>
        </w:rPr>
        <w:t>。</w:t>
      </w:r>
    </w:p>
    <w:p w14:paraId="17C44AB3"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固定管理费的计算方法如下：</w:t>
      </w:r>
    </w:p>
    <w:p w14:paraId="4788B764"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proofErr w:type="gramStart"/>
      <w:r>
        <w:rPr>
          <w:rFonts w:ascii="仿宋_GB2312" w:hAnsi="宋体" w:cs="宋体" w:hint="eastAsia"/>
          <w:bCs/>
          <w:kern w:val="0"/>
          <w:szCs w:val="24"/>
        </w:rPr>
        <w:t>H＝</w:t>
      </w:r>
      <w:proofErr w:type="gramEnd"/>
      <w:r>
        <w:rPr>
          <w:rFonts w:ascii="仿宋_GB2312" w:hAnsi="宋体" w:cs="宋体" w:hint="eastAsia"/>
          <w:bCs/>
          <w:kern w:val="0"/>
          <w:szCs w:val="24"/>
        </w:rPr>
        <w:t>E×固定管理费年费率÷365</w:t>
      </w:r>
    </w:p>
    <w:p w14:paraId="380AE5AA"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H为每日应计提的产品固定管理费</w:t>
      </w:r>
    </w:p>
    <w:p w14:paraId="0D6A05E9"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E为前一日的理财资产净值</w:t>
      </w:r>
    </w:p>
    <w:p w14:paraId="67164320"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固定管理费依照上述约定，从理财财产中支付。费率具体数值以《产品说明书》“第一</w:t>
      </w:r>
      <w:proofErr w:type="gramStart"/>
      <w:r>
        <w:rPr>
          <w:rFonts w:ascii="仿宋_GB2312" w:hAnsi="宋体" w:cs="宋体" w:hint="eastAsia"/>
          <w:bCs/>
          <w:kern w:val="0"/>
          <w:szCs w:val="24"/>
        </w:rPr>
        <w:t>节 理财</w:t>
      </w:r>
      <w:proofErr w:type="gramEnd"/>
      <w:r>
        <w:rPr>
          <w:rFonts w:ascii="仿宋_GB2312" w:hAnsi="宋体" w:cs="宋体" w:hint="eastAsia"/>
          <w:bCs/>
          <w:kern w:val="0"/>
          <w:szCs w:val="24"/>
        </w:rPr>
        <w:t>产品说明书关键要素”为准。</w:t>
      </w:r>
    </w:p>
    <w:p w14:paraId="4229EDDE"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w:t>
      </w:r>
      <w:r>
        <w:rPr>
          <w:rFonts w:ascii="仿宋_GB2312" w:hAnsi="宋体" w:cs="宋体"/>
          <w:bCs/>
          <w:kern w:val="0"/>
          <w:szCs w:val="24"/>
        </w:rPr>
        <w:t>4）</w:t>
      </w:r>
      <w:r>
        <w:rPr>
          <w:rFonts w:ascii="仿宋_GB2312" w:hAnsi="宋体" w:cs="宋体" w:hint="eastAsia"/>
          <w:bCs/>
          <w:kern w:val="0"/>
          <w:szCs w:val="24"/>
        </w:rPr>
        <w:t>浮动管理费</w:t>
      </w:r>
    </w:p>
    <w:p w14:paraId="020701BD" w14:textId="77777777" w:rsidR="00D8530A" w:rsidRDefault="00000000">
      <w:pPr>
        <w:pStyle w:val="af"/>
        <w:widowControl/>
        <w:snapToGrid w:val="0"/>
        <w:spacing w:line="360" w:lineRule="auto"/>
        <w:ind w:firstLine="480"/>
        <w:rPr>
          <w:rFonts w:ascii="仿宋_GB2312" w:hAnsi="宋体" w:cs="宋体" w:hint="eastAsia"/>
          <w:bCs/>
          <w:kern w:val="0"/>
          <w:szCs w:val="24"/>
        </w:rPr>
      </w:pPr>
      <w:r>
        <w:rPr>
          <w:rFonts w:ascii="仿宋_GB2312" w:hAnsi="宋体" w:cs="宋体" w:hint="eastAsia"/>
          <w:bCs/>
          <w:kern w:val="0"/>
          <w:szCs w:val="24"/>
        </w:rPr>
        <w:t>【□本产品</w:t>
      </w:r>
      <w:r>
        <w:rPr>
          <w:rFonts w:ascii="仿宋_GB2312" w:hAnsi="宋体" w:cs="宋体"/>
          <w:bCs/>
          <w:kern w:val="0"/>
          <w:szCs w:val="24"/>
        </w:rPr>
        <w:t>无</w:t>
      </w:r>
      <w:r>
        <w:rPr>
          <w:rFonts w:ascii="仿宋_GB2312" w:hAnsi="宋体" w:cs="宋体" w:hint="eastAsia"/>
          <w:bCs/>
          <w:kern w:val="0"/>
          <w:szCs w:val="24"/>
        </w:rPr>
        <w:t>浮动管理费</w:t>
      </w:r>
      <w:r>
        <w:rPr>
          <w:rFonts w:ascii="仿宋_GB2312" w:hAnsi="宋体" w:cs="宋体"/>
          <w:bCs/>
          <w:kern w:val="0"/>
          <w:szCs w:val="24"/>
        </w:rPr>
        <w:t>。</w:t>
      </w:r>
      <w:r>
        <w:rPr>
          <w:rFonts w:ascii="仿宋_GB2312" w:hAnsi="宋体" w:cs="宋体" w:hint="eastAsia"/>
          <w:bCs/>
          <w:kern w:val="0"/>
          <w:szCs w:val="24"/>
        </w:rPr>
        <w:t>】</w:t>
      </w:r>
    </w:p>
    <w:p w14:paraId="514F1B14" w14:textId="77777777" w:rsidR="00D8530A" w:rsidRDefault="00000000">
      <w:pPr>
        <w:widowControl/>
        <w:tabs>
          <w:tab w:val="left" w:pos="709"/>
        </w:tabs>
        <w:snapToGrid w:val="0"/>
        <w:spacing w:line="360" w:lineRule="auto"/>
        <w:ind w:firstLineChars="200" w:firstLine="480"/>
      </w:pPr>
      <w:r>
        <w:rPr>
          <w:rFonts w:ascii="仿宋_GB2312" w:hAnsi="宋体" w:cs="宋体" w:hint="eastAsia"/>
          <w:bCs/>
          <w:kern w:val="0"/>
          <w:szCs w:val="24"/>
        </w:rPr>
        <w:t>【</w:t>
      </w:r>
      <w:r>
        <w:rPr>
          <w:rFonts w:ascii="Wingdings 2" w:hAnsi="Wingdings 2" w:cs="宋体"/>
          <w:bCs/>
          <w:kern w:val="0"/>
          <w:szCs w:val="24"/>
        </w:rPr>
        <w:t>R</w:t>
      </w:r>
      <w:r>
        <w:rPr>
          <w:rFonts w:ascii="仿宋_GB2312" w:hAnsi="宋体" w:cs="宋体" w:hint="eastAsia"/>
          <w:bCs/>
          <w:kern w:val="0"/>
          <w:szCs w:val="24"/>
        </w:rPr>
        <w:t>理财产品管理人收取理财产品浮动管理费。浮动管理费每日计提，在产品到期日收取（如有）。在理财产品到期日时</w:t>
      </w:r>
      <w:r>
        <w:rPr>
          <w:rFonts w:hint="eastAsia"/>
        </w:rPr>
        <w:t>，若理财资产扣除销售服务费、托管费和固定管理费等相关费用和税收后，产品年化收益率超过浮动管理费计提基准，则产品管理人收取超出部分的一定比例作为浮动管理费。</w:t>
      </w:r>
    </w:p>
    <w:p w14:paraId="24CD945C"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lastRenderedPageBreak/>
        <w:t>浮动管理费计提基准的设置、</w:t>
      </w:r>
      <w:r>
        <w:rPr>
          <w:rFonts w:hint="eastAsia"/>
        </w:rPr>
        <w:t>浮动管理费</w:t>
      </w:r>
      <w:r>
        <w:rPr>
          <w:rFonts w:ascii="仿宋_GB2312" w:hAnsi="宋体" w:cs="宋体" w:hint="eastAsia"/>
          <w:bCs/>
          <w:kern w:val="0"/>
          <w:szCs w:val="24"/>
        </w:rPr>
        <w:t>的具体比例数值以《产品说明书》“第一</w:t>
      </w:r>
      <w:proofErr w:type="gramStart"/>
      <w:r>
        <w:rPr>
          <w:rFonts w:ascii="仿宋_GB2312" w:hAnsi="宋体" w:cs="宋体" w:hint="eastAsia"/>
          <w:bCs/>
          <w:kern w:val="0"/>
          <w:szCs w:val="24"/>
        </w:rPr>
        <w:t>节 理财</w:t>
      </w:r>
      <w:proofErr w:type="gramEnd"/>
      <w:r>
        <w:rPr>
          <w:rFonts w:ascii="仿宋_GB2312" w:hAnsi="宋体" w:cs="宋体" w:hint="eastAsia"/>
          <w:bCs/>
          <w:kern w:val="0"/>
          <w:szCs w:val="24"/>
        </w:rPr>
        <w:t>产品说明书关键要素”为准。</w:t>
      </w:r>
    </w:p>
    <w:p w14:paraId="44DEC1C3"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hint="eastAsia"/>
        </w:rPr>
        <w:t>浮动管理费</w:t>
      </w:r>
      <w:r>
        <w:rPr>
          <w:rFonts w:ascii="仿宋_GB2312" w:hAnsi="宋体" w:cs="宋体" w:hint="eastAsia"/>
          <w:bCs/>
          <w:kern w:val="0"/>
          <w:szCs w:val="24"/>
        </w:rPr>
        <w:t xml:space="preserve">的计提/收取如下： </w:t>
      </w:r>
    </w:p>
    <w:p w14:paraId="45030969"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产品年化收益率</w:t>
      </w:r>
      <w:r>
        <w:rPr>
          <w:rFonts w:ascii="仿宋_GB2312" w:hAnsi="宋体" w:cs="宋体"/>
          <w:bCs/>
          <w:kern w:val="0"/>
          <w:szCs w:val="24"/>
        </w:rPr>
        <w:t>R</w:t>
      </w:r>
      <w:r>
        <w:rPr>
          <w:rFonts w:ascii="仿宋_GB2312" w:hAnsi="宋体" w:cs="宋体" w:hint="eastAsia"/>
          <w:bCs/>
          <w:kern w:val="0"/>
          <w:szCs w:val="24"/>
        </w:rPr>
        <w:t>的计算公式，R=（</w:t>
      </w:r>
      <w:r>
        <w:rPr>
          <w:rFonts w:ascii="仿宋_GB2312" w:hAnsi="宋体" w:cs="宋体"/>
          <w:bCs/>
          <w:kern w:val="0"/>
          <w:szCs w:val="24"/>
        </w:rPr>
        <w:t>V</w:t>
      </w:r>
      <w:r>
        <w:rPr>
          <w:rFonts w:ascii="仿宋_GB2312" w:hAnsi="宋体" w:cs="宋体" w:hint="eastAsia"/>
          <w:bCs/>
          <w:kern w:val="0"/>
          <w:sz w:val="13"/>
          <w:szCs w:val="24"/>
        </w:rPr>
        <w:t>计提/到期日产品份额累计净值</w:t>
      </w:r>
      <w:r>
        <w:rPr>
          <w:rFonts w:ascii="仿宋_GB2312" w:hAnsi="宋体" w:cs="宋体" w:hint="eastAsia"/>
          <w:bCs/>
          <w:kern w:val="0"/>
          <w:szCs w:val="24"/>
        </w:rPr>
        <w:t>-V</w:t>
      </w:r>
      <w:r>
        <w:rPr>
          <w:rFonts w:ascii="仿宋_GB2312" w:hAnsi="宋体" w:cs="宋体" w:hint="eastAsia"/>
          <w:bCs/>
          <w:kern w:val="0"/>
          <w:sz w:val="13"/>
          <w:szCs w:val="24"/>
        </w:rPr>
        <w:t>期初份额净值</w:t>
      </w:r>
      <w:r>
        <w:rPr>
          <w:rFonts w:ascii="仿宋_GB2312" w:hAnsi="宋体" w:cs="宋体" w:hint="eastAsia"/>
          <w:bCs/>
          <w:kern w:val="0"/>
          <w:szCs w:val="24"/>
        </w:rPr>
        <w:t>）/V</w:t>
      </w:r>
      <w:r>
        <w:rPr>
          <w:rFonts w:ascii="仿宋_GB2312" w:hAnsi="宋体" w:cs="宋体" w:hint="eastAsia"/>
          <w:bCs/>
          <w:kern w:val="0"/>
          <w:sz w:val="13"/>
          <w:szCs w:val="24"/>
        </w:rPr>
        <w:t>期初份额净值</w:t>
      </w:r>
      <w:r>
        <w:rPr>
          <w:rFonts w:ascii="仿宋_GB2312" w:hAnsi="宋体" w:cs="宋体" w:hint="eastAsia"/>
          <w:bCs/>
          <w:kern w:val="0"/>
          <w:szCs w:val="24"/>
        </w:rPr>
        <w:t>/（</w:t>
      </w:r>
      <w:r>
        <w:rPr>
          <w:rFonts w:ascii="仿宋_GB2312" w:hAnsi="宋体" w:cs="宋体"/>
          <w:bCs/>
          <w:kern w:val="0"/>
          <w:szCs w:val="24"/>
        </w:rPr>
        <w:t>D+1</w:t>
      </w:r>
      <w:r>
        <w:rPr>
          <w:rFonts w:ascii="仿宋_GB2312" w:hAnsi="宋体" w:cs="宋体" w:hint="eastAsia"/>
          <w:bCs/>
          <w:kern w:val="0"/>
          <w:szCs w:val="24"/>
        </w:rPr>
        <w:t>）</w:t>
      </w:r>
      <w:r>
        <w:rPr>
          <w:rFonts w:ascii="仿宋_GB2312" w:hAnsi="宋体" w:cs="宋体"/>
          <w:bCs/>
          <w:kern w:val="0"/>
          <w:szCs w:val="24"/>
        </w:rPr>
        <w:t>*365*100</w:t>
      </w:r>
      <w:r>
        <w:rPr>
          <w:rFonts w:ascii="仿宋_GB2312" w:hAnsi="宋体" w:cs="宋体" w:hint="eastAsia"/>
          <w:bCs/>
          <w:kern w:val="0"/>
          <w:szCs w:val="24"/>
        </w:rPr>
        <w:t>%</w:t>
      </w:r>
    </w:p>
    <w:p w14:paraId="505AFFD9"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产品管理人对产品年化收益率</w:t>
      </w:r>
      <w:r>
        <w:rPr>
          <w:rFonts w:ascii="仿宋_GB2312" w:hAnsi="宋体" w:cs="宋体"/>
          <w:bCs/>
          <w:kern w:val="0"/>
          <w:szCs w:val="24"/>
        </w:rPr>
        <w:t>超过</w:t>
      </w:r>
      <w:r>
        <w:rPr>
          <w:rFonts w:ascii="仿宋_GB2312" w:hAnsi="宋体" w:cs="宋体" w:hint="eastAsia"/>
          <w:bCs/>
          <w:kern w:val="0"/>
          <w:szCs w:val="24"/>
        </w:rPr>
        <w:t>浮动管理费计提基准的部分，按浮动管理费分成比例</w:t>
      </w:r>
      <w:r>
        <w:rPr>
          <w:rFonts w:ascii="仿宋_GB2312" w:hAnsi="宋体" w:cs="宋体"/>
          <w:bCs/>
          <w:kern w:val="0"/>
          <w:szCs w:val="24"/>
        </w:rPr>
        <w:t>以及产品份额持有天数</w:t>
      </w:r>
      <w:r>
        <w:rPr>
          <w:rFonts w:ascii="仿宋_GB2312" w:hAnsi="宋体" w:cs="宋体" w:hint="eastAsia"/>
          <w:bCs/>
          <w:kern w:val="0"/>
          <w:szCs w:val="24"/>
        </w:rPr>
        <w:t>计提/收取</w:t>
      </w:r>
      <w:r>
        <w:rPr>
          <w:rFonts w:hint="eastAsia"/>
        </w:rPr>
        <w:t>浮动管理费</w:t>
      </w:r>
      <w:r>
        <w:rPr>
          <w:rFonts w:ascii="仿宋_GB2312" w:hAnsi="宋体" w:cs="宋体" w:hint="eastAsia"/>
          <w:bCs/>
          <w:kern w:val="0"/>
          <w:szCs w:val="24"/>
        </w:rPr>
        <w:t>，计算方法如下：</w:t>
      </w:r>
    </w:p>
    <w:p w14:paraId="0C27EC48"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当</w:t>
      </w:r>
      <w:r>
        <w:rPr>
          <w:rFonts w:ascii="仿宋_GB2312" w:hAnsi="宋体" w:cs="宋体"/>
          <w:bCs/>
          <w:kern w:val="0"/>
          <w:szCs w:val="24"/>
        </w:rPr>
        <w:t>R</w:t>
      </w:r>
      <w:r>
        <w:rPr>
          <w:rFonts w:ascii="仿宋_GB2312" w:hAnsi="宋体" w:cs="宋体"/>
          <w:bCs/>
          <w:kern w:val="0"/>
          <w:szCs w:val="24"/>
        </w:rPr>
        <w:t>≤</w:t>
      </w:r>
      <w:r>
        <w:rPr>
          <w:rFonts w:ascii="仿宋_GB2312" w:hAnsi="宋体" w:cs="宋体" w:hint="eastAsia"/>
          <w:bCs/>
          <w:kern w:val="0"/>
          <w:szCs w:val="24"/>
        </w:rPr>
        <w:t>浮动管理费计提基准，可计提/收取</w:t>
      </w:r>
      <w:r>
        <w:rPr>
          <w:rFonts w:hint="eastAsia"/>
        </w:rPr>
        <w:t>浮动管理费</w:t>
      </w:r>
      <w:r>
        <w:rPr>
          <w:rFonts w:ascii="仿宋_GB2312" w:hAnsi="宋体" w:cs="宋体"/>
          <w:bCs/>
          <w:kern w:val="0"/>
          <w:szCs w:val="24"/>
        </w:rPr>
        <w:t>=0；</w:t>
      </w:r>
    </w:p>
    <w:p w14:paraId="62C16AF4"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当</w:t>
      </w:r>
      <w:r>
        <w:rPr>
          <w:rFonts w:ascii="仿宋_GB2312" w:hAnsi="宋体" w:cs="宋体"/>
          <w:bCs/>
          <w:kern w:val="0"/>
          <w:szCs w:val="24"/>
        </w:rPr>
        <w:t>R＞</w:t>
      </w:r>
      <w:r>
        <w:rPr>
          <w:rFonts w:ascii="仿宋_GB2312" w:hAnsi="宋体" w:cs="宋体" w:hint="eastAsia"/>
          <w:bCs/>
          <w:kern w:val="0"/>
          <w:szCs w:val="24"/>
        </w:rPr>
        <w:t>浮动管理费计提基准，可计提/收取</w:t>
      </w:r>
      <w:r>
        <w:rPr>
          <w:rFonts w:hint="eastAsia"/>
        </w:rPr>
        <w:t>浮动管理费</w:t>
      </w:r>
      <w:r>
        <w:rPr>
          <w:rFonts w:ascii="仿宋_GB2312" w:hAnsi="宋体" w:cs="宋体"/>
          <w:bCs/>
          <w:kern w:val="0"/>
          <w:szCs w:val="24"/>
        </w:rPr>
        <w:t>=</w:t>
      </w:r>
      <w:r>
        <w:rPr>
          <w:rFonts w:ascii="仿宋_GB2312" w:hAnsi="宋体" w:cs="宋体" w:hint="eastAsia"/>
          <w:bCs/>
          <w:kern w:val="0"/>
          <w:szCs w:val="24"/>
        </w:rPr>
        <w:t>产品计提/到期日投资者持有的产品份额×V</w:t>
      </w:r>
      <w:r>
        <w:rPr>
          <w:rFonts w:ascii="仿宋_GB2312" w:hAnsi="宋体" w:cs="宋体" w:hint="eastAsia"/>
          <w:bCs/>
          <w:kern w:val="0"/>
          <w:sz w:val="13"/>
          <w:szCs w:val="24"/>
        </w:rPr>
        <w:t>期初份额净值</w:t>
      </w:r>
      <w:r>
        <w:rPr>
          <w:rFonts w:ascii="仿宋_GB2312" w:hAnsi="宋体" w:cs="宋体" w:hint="eastAsia"/>
          <w:bCs/>
          <w:kern w:val="0"/>
          <w:szCs w:val="24"/>
        </w:rPr>
        <w:t>×（</w:t>
      </w:r>
      <w:r>
        <w:rPr>
          <w:rFonts w:ascii="仿宋_GB2312" w:hAnsi="宋体" w:cs="宋体"/>
          <w:bCs/>
          <w:kern w:val="0"/>
          <w:szCs w:val="24"/>
        </w:rPr>
        <w:t>R-</w:t>
      </w:r>
      <w:r>
        <w:rPr>
          <w:rFonts w:ascii="仿宋_GB2312" w:hAnsi="宋体" w:cs="宋体" w:hint="eastAsia"/>
          <w:bCs/>
          <w:kern w:val="0"/>
          <w:szCs w:val="24"/>
        </w:rPr>
        <w:t>浮动管理费计提基准）×</w:t>
      </w:r>
      <w:r>
        <w:rPr>
          <w:rFonts w:ascii="仿宋_GB2312" w:hAnsi="宋体" w:cs="宋体"/>
          <w:bCs/>
          <w:kern w:val="0"/>
          <w:szCs w:val="24"/>
        </w:rPr>
        <w:t>N</w:t>
      </w:r>
      <w:r>
        <w:rPr>
          <w:rFonts w:ascii="仿宋_GB2312" w:hAnsi="宋体" w:cs="宋体"/>
          <w:bCs/>
          <w:kern w:val="0"/>
          <w:szCs w:val="24"/>
        </w:rPr>
        <w:t>×</w:t>
      </w:r>
      <w:r>
        <w:rPr>
          <w:rFonts w:ascii="仿宋_GB2312" w:hAnsi="宋体" w:cs="宋体" w:hint="eastAsia"/>
          <w:bCs/>
          <w:kern w:val="0"/>
          <w:szCs w:val="24"/>
        </w:rPr>
        <w:t>（D</w:t>
      </w:r>
      <w:r>
        <w:rPr>
          <w:rFonts w:ascii="仿宋_GB2312" w:hAnsi="宋体" w:cs="宋体"/>
          <w:bCs/>
          <w:kern w:val="0"/>
          <w:szCs w:val="24"/>
        </w:rPr>
        <w:t>+1</w:t>
      </w:r>
      <w:r>
        <w:rPr>
          <w:rFonts w:ascii="仿宋_GB2312" w:hAnsi="宋体" w:cs="宋体" w:hint="eastAsia"/>
          <w:bCs/>
          <w:kern w:val="0"/>
          <w:szCs w:val="24"/>
        </w:rPr>
        <w:t>）</w:t>
      </w:r>
      <w:r>
        <w:rPr>
          <w:rFonts w:ascii="仿宋_GB2312" w:hAnsi="宋体" w:cs="宋体"/>
          <w:bCs/>
          <w:kern w:val="0"/>
          <w:szCs w:val="24"/>
        </w:rPr>
        <w:t>/365。</w:t>
      </w:r>
    </w:p>
    <w:p w14:paraId="3931C1CD"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其中，</w:t>
      </w:r>
      <w:r>
        <w:rPr>
          <w:rFonts w:ascii="仿宋_GB2312" w:hAnsi="宋体" w:cs="宋体"/>
          <w:bCs/>
          <w:kern w:val="0"/>
          <w:szCs w:val="24"/>
        </w:rPr>
        <w:t>V</w:t>
      </w:r>
      <w:r>
        <w:rPr>
          <w:rFonts w:ascii="仿宋_GB2312" w:hAnsi="宋体" w:cs="宋体" w:hint="eastAsia"/>
          <w:bCs/>
          <w:kern w:val="0"/>
          <w:sz w:val="13"/>
          <w:szCs w:val="24"/>
        </w:rPr>
        <w:t>计提/到期日产品份额累计净值</w:t>
      </w:r>
      <w:r>
        <w:rPr>
          <w:rFonts w:ascii="仿宋_GB2312" w:hAnsi="宋体" w:cs="宋体" w:hint="eastAsia"/>
          <w:bCs/>
          <w:kern w:val="0"/>
          <w:szCs w:val="24"/>
        </w:rPr>
        <w:t>表示产品计提/到期日的产品份额累计净值（未扣除浮动管理费），V</w:t>
      </w:r>
      <w:r>
        <w:rPr>
          <w:rFonts w:ascii="仿宋_GB2312" w:hAnsi="宋体" w:cs="宋体" w:hint="eastAsia"/>
          <w:bCs/>
          <w:kern w:val="0"/>
          <w:sz w:val="13"/>
          <w:szCs w:val="24"/>
        </w:rPr>
        <w:t>期初份额净值</w:t>
      </w:r>
      <w:r>
        <w:rPr>
          <w:rFonts w:ascii="仿宋_GB2312" w:hAnsi="宋体" w:cs="宋体" w:hint="eastAsia"/>
          <w:bCs/>
          <w:kern w:val="0"/>
          <w:szCs w:val="24"/>
        </w:rPr>
        <w:t>表示产品成立日的产品份额净值，D表示产品到期日-产品成立日，N表示浮动管理费分成比例。】</w:t>
      </w:r>
    </w:p>
    <w:p w14:paraId="0F636A7E"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（5）理财产品的托管费</w:t>
      </w:r>
    </w:p>
    <w:p w14:paraId="4314394E"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本产品的托管费按前一日理财资产净值与托管费费率每日计提，</w:t>
      </w:r>
      <w:r>
        <w:rPr>
          <w:rFonts w:ascii="仿宋_GB2312" w:hAnsi="宋体" w:cs="宋体" w:hint="eastAsia"/>
          <w:bCs/>
          <w:spacing w:val="-4"/>
          <w:kern w:val="0"/>
          <w:szCs w:val="24"/>
        </w:rPr>
        <w:t>管理人可按季或产品开放周期（如有）收取，或与后续季度、开放周期（如有）合并收取。</w:t>
      </w:r>
      <w:r>
        <w:rPr>
          <w:rFonts w:ascii="仿宋_GB2312" w:hAnsi="宋体" w:cs="宋体" w:hint="eastAsia"/>
          <w:bCs/>
          <w:kern w:val="0"/>
          <w:szCs w:val="24"/>
        </w:rPr>
        <w:t>托管费</w:t>
      </w:r>
      <w:r>
        <w:rPr>
          <w:rFonts w:ascii="仿宋_GB2312" w:hAnsi="宋体" w:cs="宋体" w:hint="eastAsia"/>
          <w:bCs/>
          <w:spacing w:val="-4"/>
          <w:kern w:val="0"/>
          <w:szCs w:val="24"/>
        </w:rPr>
        <w:t>精确到小数点后2位，小数点2位以后四舍五入</w:t>
      </w:r>
      <w:r>
        <w:rPr>
          <w:rFonts w:ascii="仿宋_GB2312" w:hAnsi="宋体" w:cs="宋体" w:hint="eastAsia"/>
          <w:bCs/>
          <w:kern w:val="0"/>
          <w:szCs w:val="24"/>
        </w:rPr>
        <w:t>。</w:t>
      </w:r>
    </w:p>
    <w:p w14:paraId="4476D403"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托管费的计算方法如下：</w:t>
      </w:r>
    </w:p>
    <w:p w14:paraId="62AC5FF9"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proofErr w:type="gramStart"/>
      <w:r>
        <w:rPr>
          <w:rFonts w:ascii="仿宋_GB2312" w:hAnsi="宋体" w:cs="宋体" w:hint="eastAsia"/>
          <w:bCs/>
          <w:kern w:val="0"/>
          <w:szCs w:val="24"/>
        </w:rPr>
        <w:t>H＝</w:t>
      </w:r>
      <w:proofErr w:type="gramEnd"/>
      <w:r>
        <w:rPr>
          <w:rFonts w:ascii="仿宋_GB2312" w:hAnsi="宋体" w:cs="宋体" w:hint="eastAsia"/>
          <w:bCs/>
          <w:kern w:val="0"/>
          <w:szCs w:val="24"/>
        </w:rPr>
        <w:t>E×托管费年费率÷365</w:t>
      </w:r>
    </w:p>
    <w:p w14:paraId="2E8E99F8"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H为每日应计提的托管费</w:t>
      </w:r>
    </w:p>
    <w:p w14:paraId="094FE019"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E为前一日的理财资产净值</w:t>
      </w:r>
    </w:p>
    <w:p w14:paraId="603853C9"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托管费依照上述约定，从理财财产中支付。费率具体数值以《产品说明书》“第一</w:t>
      </w:r>
      <w:proofErr w:type="gramStart"/>
      <w:r>
        <w:rPr>
          <w:rFonts w:ascii="仿宋_GB2312" w:hAnsi="宋体" w:cs="宋体" w:hint="eastAsia"/>
          <w:bCs/>
          <w:kern w:val="0"/>
          <w:szCs w:val="24"/>
        </w:rPr>
        <w:t>节 理财</w:t>
      </w:r>
      <w:proofErr w:type="gramEnd"/>
      <w:r>
        <w:rPr>
          <w:rFonts w:ascii="仿宋_GB2312" w:hAnsi="宋体" w:cs="宋体" w:hint="eastAsia"/>
          <w:bCs/>
          <w:kern w:val="0"/>
          <w:szCs w:val="24"/>
        </w:rPr>
        <w:t>产品说明书关键要素”为准。</w:t>
      </w:r>
    </w:p>
    <w:p w14:paraId="22CD234C"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（6）理财产品的信息服务费</w:t>
      </w:r>
    </w:p>
    <w:p w14:paraId="5A56184E"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lastRenderedPageBreak/>
        <w:t>本产品的信息服务费按前一日理财资产净值与信息服务费用费率每日计提，按季或按照管理人与银行业理财登记托管中心的约定支付，信息服务费由银行业理财产品登记托管中心有限公司收取</w:t>
      </w:r>
      <w:r>
        <w:rPr>
          <w:rFonts w:ascii="仿宋_GB2312" w:hAnsi="宋体" w:cs="宋体" w:hint="eastAsia"/>
          <w:bCs/>
          <w:spacing w:val="-4"/>
          <w:kern w:val="0"/>
          <w:szCs w:val="24"/>
        </w:rPr>
        <w:t>。信息服务费用精确到小数点后2位，小数点2位以后四舍五入</w:t>
      </w:r>
      <w:r>
        <w:rPr>
          <w:rFonts w:ascii="仿宋_GB2312" w:hAnsi="宋体" w:cs="宋体" w:hint="eastAsia"/>
          <w:bCs/>
          <w:kern w:val="0"/>
          <w:szCs w:val="24"/>
        </w:rPr>
        <w:t>。</w:t>
      </w:r>
    </w:p>
    <w:p w14:paraId="700608C4"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信息服务费用的计算方法如下：</w:t>
      </w:r>
    </w:p>
    <w:p w14:paraId="410AE4D1"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proofErr w:type="gramStart"/>
      <w:r>
        <w:rPr>
          <w:rFonts w:ascii="仿宋_GB2312" w:hAnsi="宋体" w:cs="宋体" w:hint="eastAsia"/>
          <w:bCs/>
          <w:kern w:val="0"/>
          <w:szCs w:val="24"/>
        </w:rPr>
        <w:t>H＝</w:t>
      </w:r>
      <w:proofErr w:type="gramEnd"/>
      <w:r>
        <w:rPr>
          <w:rFonts w:ascii="仿宋_GB2312" w:hAnsi="宋体" w:cs="宋体" w:hint="eastAsia"/>
          <w:bCs/>
          <w:kern w:val="0"/>
          <w:szCs w:val="24"/>
        </w:rPr>
        <w:t>E×信息服务费用年费率÷365</w:t>
      </w:r>
    </w:p>
    <w:p w14:paraId="60C4FFE0"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H为每日应计提的产品信息服务费用</w:t>
      </w:r>
    </w:p>
    <w:p w14:paraId="1CC2D172"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E为前一日的理财资产净值</w:t>
      </w:r>
    </w:p>
    <w:p w14:paraId="3B4A1C37"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（7）其他费用</w:t>
      </w:r>
    </w:p>
    <w:p w14:paraId="7AA757A5"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与理财产品相关的其他费用，按照实际发生金额从产品资产中列支。若产品管理人先行垫付其他费用的，管理人有权从理财产品资产中优先受偿。</w:t>
      </w:r>
    </w:p>
    <w:p w14:paraId="07952C23" w14:textId="77777777" w:rsidR="00D8530A" w:rsidRDefault="00000000">
      <w:pPr>
        <w:pStyle w:val="2"/>
        <w:ind w:firstLine="482"/>
      </w:pPr>
      <w:r>
        <w:rPr>
          <w:rFonts w:hint="eastAsia"/>
        </w:rPr>
        <w:t>费用调整</w:t>
      </w:r>
    </w:p>
    <w:p w14:paraId="072A0D3C"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产品管理人有权根据相关法律和国家政策规定，对理财产品费用的收费项目、收费条件、收费标准和收费方式等进行调整。产品管理人对费用的调整按本说明书约定的方式进行信息披露。投资者有权不接受调整，并按照信息披露内容中约定的方式提前赎回理财产品。</w:t>
      </w:r>
    </w:p>
    <w:p w14:paraId="126EFE4F" w14:textId="77777777" w:rsidR="00D8530A" w:rsidRDefault="00000000">
      <w:pPr>
        <w:pStyle w:val="2"/>
        <w:tabs>
          <w:tab w:val="clear" w:pos="0"/>
        </w:tabs>
        <w:ind w:firstLineChars="200" w:firstLine="480"/>
      </w:pPr>
      <w:r>
        <w:rPr>
          <w:rFonts w:hint="eastAsia"/>
        </w:rPr>
        <w:t>税收说明</w:t>
      </w:r>
    </w:p>
    <w:p w14:paraId="069807E1" w14:textId="77777777" w:rsidR="00D8530A" w:rsidRDefault="00000000">
      <w:pPr>
        <w:tabs>
          <w:tab w:val="left" w:pos="709"/>
        </w:tabs>
        <w:snapToGrid w:val="0"/>
        <w:spacing w:line="360" w:lineRule="auto"/>
        <w:ind w:firstLineChars="200" w:firstLine="480"/>
      </w:pPr>
      <w:r>
        <w:rPr>
          <w:rFonts w:ascii="仿宋_GB2312" w:hAnsi="宋体" w:cs="宋体" w:hint="eastAsia"/>
          <w:bCs/>
          <w:kern w:val="0"/>
          <w:szCs w:val="24"/>
        </w:rPr>
        <w:t>本理财产品运作过程中涉及的各纳税主体的纳税义务按国家税收法律、法规执行。除法律法规特别要求外，理财产品运营过程中发生的增值税应税行为，由理财产品承担增值税及附加税费，并由理财产品管理人进行计算、申报和缴纳，该等税费将直接从理财产品财产中支付。后续国家法律法规如对相关税收政策进行调整，管理人有权根据税收政策相应调整理财产品运营过程中发生的税费的承担方式。理财收益的应纳税款以及其他的投资者应纳税款由投资者自行申报及缴纳，管理人不承担代扣代缴或纳税的义务。</w:t>
      </w:r>
    </w:p>
    <w:p w14:paraId="6A685334" w14:textId="77777777" w:rsidR="00D8530A" w:rsidRDefault="00000000">
      <w:pPr>
        <w:jc w:val="left"/>
        <w:rPr>
          <w:rFonts w:ascii="仿宋_GB2312" w:hAnsi="宋体" w:cs="宋体" w:hint="eastAsia"/>
          <w:bCs/>
          <w:kern w:val="0"/>
          <w:szCs w:val="24"/>
        </w:rPr>
      </w:pPr>
      <w:r>
        <w:rPr>
          <w:rFonts w:ascii="仿宋_GB2312" w:hAnsi="宋体" w:cs="宋体" w:hint="eastAsia"/>
          <w:bCs/>
          <w:kern w:val="0"/>
          <w:szCs w:val="24"/>
        </w:rPr>
        <w:br w:type="page"/>
      </w:r>
    </w:p>
    <w:p w14:paraId="191A95A3" w14:textId="77777777" w:rsidR="00D8530A" w:rsidRDefault="00000000">
      <w:pPr>
        <w:pStyle w:val="1"/>
      </w:pPr>
      <w:r>
        <w:rPr>
          <w:rFonts w:hint="eastAsia"/>
        </w:rPr>
        <w:lastRenderedPageBreak/>
        <w:t>理财产品的终止与清算</w:t>
      </w:r>
    </w:p>
    <w:p w14:paraId="2B3273AF" w14:textId="77777777" w:rsidR="00D8530A" w:rsidRDefault="00000000">
      <w:pPr>
        <w:pStyle w:val="2"/>
        <w:ind w:firstLine="482"/>
      </w:pPr>
      <w:r>
        <w:rPr>
          <w:rFonts w:hint="eastAsia"/>
        </w:rPr>
        <w:t>理财产品到期</w:t>
      </w:r>
    </w:p>
    <w:p w14:paraId="6680611A"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
          <w:bCs/>
          <w:kern w:val="0"/>
          <w:szCs w:val="24"/>
        </w:rPr>
        <w:t>本理财产品到期日【2027】年【10】</w:t>
      </w:r>
      <w:r>
        <w:rPr>
          <w:rFonts w:ascii="仿宋_GB2312" w:hAnsi="宋体" w:cs="宋体"/>
          <w:b/>
          <w:bCs/>
          <w:kern w:val="0"/>
          <w:szCs w:val="24"/>
        </w:rPr>
        <w:t>月</w:t>
      </w:r>
      <w:r>
        <w:rPr>
          <w:rFonts w:ascii="仿宋_GB2312" w:hAnsi="宋体" w:cs="宋体" w:hint="eastAsia"/>
          <w:b/>
          <w:bCs/>
          <w:kern w:val="0"/>
          <w:szCs w:val="24"/>
        </w:rPr>
        <w:t>【19】</w:t>
      </w:r>
      <w:r>
        <w:rPr>
          <w:rFonts w:ascii="仿宋_GB2312" w:hAnsi="宋体" w:cs="宋体"/>
          <w:b/>
          <w:bCs/>
          <w:kern w:val="0"/>
          <w:szCs w:val="24"/>
        </w:rPr>
        <w:t>日</w:t>
      </w:r>
      <w:r>
        <w:rPr>
          <w:rFonts w:ascii="仿宋_GB2312" w:hAnsi="宋体" w:cs="宋体" w:hint="eastAsia"/>
          <w:bCs/>
          <w:kern w:val="0"/>
          <w:szCs w:val="24"/>
        </w:rPr>
        <w:t>，</w:t>
      </w:r>
      <w:r>
        <w:rPr>
          <w:rFonts w:ascii="宋体" w:hAnsi="宋体" w:hint="eastAsia"/>
          <w:szCs w:val="24"/>
        </w:rPr>
        <w:t>如产品提前终止或延期终止，除有特别约定外，实际终止日为到期日。</w:t>
      </w:r>
      <w:r>
        <w:rPr>
          <w:rFonts w:ascii="仿宋_GB2312" w:hAnsi="宋体" w:cs="宋体" w:hint="eastAsia"/>
          <w:bCs/>
          <w:kern w:val="0"/>
          <w:szCs w:val="24"/>
        </w:rPr>
        <w:t xml:space="preserve"> </w:t>
      </w:r>
    </w:p>
    <w:p w14:paraId="1335115A"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理财产品不因投资者死亡、丧失民事行为能力、破产而终止；投资者的法定继承人、承继人或指定受益人以及继任管理人承担本理财产品销售文件项下的相应权利和义务，产品管理人以及代销机构有权要求投资者的继承人或者指定受益人等相关主体配合办理相关变更手续。</w:t>
      </w:r>
    </w:p>
    <w:p w14:paraId="20A352F2" w14:textId="77777777" w:rsidR="00D8530A" w:rsidRDefault="00000000">
      <w:pPr>
        <w:pStyle w:val="2"/>
        <w:ind w:firstLine="482"/>
      </w:pPr>
      <w:r>
        <w:rPr>
          <w:rFonts w:hint="eastAsia"/>
        </w:rPr>
        <w:t>理财产品提前终止</w:t>
      </w:r>
    </w:p>
    <w:p w14:paraId="10092276" w14:textId="77777777" w:rsidR="00D8530A" w:rsidRDefault="00000000">
      <w:pPr>
        <w:widowControl/>
        <w:tabs>
          <w:tab w:val="left" w:pos="709"/>
        </w:tabs>
        <w:snapToGrid w:val="0"/>
        <w:spacing w:line="360" w:lineRule="auto"/>
        <w:ind w:firstLineChars="200" w:firstLine="480"/>
        <w:rPr>
          <w:rFonts w:ascii="仿宋_GB2312" w:hAnsi="宋体" w:cs="宋体" w:hint="eastAsia"/>
          <w:b/>
          <w:bCs/>
          <w:kern w:val="0"/>
          <w:szCs w:val="24"/>
        </w:rPr>
      </w:pPr>
      <w:r>
        <w:rPr>
          <w:rFonts w:ascii="仿宋_GB2312" w:hAnsi="宋体" w:cs="宋体" w:hint="eastAsia"/>
          <w:b/>
          <w:bCs/>
          <w:kern w:val="0"/>
          <w:szCs w:val="24"/>
        </w:rPr>
        <w:t>本理财产品存续期间，投资者无提前终止权。如出现以下情形，管理人有权但无义务提前终止本产品：</w:t>
      </w:r>
      <w:r>
        <w:rPr>
          <w:rFonts w:ascii="仿宋_GB2312" w:hAnsi="宋体" w:cs="宋体"/>
          <w:b/>
          <w:bCs/>
          <w:kern w:val="0"/>
          <w:szCs w:val="24"/>
        </w:rPr>
        <w:t xml:space="preserve"> </w:t>
      </w:r>
    </w:p>
    <w:p w14:paraId="1DB79EB8"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1.自然灾害、疫情、金融市场危机、战争等不可抗力因素及/或意外事件导致理财产品无法继续运作。</w:t>
      </w:r>
    </w:p>
    <w:p w14:paraId="6D716F53"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2.遇有市场出现剧烈波动、异常风险事件等情形导致理财产品收益出现大幅波动或严重影响理财产品的资产安全。</w:t>
      </w:r>
    </w:p>
    <w:p w14:paraId="5D811EF8"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3.因投资者理财资金被有权机关扣划等原因导致理财产品剩余资产无法满足相关法律法规规定、所投资市场要求或协议等</w:t>
      </w:r>
      <w:proofErr w:type="gramStart"/>
      <w:r>
        <w:rPr>
          <w:rFonts w:ascii="仿宋_GB2312" w:hAnsi="宋体" w:cs="宋体" w:hint="eastAsia"/>
          <w:bCs/>
          <w:kern w:val="0"/>
          <w:szCs w:val="24"/>
        </w:rPr>
        <w:t>相</w:t>
      </w:r>
      <w:r>
        <w:rPr>
          <w:rFonts w:ascii="仿宋_GB2312" w:hAnsi="宋体" w:cs="宋体" w:hint="eastAsia"/>
          <w:bCs/>
          <w:kern w:val="0"/>
          <w:szCs w:val="24"/>
        </w:rPr>
        <w:tab/>
        <w:t>关</w:t>
      </w:r>
      <w:proofErr w:type="gramEnd"/>
      <w:r>
        <w:rPr>
          <w:rFonts w:ascii="仿宋_GB2312" w:hAnsi="宋体" w:cs="宋体" w:hint="eastAsia"/>
          <w:bCs/>
          <w:kern w:val="0"/>
          <w:szCs w:val="24"/>
        </w:rPr>
        <w:t>法律文件约定，或者继续存续无法实现投资目标。</w:t>
      </w:r>
    </w:p>
    <w:p w14:paraId="3A51EEE0"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4.因相关投资管理机构解散、破产、撤销、被取消业务资格等原因无法继续履行相应职责导致产品无法继续运作。</w:t>
      </w:r>
    </w:p>
    <w:p w14:paraId="1B92589C"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5.相关投资管理机构或运用理财资金的第三方主体实施符合法律法规规定或协议等相关文件约定的行为导致理财产品被动提前终止。</w:t>
      </w:r>
    </w:p>
    <w:p w14:paraId="392E8D9A"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6.因法律法规变化或国家金融政策调整、紧急措施出台影响产品继续正常运作。</w:t>
      </w:r>
    </w:p>
    <w:p w14:paraId="10D331F9"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7.提前终止产品比维持产品运作更有利于保护产品持有人的权益。</w:t>
      </w:r>
    </w:p>
    <w:p w14:paraId="7465D3BE"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8.遇国家政策出现重大调整并影响到本产品的正常运行。</w:t>
      </w:r>
    </w:p>
    <w:p w14:paraId="502F6D2D" w14:textId="77777777" w:rsidR="00D8530A" w:rsidRDefault="00000000">
      <w:pPr>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lastRenderedPageBreak/>
        <w:t>9.因本产品投资的资产部分或全部提前终止或发生其他影响本产品正常投资运作的重大事件。</w:t>
      </w:r>
    </w:p>
    <w:p w14:paraId="52E146A0"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10.本产品存续期内，所投资资产种类已全部调整为现金资产且无其他投资安排。</w:t>
      </w:r>
    </w:p>
    <w:p w14:paraId="50BE78AF"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11.管理人认为有必要提前终止本产品的其他情形。</w:t>
      </w:r>
    </w:p>
    <w:p w14:paraId="6E74C756"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管理人将于提前终止日前1个</w:t>
      </w:r>
      <w:r>
        <w:rPr>
          <w:rFonts w:ascii="宋体" w:hAnsi="宋体" w:hint="eastAsia"/>
          <w:b/>
          <w:szCs w:val="24"/>
        </w:rPr>
        <w:t>工作日</w:t>
      </w:r>
      <w:r>
        <w:rPr>
          <w:rFonts w:ascii="仿宋_GB2312" w:hAnsi="宋体" w:cs="宋体" w:hint="eastAsia"/>
          <w:bCs/>
          <w:kern w:val="0"/>
          <w:szCs w:val="24"/>
        </w:rPr>
        <w:t>通过本产品说明书约定</w:t>
      </w:r>
      <w:r>
        <w:rPr>
          <w:rFonts w:ascii="仿宋_GB2312" w:hAnsi="宋体" w:cs="宋体"/>
          <w:bCs/>
          <w:kern w:val="0"/>
          <w:szCs w:val="24"/>
        </w:rPr>
        <w:t>方式</w:t>
      </w:r>
      <w:r>
        <w:rPr>
          <w:rFonts w:ascii="仿宋_GB2312" w:hAnsi="宋体" w:cs="宋体" w:hint="eastAsia"/>
          <w:bCs/>
          <w:kern w:val="0"/>
          <w:szCs w:val="24"/>
        </w:rPr>
        <w:t>发布本产品提前终止公告，并于提前终止日后5个</w:t>
      </w:r>
      <w:r>
        <w:rPr>
          <w:rFonts w:ascii="宋体" w:hAnsi="宋体" w:hint="eastAsia"/>
          <w:b/>
          <w:szCs w:val="24"/>
        </w:rPr>
        <w:t>工作日</w:t>
      </w:r>
      <w:r>
        <w:rPr>
          <w:rFonts w:ascii="仿宋_GB2312" w:hAnsi="宋体" w:cs="宋体" w:hint="eastAsia"/>
          <w:bCs/>
          <w:kern w:val="0"/>
          <w:szCs w:val="24"/>
        </w:rPr>
        <w:t>内将兑付理财资金划至投资者指定账户。</w:t>
      </w:r>
    </w:p>
    <w:p w14:paraId="5022F5CE" w14:textId="77777777" w:rsidR="00D8530A" w:rsidRDefault="00000000">
      <w:pPr>
        <w:pStyle w:val="2"/>
        <w:ind w:firstLine="482"/>
      </w:pPr>
      <w:r>
        <w:rPr>
          <w:rFonts w:ascii="楷体_GB2312" w:eastAsia="楷体_GB2312" w:hAnsi="宋体" w:cs="宋体" w:hint="eastAsia"/>
          <w:bCs/>
          <w:kern w:val="0"/>
          <w:szCs w:val="24"/>
        </w:rPr>
        <w:t>理财产品到期清算</w:t>
      </w:r>
    </w:p>
    <w:p w14:paraId="4642CA67"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1.清算程序</w:t>
      </w:r>
    </w:p>
    <w:p w14:paraId="2E904697"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产品到期（含提前终止）后，理财产品终止运作，本理财产品</w:t>
      </w:r>
      <w:r>
        <w:t>管</w:t>
      </w:r>
      <w:r>
        <w:rPr>
          <w:rFonts w:ascii="仿宋_GB2312" w:hAnsi="宋体" w:cs="宋体" w:hint="eastAsia"/>
          <w:bCs/>
          <w:kern w:val="0"/>
          <w:szCs w:val="24"/>
        </w:rPr>
        <w:t>理人启动产品清算，理财资产清</w:t>
      </w:r>
      <w:r>
        <w:rPr>
          <w:rFonts w:ascii="仿宋_GB2312" w:hAnsi="宋体" w:cs="宋体"/>
          <w:bCs/>
          <w:kern w:val="0"/>
          <w:szCs w:val="24"/>
        </w:rPr>
        <w:t>算后扣除理财相关费用、缴纳所欠税款并清偿理财产品负债后，</w:t>
      </w:r>
      <w:r>
        <w:rPr>
          <w:rFonts w:hint="eastAsia"/>
        </w:rPr>
        <w:t>管</w:t>
      </w:r>
      <w:r>
        <w:rPr>
          <w:rFonts w:ascii="仿宋_GB2312" w:hAnsi="宋体" w:cs="宋体" w:hint="eastAsia"/>
          <w:bCs/>
          <w:kern w:val="0"/>
          <w:szCs w:val="24"/>
        </w:rPr>
        <w:t>理人通过销售机构将投资者应得资金（如有，下同）划至投资者指定账户。本产品到期时，如本产品项下财产全部变现，管理人将在产品到期后5个</w:t>
      </w:r>
      <w:r>
        <w:rPr>
          <w:rFonts w:ascii="宋体" w:hAnsi="宋体" w:hint="eastAsia"/>
          <w:b/>
          <w:szCs w:val="24"/>
        </w:rPr>
        <w:t>工作日</w:t>
      </w:r>
      <w:r>
        <w:rPr>
          <w:rFonts w:ascii="仿宋_GB2312" w:hAnsi="宋体" w:cs="宋体" w:hint="eastAsia"/>
          <w:bCs/>
          <w:kern w:val="0"/>
          <w:szCs w:val="24"/>
        </w:rPr>
        <w:t>内向投资者完成</w:t>
      </w:r>
      <w:r>
        <w:rPr>
          <w:rFonts w:ascii="仿宋_GB2312" w:hAnsi="宋体" w:cs="宋体"/>
          <w:bCs/>
          <w:kern w:val="0"/>
          <w:szCs w:val="24"/>
        </w:rPr>
        <w:t>分配</w:t>
      </w:r>
      <w:r>
        <w:rPr>
          <w:rFonts w:ascii="仿宋_GB2312" w:hAnsi="宋体" w:cs="宋体" w:hint="eastAsia"/>
          <w:bCs/>
          <w:kern w:val="0"/>
          <w:szCs w:val="24"/>
        </w:rPr>
        <w:t>。</w:t>
      </w:r>
      <w:r>
        <w:rPr>
          <w:rFonts w:ascii="仿宋_GB2312" w:hAnsi="宋体" w:cs="宋体" w:hint="eastAsia"/>
          <w:b/>
          <w:bCs/>
          <w:kern w:val="0"/>
          <w:szCs w:val="24"/>
        </w:rPr>
        <w:t>产品到期日/终止日至资金</w:t>
      </w:r>
      <w:r>
        <w:rPr>
          <w:rFonts w:ascii="仿宋_GB2312" w:hAnsi="宋体" w:cs="宋体"/>
          <w:b/>
          <w:bCs/>
          <w:kern w:val="0"/>
          <w:szCs w:val="24"/>
        </w:rPr>
        <w:t>到账</w:t>
      </w:r>
      <w:r>
        <w:rPr>
          <w:rFonts w:ascii="仿宋_GB2312" w:hAnsi="宋体" w:cs="宋体" w:hint="eastAsia"/>
          <w:b/>
          <w:bCs/>
          <w:kern w:val="0"/>
          <w:szCs w:val="24"/>
        </w:rPr>
        <w:t>日期间，投资者理财资金如因清算安排实际产生利息的，相关利息归投资者所有。</w:t>
      </w:r>
    </w:p>
    <w:p w14:paraId="264B5318"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如因清算需要，本产品无法在到期后5个</w:t>
      </w:r>
      <w:r>
        <w:rPr>
          <w:rFonts w:ascii="宋体" w:hAnsi="宋体" w:hint="eastAsia"/>
          <w:b/>
          <w:szCs w:val="24"/>
        </w:rPr>
        <w:t>工作日</w:t>
      </w:r>
      <w:r>
        <w:rPr>
          <w:rFonts w:ascii="仿宋_GB2312" w:hAnsi="宋体" w:cs="宋体" w:hint="eastAsia"/>
          <w:bCs/>
          <w:kern w:val="0"/>
          <w:szCs w:val="24"/>
        </w:rPr>
        <w:t>内向投资者完成</w:t>
      </w:r>
      <w:r>
        <w:rPr>
          <w:rFonts w:ascii="仿宋_GB2312" w:hAnsi="宋体" w:cs="宋体"/>
          <w:bCs/>
          <w:kern w:val="0"/>
          <w:szCs w:val="24"/>
        </w:rPr>
        <w:t>分配</w:t>
      </w:r>
      <w:r>
        <w:rPr>
          <w:rFonts w:ascii="仿宋_GB2312" w:hAnsi="宋体" w:cs="宋体" w:hint="eastAsia"/>
          <w:bCs/>
          <w:kern w:val="0"/>
          <w:szCs w:val="24"/>
        </w:rPr>
        <w:t>的，管理人有权延后产品可得资金分配并于产品到期日前公告。</w:t>
      </w:r>
    </w:p>
    <w:p w14:paraId="3D36EBEF"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2.清算费用分别按照实际发生费用从产品资产中列支。</w:t>
      </w:r>
    </w:p>
    <w:p w14:paraId="67A43E9B"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bCs/>
          <w:kern w:val="0"/>
          <w:szCs w:val="24"/>
        </w:rPr>
        <w:t>3.产品资产清算剩余资产的分配</w:t>
      </w:r>
    </w:p>
    <w:p w14:paraId="471F4889"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bCs/>
          <w:kern w:val="0"/>
          <w:szCs w:val="24"/>
        </w:rPr>
        <w:t>产品资产按下列顺序清偿：</w:t>
      </w:r>
    </w:p>
    <w:p w14:paraId="07DC583C"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bCs/>
          <w:kern w:val="0"/>
          <w:szCs w:val="24"/>
        </w:rPr>
        <w:t>（1）支付清算费用和交纳所欠税款；</w:t>
      </w:r>
    </w:p>
    <w:p w14:paraId="19EFDAF4"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bCs/>
          <w:kern w:val="0"/>
          <w:szCs w:val="24"/>
        </w:rPr>
        <w:t>（2）清偿产品债务；</w:t>
      </w:r>
    </w:p>
    <w:p w14:paraId="2C0548A0"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bCs/>
          <w:kern w:val="0"/>
          <w:szCs w:val="24"/>
        </w:rPr>
        <w:t>（3）按产品份额持有人持有的产品份额比例进行分配。</w:t>
      </w:r>
    </w:p>
    <w:p w14:paraId="14EB77B5"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bCs/>
          <w:kern w:val="0"/>
          <w:szCs w:val="24"/>
        </w:rPr>
        <w:t>4.产品终止投资者到账资金计算</w:t>
      </w:r>
    </w:p>
    <w:p w14:paraId="5EB251F9"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bCs/>
          <w:kern w:val="0"/>
          <w:szCs w:val="24"/>
        </w:rPr>
        <w:t>若产品终止或提前终止时本理财产品项下资产全部变现，产品管理人将</w:t>
      </w:r>
      <w:r>
        <w:rPr>
          <w:rFonts w:ascii="仿宋_GB2312" w:hAnsi="宋体" w:cs="宋体" w:hint="eastAsia"/>
          <w:bCs/>
          <w:kern w:val="0"/>
          <w:szCs w:val="24"/>
        </w:rPr>
        <w:t>扣除理财产品财产清算费用、缴纳所欠税款并清偿理财产品债务后，按照各投资者持有理财产品份额占理财产品总份额的比例</w:t>
      </w:r>
      <w:r>
        <w:rPr>
          <w:rFonts w:ascii="仿宋_GB2312" w:hAnsi="宋体" w:cs="宋体" w:hint="eastAsia"/>
          <w:bCs/>
          <w:kern w:val="0"/>
          <w:szCs w:val="24"/>
        </w:rPr>
        <w:lastRenderedPageBreak/>
        <w:t>于</w:t>
      </w:r>
      <w:r>
        <w:rPr>
          <w:rFonts w:ascii="仿宋_GB2312" w:hAnsi="宋体" w:cs="宋体"/>
          <w:bCs/>
          <w:kern w:val="0"/>
          <w:szCs w:val="24"/>
        </w:rPr>
        <w:t>产品到期日后</w:t>
      </w:r>
      <w:r>
        <w:rPr>
          <w:rFonts w:ascii="仿宋_GB2312" w:hAnsi="宋体" w:cs="宋体" w:hint="eastAsia"/>
          <w:bCs/>
          <w:kern w:val="0"/>
          <w:szCs w:val="24"/>
        </w:rPr>
        <w:t>5</w:t>
      </w:r>
      <w:r>
        <w:rPr>
          <w:rFonts w:ascii="仿宋_GB2312" w:hAnsi="宋体" w:cs="宋体"/>
          <w:bCs/>
          <w:kern w:val="0"/>
          <w:szCs w:val="24"/>
        </w:rPr>
        <w:t>个</w:t>
      </w:r>
      <w:r>
        <w:rPr>
          <w:rFonts w:ascii="宋体" w:hAnsi="宋体" w:hint="eastAsia"/>
          <w:b/>
          <w:szCs w:val="24"/>
        </w:rPr>
        <w:t>工作日</w:t>
      </w:r>
      <w:r>
        <w:rPr>
          <w:rFonts w:ascii="仿宋_GB2312" w:hAnsi="宋体" w:cs="宋体"/>
          <w:bCs/>
          <w:kern w:val="0"/>
          <w:szCs w:val="24"/>
        </w:rPr>
        <w:t>内或提前终止日后</w:t>
      </w:r>
      <w:r>
        <w:rPr>
          <w:rFonts w:ascii="仿宋_GB2312" w:hAnsi="宋体" w:cs="宋体" w:hint="eastAsia"/>
          <w:bCs/>
          <w:kern w:val="0"/>
          <w:szCs w:val="24"/>
        </w:rPr>
        <w:t>5</w:t>
      </w:r>
      <w:r>
        <w:rPr>
          <w:rFonts w:ascii="仿宋_GB2312" w:hAnsi="宋体" w:cs="宋体"/>
          <w:bCs/>
          <w:kern w:val="0"/>
          <w:szCs w:val="24"/>
        </w:rPr>
        <w:t>个</w:t>
      </w:r>
      <w:r>
        <w:rPr>
          <w:rFonts w:ascii="宋体" w:hAnsi="宋体" w:hint="eastAsia"/>
          <w:b/>
          <w:szCs w:val="24"/>
        </w:rPr>
        <w:t>工作日</w:t>
      </w:r>
      <w:r>
        <w:rPr>
          <w:rFonts w:ascii="仿宋_GB2312" w:hAnsi="宋体" w:cs="宋体"/>
          <w:bCs/>
          <w:kern w:val="0"/>
          <w:szCs w:val="24"/>
        </w:rPr>
        <w:t>内将投资者应得资金划转投资者指定账户。计算公式如下：</w:t>
      </w:r>
    </w:p>
    <w:p w14:paraId="79BBE4E8"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本产品兑付金额</w:t>
      </w:r>
      <w:proofErr w:type="gramStart"/>
      <w:r>
        <w:rPr>
          <w:rFonts w:ascii="仿宋_GB2312" w:hAnsi="宋体" w:cs="宋体" w:hint="eastAsia"/>
          <w:bCs/>
          <w:kern w:val="0"/>
          <w:szCs w:val="24"/>
        </w:rPr>
        <w:t>(理财产品总资产净值)</w:t>
      </w:r>
      <w:proofErr w:type="gramEnd"/>
      <w:r>
        <w:rPr>
          <w:rFonts w:ascii="仿宋_GB2312" w:hAnsi="宋体" w:cs="宋体" w:hint="eastAsia"/>
          <w:bCs/>
          <w:kern w:val="0"/>
          <w:szCs w:val="24"/>
        </w:rPr>
        <w:t>=理财产品资产总值-理财产品负债总值</w:t>
      </w:r>
    </w:p>
    <w:p w14:paraId="5E4E9A40"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其中，投资者到账金额为：</w:t>
      </w:r>
    </w:p>
    <w:p w14:paraId="0603320C"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本产品投资者到账金额=投资者在到期日持有理财产品份额/理财产品总份额*理财产品总资产净值，</w:t>
      </w:r>
      <w:r>
        <w:rPr>
          <w:rFonts w:ascii="仿宋_GB2312" w:hAnsi="宋体" w:cs="宋体"/>
          <w:bCs/>
          <w:kern w:val="0"/>
          <w:szCs w:val="24"/>
        </w:rPr>
        <w:t>最终资金以实际到账为准。</w:t>
      </w:r>
    </w:p>
    <w:p w14:paraId="255B1ABB"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bCs/>
          <w:kern w:val="0"/>
          <w:szCs w:val="24"/>
        </w:rPr>
        <w:t>产品终止日，如产品投资资产因市场风险、信用风险以及监管风险等原因不能全部变现且产品管理人未对本产品进行延期则本产品进入延期清算程序。产品延期清算时，产品管理人将提前发布相关公告。产品管理人将产品持有的现金类资产在扣除支付清算费用和交纳所欠税款、清偿产品债务后，如仍有剩余资金</w:t>
      </w:r>
      <w:r>
        <w:rPr>
          <w:rFonts w:ascii="仿宋_GB2312" w:hAnsi="宋体" w:cs="宋体" w:hint="eastAsia"/>
          <w:bCs/>
          <w:kern w:val="0"/>
          <w:szCs w:val="24"/>
        </w:rPr>
        <w:t>，</w:t>
      </w:r>
      <w:r>
        <w:rPr>
          <w:rFonts w:ascii="仿宋_GB2312" w:hAnsi="宋体" w:cs="宋体"/>
          <w:bCs/>
          <w:kern w:val="0"/>
          <w:szCs w:val="24"/>
        </w:rPr>
        <w:t>可</w:t>
      </w:r>
      <w:r>
        <w:rPr>
          <w:rFonts w:ascii="仿宋_GB2312" w:hAnsi="宋体" w:cs="宋体" w:hint="eastAsia"/>
          <w:bCs/>
          <w:kern w:val="0"/>
          <w:szCs w:val="24"/>
        </w:rPr>
        <w:t>按照各投资者持有理财产品份额占理财产品总份额的比例</w:t>
      </w:r>
      <w:r>
        <w:rPr>
          <w:rFonts w:ascii="仿宋_GB2312" w:hAnsi="宋体" w:cs="宋体"/>
          <w:bCs/>
          <w:kern w:val="0"/>
          <w:szCs w:val="24"/>
        </w:rPr>
        <w:t>分配给</w:t>
      </w:r>
      <w:r>
        <w:rPr>
          <w:rFonts w:ascii="仿宋_GB2312" w:hAnsi="宋体" w:cs="宋体" w:hint="eastAsia"/>
          <w:bCs/>
          <w:kern w:val="0"/>
          <w:szCs w:val="24"/>
        </w:rPr>
        <w:t>投资者</w:t>
      </w:r>
      <w:r>
        <w:rPr>
          <w:rFonts w:ascii="仿宋_GB2312" w:hAnsi="宋体" w:cs="宋体"/>
          <w:bCs/>
          <w:kern w:val="0"/>
          <w:szCs w:val="24"/>
        </w:rPr>
        <w:t>。对于未变现资产部分，产品管理人以投资者利益最大化的原则，寻求未变现资产变现方式，在资产变现后，产品持有的现金类资产在扣除剩余未支付的清算费用和交纳所欠税款、清偿产品债务后，</w:t>
      </w:r>
      <w:r>
        <w:rPr>
          <w:rFonts w:ascii="仿宋_GB2312" w:hAnsi="宋体" w:cs="宋体" w:hint="eastAsia"/>
          <w:bCs/>
          <w:kern w:val="0"/>
          <w:szCs w:val="24"/>
        </w:rPr>
        <w:t>按照各投资者持有理财产品份额占理财产品总份额的比例</w:t>
      </w:r>
      <w:r>
        <w:rPr>
          <w:rFonts w:ascii="仿宋_GB2312" w:hAnsi="宋体" w:cs="宋体"/>
          <w:bCs/>
          <w:kern w:val="0"/>
          <w:szCs w:val="24"/>
        </w:rPr>
        <w:t>于产品清算完毕后的5个</w:t>
      </w:r>
      <w:r>
        <w:rPr>
          <w:rFonts w:ascii="宋体" w:hAnsi="宋体" w:hint="eastAsia"/>
          <w:b/>
          <w:szCs w:val="24"/>
        </w:rPr>
        <w:t>工作日</w:t>
      </w:r>
      <w:r>
        <w:rPr>
          <w:rFonts w:ascii="仿宋_GB2312" w:hAnsi="宋体" w:cs="宋体"/>
          <w:bCs/>
          <w:kern w:val="0"/>
          <w:szCs w:val="24"/>
        </w:rPr>
        <w:t>内分配给</w:t>
      </w:r>
      <w:r>
        <w:rPr>
          <w:rFonts w:ascii="仿宋_GB2312" w:hAnsi="宋体" w:cs="宋体" w:hint="eastAsia"/>
          <w:bCs/>
          <w:kern w:val="0"/>
          <w:szCs w:val="24"/>
        </w:rPr>
        <w:t>投资者</w:t>
      </w:r>
      <w:r>
        <w:rPr>
          <w:rFonts w:ascii="仿宋_GB2312" w:hAnsi="宋体" w:cs="宋体"/>
          <w:bCs/>
          <w:kern w:val="0"/>
          <w:szCs w:val="24"/>
        </w:rPr>
        <w:t>。</w:t>
      </w:r>
    </w:p>
    <w:p w14:paraId="002BA157" w14:textId="77777777" w:rsidR="00D8530A" w:rsidRDefault="00000000">
      <w:pPr>
        <w:widowControl/>
        <w:tabs>
          <w:tab w:val="left" w:pos="709"/>
        </w:tabs>
        <w:snapToGrid w:val="0"/>
        <w:spacing w:line="360" w:lineRule="auto"/>
        <w:ind w:firstLineChars="200" w:firstLine="480"/>
        <w:rPr>
          <w:rFonts w:ascii="仿宋_GB2312" w:hAnsi="宋体" w:cs="宋体" w:hint="eastAsia"/>
          <w:bCs/>
          <w:kern w:val="0"/>
          <w:szCs w:val="24"/>
        </w:rPr>
      </w:pPr>
      <w:r>
        <w:rPr>
          <w:rFonts w:ascii="仿宋_GB2312" w:hAnsi="宋体" w:cs="宋体" w:hint="eastAsia"/>
          <w:bCs/>
          <w:kern w:val="0"/>
          <w:szCs w:val="24"/>
        </w:rPr>
        <w:t>产品管理人拟进行二次或多次清算的，管理人应向投资者及时披露。</w:t>
      </w:r>
    </w:p>
    <w:p w14:paraId="0FB90027" w14:textId="77777777" w:rsidR="00D8530A" w:rsidRDefault="00000000">
      <w:pPr>
        <w:widowControl/>
        <w:tabs>
          <w:tab w:val="left" w:pos="709"/>
        </w:tabs>
        <w:snapToGrid w:val="0"/>
        <w:spacing w:line="360" w:lineRule="auto"/>
        <w:ind w:firstLineChars="200" w:firstLine="480"/>
        <w:jc w:val="left"/>
        <w:rPr>
          <w:rFonts w:ascii="仿宋_GB2312" w:hAnsi="宋体" w:cs="宋体" w:hint="eastAsia"/>
          <w:bCs/>
          <w:kern w:val="0"/>
          <w:szCs w:val="24"/>
        </w:rPr>
      </w:pPr>
      <w:r>
        <w:rPr>
          <w:rFonts w:ascii="仿宋_GB2312" w:hAnsi="宋体" w:cs="宋体" w:hint="eastAsia"/>
          <w:bCs/>
          <w:kern w:val="0"/>
          <w:szCs w:val="24"/>
        </w:rPr>
        <w:t>5.产品正常终止时，投资者到账资金示例</w:t>
      </w:r>
    </w:p>
    <w:p w14:paraId="7CED2B90" w14:textId="77777777" w:rsidR="00D8530A" w:rsidRDefault="00000000">
      <w:pPr>
        <w:widowControl/>
        <w:tabs>
          <w:tab w:val="left" w:pos="709"/>
        </w:tabs>
        <w:snapToGrid w:val="0"/>
        <w:spacing w:line="360" w:lineRule="auto"/>
        <w:ind w:firstLineChars="200" w:firstLine="480"/>
        <w:jc w:val="left"/>
        <w:rPr>
          <w:rFonts w:ascii="仿宋_GB2312" w:hAnsi="宋体" w:cs="宋体" w:hint="eastAsia"/>
          <w:bCs/>
          <w:kern w:val="0"/>
          <w:szCs w:val="24"/>
        </w:rPr>
      </w:pPr>
      <w:r>
        <w:rPr>
          <w:rFonts w:ascii="仿宋_GB2312" w:hAnsi="宋体" w:cs="宋体" w:hint="eastAsia"/>
          <w:bCs/>
          <w:kern w:val="0"/>
          <w:szCs w:val="24"/>
        </w:rPr>
        <w:t>假设当理财产品正常终止时，某客户持有10万份本产品份额，产品初始份额净值为1.000000元/份，折算份额为100000份。如本产品募集份额55000000份，期限为91天，扣除固定费用、浮动费用及税款（若有）后，理财产品总资产净值为55817260.27元，客户最终收到资金为：</w:t>
      </w:r>
      <w:r>
        <w:rPr>
          <w:rFonts w:ascii="仿宋_GB2312" w:hAnsi="宋体" w:cs="宋体"/>
          <w:bCs/>
          <w:kern w:val="0"/>
          <w:szCs w:val="24"/>
        </w:rPr>
        <w:t>100000/55000000*55817260.27=101485.92元。</w:t>
      </w:r>
    </w:p>
    <w:p w14:paraId="0042E13B" w14:textId="77777777" w:rsidR="00D8530A" w:rsidRDefault="00000000">
      <w:pPr>
        <w:widowControl/>
        <w:jc w:val="left"/>
        <w:rPr>
          <w:rFonts w:ascii="仿宋_GB2312" w:hAnsi="宋体" w:cs="宋体" w:hint="eastAsia"/>
          <w:bCs/>
          <w:kern w:val="0"/>
          <w:szCs w:val="24"/>
        </w:rPr>
      </w:pPr>
      <w:r>
        <w:rPr>
          <w:rFonts w:ascii="仿宋_GB2312" w:hAnsi="宋体" w:cs="宋体"/>
          <w:bCs/>
          <w:kern w:val="0"/>
          <w:szCs w:val="24"/>
        </w:rPr>
        <w:br w:type="page"/>
      </w:r>
    </w:p>
    <w:p w14:paraId="4C8AE41F" w14:textId="77777777" w:rsidR="00D8530A" w:rsidRDefault="00000000">
      <w:pPr>
        <w:pStyle w:val="1"/>
      </w:pPr>
      <w:r>
        <w:rPr>
          <w:rFonts w:hint="eastAsia"/>
        </w:rPr>
        <w:lastRenderedPageBreak/>
        <w:t>理财产品的信息披露</w:t>
      </w:r>
    </w:p>
    <w:p w14:paraId="09918181" w14:textId="77777777" w:rsidR="00D8530A" w:rsidRDefault="00000000">
      <w:pPr>
        <w:pStyle w:val="2"/>
        <w:ind w:firstLine="482"/>
      </w:pPr>
      <w:r>
        <w:rPr>
          <w:rFonts w:hint="eastAsia"/>
        </w:rPr>
        <w:t>信息披露方式</w:t>
      </w:r>
    </w:p>
    <w:p w14:paraId="630E6932"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
          <w:kern w:val="0"/>
          <w:szCs w:val="24"/>
        </w:rPr>
      </w:pPr>
      <w:r>
        <w:rPr>
          <w:rFonts w:ascii="仿宋_GB2312" w:hAnsi="宋体" w:cs="宋体" w:hint="eastAsia"/>
          <w:b/>
          <w:kern w:val="0"/>
          <w:szCs w:val="24"/>
        </w:rPr>
        <w:t>本理财产品将通过中国理财网、产品管理人官方网站【</w:t>
      </w:r>
      <w:r>
        <w:rPr>
          <w:rFonts w:ascii="仿宋_GB2312" w:hAnsi="宋体" w:cs="宋体"/>
          <w:b/>
          <w:kern w:val="0"/>
          <w:szCs w:val="24"/>
        </w:rPr>
        <w:t>www.czbank-wm.com</w:t>
      </w:r>
      <w:r>
        <w:rPr>
          <w:rFonts w:ascii="仿宋_GB2312" w:hAnsi="宋体" w:cs="宋体" w:hint="eastAsia"/>
          <w:b/>
          <w:kern w:val="0"/>
          <w:szCs w:val="24"/>
        </w:rPr>
        <w:t>】、销售机构官方网站、个人手机银行或其他约定的方式等一种或多种渠道进行信息披露。相关信息自披露之日即视为已送达投资者，也视为产品管理人已适当披露理财产品相关信息。投资者应及时查看，以免因未及时获知信息而错过资金使用和再投资的机会。若由于投资者原因未能及时登陆产品管理人官方网站、销售机构信息披露渠道获取披露信息，所造成的后果将由投资者自行承担，产品管理人不承担相应责任。</w:t>
      </w:r>
    </w:p>
    <w:p w14:paraId="79D47D4C" w14:textId="77777777" w:rsidR="00D8530A" w:rsidRDefault="00000000">
      <w:pPr>
        <w:pStyle w:val="2"/>
        <w:ind w:firstLine="482"/>
      </w:pPr>
      <w:r>
        <w:rPr>
          <w:rFonts w:hint="eastAsia"/>
        </w:rPr>
        <w:t>信息披露内容</w:t>
      </w:r>
    </w:p>
    <w:p w14:paraId="173D992B"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
          <w:kern w:val="0"/>
          <w:szCs w:val="24"/>
        </w:rPr>
      </w:pPr>
      <w:r>
        <w:rPr>
          <w:rFonts w:ascii="仿宋_GB2312" w:hAnsi="宋体" w:cs="宋体" w:hint="eastAsia"/>
          <w:b/>
          <w:kern w:val="0"/>
          <w:szCs w:val="24"/>
        </w:rPr>
        <w:t>1.产品类型、募集信息、产品净值、产品规模、收益情况；</w:t>
      </w:r>
    </w:p>
    <w:p w14:paraId="703E5773"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
          <w:kern w:val="0"/>
          <w:szCs w:val="24"/>
        </w:rPr>
      </w:pPr>
      <w:r>
        <w:rPr>
          <w:rFonts w:ascii="仿宋_GB2312" w:hAnsi="宋体" w:cs="宋体" w:hint="eastAsia"/>
          <w:b/>
          <w:kern w:val="0"/>
          <w:szCs w:val="24"/>
        </w:rPr>
        <w:t>2.产品直接和间接投资的资产种类、投资比例、</w:t>
      </w:r>
      <w:r>
        <w:rPr>
          <w:rFonts w:ascii="仿宋_GB2312" w:hAnsi="宋体" w:cs="宋体" w:hint="eastAsia"/>
          <w:b/>
          <w:kern w:val="0"/>
          <w:szCs w:val="24"/>
          <w:lang w:val="zh-CN"/>
        </w:rPr>
        <w:t>前十项资产具体名称、规模和比例等信息、</w:t>
      </w:r>
      <w:r>
        <w:rPr>
          <w:rFonts w:ascii="仿宋_GB2312" w:hAnsi="宋体" w:cs="宋体" w:hint="eastAsia"/>
          <w:b/>
          <w:kern w:val="0"/>
          <w:szCs w:val="24"/>
        </w:rPr>
        <w:t>杠杆水平以及流动性风险分析；</w:t>
      </w:r>
    </w:p>
    <w:p w14:paraId="6A7F637E"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
          <w:kern w:val="0"/>
          <w:szCs w:val="24"/>
        </w:rPr>
      </w:pPr>
      <w:r>
        <w:rPr>
          <w:rFonts w:ascii="仿宋_GB2312" w:hAnsi="宋体" w:cs="宋体" w:hint="eastAsia"/>
          <w:b/>
          <w:kern w:val="0"/>
          <w:szCs w:val="24"/>
        </w:rPr>
        <w:t>3.产品估值方法、托管安排；</w:t>
      </w:r>
    </w:p>
    <w:p w14:paraId="4A17CD51"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
          <w:kern w:val="0"/>
          <w:szCs w:val="24"/>
        </w:rPr>
      </w:pPr>
      <w:r>
        <w:rPr>
          <w:rFonts w:ascii="仿宋_GB2312" w:hAnsi="宋体" w:cs="宋体" w:hint="eastAsia"/>
          <w:b/>
          <w:kern w:val="0"/>
          <w:szCs w:val="24"/>
        </w:rPr>
        <w:t>4.产品收益分配、各项费用情况及主要投资风险；</w:t>
      </w:r>
    </w:p>
    <w:p w14:paraId="3EF16919"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
          <w:kern w:val="0"/>
          <w:szCs w:val="24"/>
        </w:rPr>
      </w:pPr>
      <w:r>
        <w:rPr>
          <w:rFonts w:ascii="仿宋_GB2312" w:hAnsi="宋体" w:cs="宋体" w:hint="eastAsia"/>
          <w:b/>
          <w:kern w:val="0"/>
          <w:szCs w:val="24"/>
        </w:rPr>
        <w:t>5.如本理财产品投资于理财产品管理人或托管机构的主要股东、实际控制人、一致行动人、最终受益人，托管机构，同一股东或托管机构控股的机构，或者与理财产品管理人或托管机构有重大利害关系的机构，以及国家金融监督管理机构关于关联交易管理相关规定中涉及的其他关联方发行或承销的证券、发行的资产管理产品，或者从事其他关联交易的，应当在理财产品管理人官方网站或者行业统一渠道披露关联交易信息，在理财产品管理人年报中披露当年关联交易总体情况，并应向投资者充分披露。</w:t>
      </w:r>
    </w:p>
    <w:p w14:paraId="073D1DEA"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
          <w:kern w:val="0"/>
          <w:szCs w:val="24"/>
        </w:rPr>
      </w:pPr>
      <w:r>
        <w:rPr>
          <w:rFonts w:ascii="仿宋_GB2312" w:hAnsi="宋体" w:cs="宋体"/>
          <w:b/>
          <w:kern w:val="0"/>
          <w:szCs w:val="24"/>
        </w:rPr>
        <w:t>6</w:t>
      </w:r>
      <w:r>
        <w:rPr>
          <w:rFonts w:ascii="仿宋_GB2312" w:hAnsi="宋体" w:cs="宋体" w:hint="eastAsia"/>
          <w:b/>
          <w:kern w:val="0"/>
          <w:szCs w:val="24"/>
        </w:rPr>
        <w:t>.其他影响本产品投资运作的重大事项、突发事件、临时性信息披露等。</w:t>
      </w:r>
    </w:p>
    <w:p w14:paraId="37DC6A45" w14:textId="77777777" w:rsidR="00D8530A" w:rsidRDefault="00000000">
      <w:pPr>
        <w:pStyle w:val="2"/>
        <w:ind w:firstLine="482"/>
      </w:pPr>
      <w:r>
        <w:rPr>
          <w:rFonts w:hint="eastAsia"/>
        </w:rPr>
        <w:lastRenderedPageBreak/>
        <w:t>信息披露频率</w:t>
      </w:r>
    </w:p>
    <w:p w14:paraId="0E58151C"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kern w:val="0"/>
          <w:szCs w:val="24"/>
        </w:rPr>
        <w:t>1.发行公告：本产品成立后5个工作日（含）内，将发布本理财产品成立公告；如</w:t>
      </w:r>
      <w:r>
        <w:rPr>
          <w:rFonts w:ascii="仿宋_GB2312" w:hAnsi="宋体" w:cs="宋体" w:hint="eastAsia"/>
          <w:kern w:val="0"/>
          <w:szCs w:val="24"/>
        </w:rPr>
        <w:t>产品</w:t>
      </w:r>
      <w:r>
        <w:rPr>
          <w:rFonts w:ascii="仿宋_GB2312" w:hAnsi="宋体" w:cs="宋体"/>
          <w:kern w:val="0"/>
          <w:szCs w:val="24"/>
        </w:rPr>
        <w:t>管理人决定本理财产品募集期延长，将于原定成立日前发布理财产品募集期延长公告；</w:t>
      </w:r>
      <w:r>
        <w:rPr>
          <w:rFonts w:ascii="仿宋_GB2312" w:hAnsi="宋体" w:cs="宋体" w:hint="eastAsia"/>
          <w:kern w:val="0"/>
          <w:szCs w:val="24"/>
        </w:rPr>
        <w:t>产品</w:t>
      </w:r>
      <w:r>
        <w:rPr>
          <w:rFonts w:ascii="仿宋_GB2312" w:hAnsi="宋体" w:cs="宋体"/>
          <w:kern w:val="0"/>
          <w:szCs w:val="24"/>
        </w:rPr>
        <w:t>管理人决定本理财产品不成立，将在理财产品原定成立日后的2个工作日（含）内发布理财产品不成立公告。</w:t>
      </w:r>
    </w:p>
    <w:p w14:paraId="459C5954" w14:textId="77777777" w:rsidR="00D8530A" w:rsidRDefault="00000000">
      <w:pPr>
        <w:widowControl/>
        <w:tabs>
          <w:tab w:val="left" w:pos="1261"/>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kern w:val="0"/>
          <w:szCs w:val="24"/>
        </w:rPr>
        <w:t>2.定期公告：本产品在</w:t>
      </w:r>
      <w:r>
        <w:rPr>
          <w:rFonts w:ascii="仿宋_GB2312" w:hAnsi="宋体" w:cs="宋体" w:hint="eastAsia"/>
          <w:kern w:val="0"/>
          <w:szCs w:val="24"/>
        </w:rPr>
        <w:t>每个季度结束之日起十五个工作日内披露产品的季度报告，每年8月31日前披露产品的半年度报告，每年4月30日前披露产品上一年度的年度报告。产品成立不足</w:t>
      </w:r>
      <w:r>
        <w:rPr>
          <w:rFonts w:ascii="仿宋_GB2312" w:hAnsi="宋体" w:cs="宋体"/>
          <w:kern w:val="0"/>
          <w:szCs w:val="24"/>
        </w:rPr>
        <w:t>90</w:t>
      </w:r>
      <w:r>
        <w:rPr>
          <w:rFonts w:ascii="仿宋_GB2312" w:hAnsi="宋体" w:cs="宋体" w:hint="eastAsia"/>
          <w:kern w:val="0"/>
          <w:szCs w:val="24"/>
        </w:rPr>
        <w:t>个自然日或者</w:t>
      </w:r>
      <w:r>
        <w:rPr>
          <w:rFonts w:ascii="仿宋_GB2312" w:hint="eastAsia"/>
          <w:szCs w:val="32"/>
        </w:rPr>
        <w:t>理财产品剩余存续期不足完整报告期，且到期公告或清算报告包括对应定期报告内容的</w:t>
      </w:r>
      <w:r>
        <w:rPr>
          <w:rFonts w:ascii="仿宋_GB2312" w:hAnsi="宋体" w:cs="宋体" w:hint="eastAsia"/>
          <w:kern w:val="0"/>
          <w:szCs w:val="24"/>
        </w:rPr>
        <w:t>，可不编制本产品当期的季度、半年和年度报告。</w:t>
      </w:r>
    </w:p>
    <w:p w14:paraId="68C761E4"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kern w:val="0"/>
          <w:szCs w:val="24"/>
        </w:rPr>
        <w:t>3.到期公告：本产品在终止后5</w:t>
      </w:r>
      <w:r>
        <w:rPr>
          <w:rFonts w:ascii="仿宋_GB2312" w:hAnsi="宋体" w:cs="宋体" w:hint="eastAsia"/>
          <w:kern w:val="0"/>
          <w:szCs w:val="24"/>
        </w:rPr>
        <w:t>个工作日内，披露本产品到期公告，包括理财产品的存续期限、终止日期、收费情况和收益分配情况等信息。本产品终止后5个工作日内，产品管理人发布产品到期公告。</w:t>
      </w:r>
    </w:p>
    <w:p w14:paraId="32A83160"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hint="eastAsia"/>
          <w:kern w:val="0"/>
          <w:szCs w:val="24"/>
        </w:rPr>
        <w:t>如果产品管理人提前或</w:t>
      </w:r>
      <w:r>
        <w:rPr>
          <w:rFonts w:ascii="仿宋_GB2312" w:hAnsi="宋体" w:cs="宋体"/>
          <w:kern w:val="0"/>
          <w:szCs w:val="24"/>
        </w:rPr>
        <w:t>延后</w:t>
      </w:r>
      <w:r>
        <w:rPr>
          <w:rFonts w:ascii="仿宋_GB2312" w:hAnsi="宋体" w:cs="宋体" w:hint="eastAsia"/>
          <w:kern w:val="0"/>
          <w:szCs w:val="24"/>
        </w:rPr>
        <w:t>终止本产品，产品管理人将提前1个工作日进行公告。</w:t>
      </w:r>
    </w:p>
    <w:p w14:paraId="5A4C9D76"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kern w:val="0"/>
          <w:szCs w:val="24"/>
        </w:rPr>
        <w:t>4.产品</w:t>
      </w:r>
      <w:r>
        <w:rPr>
          <w:rFonts w:ascii="仿宋_GB2312" w:hAnsi="宋体" w:cs="宋体" w:hint="eastAsia"/>
          <w:kern w:val="0"/>
          <w:szCs w:val="24"/>
        </w:rPr>
        <w:t>估值日公告：本产品存续期内，</w:t>
      </w:r>
      <w:r>
        <w:rPr>
          <w:rFonts w:ascii="仿宋_GB2312" w:hAnsi="宋体" w:cs="宋体" w:hint="eastAsia"/>
          <w:b/>
          <w:kern w:val="0"/>
          <w:szCs w:val="24"/>
        </w:rPr>
        <w:t>每【周】</w:t>
      </w:r>
      <w:r>
        <w:rPr>
          <w:rFonts w:ascii="仿宋_GB2312" w:hAnsi="宋体" w:cs="宋体" w:hint="eastAsia"/>
          <w:kern w:val="0"/>
          <w:szCs w:val="24"/>
        </w:rPr>
        <w:t>向投资者披露一次估值日公告</w:t>
      </w:r>
      <w:proofErr w:type="gramStart"/>
      <w:r>
        <w:rPr>
          <w:rFonts w:ascii="宋体" w:hAnsi="宋体"/>
          <w:b/>
          <w:szCs w:val="24"/>
        </w:rPr>
        <w:t>(</w:t>
      </w:r>
      <w:r>
        <w:rPr>
          <w:rFonts w:ascii="宋体" w:hAnsi="宋体"/>
          <w:b/>
          <w:szCs w:val="24"/>
        </w:rPr>
        <w:t>如遇特殊情况以产品管理人</w:t>
      </w:r>
      <w:r>
        <w:rPr>
          <w:rFonts w:ascii="宋体" w:hAnsi="宋体" w:hint="eastAsia"/>
          <w:b/>
          <w:szCs w:val="24"/>
        </w:rPr>
        <w:t>披露</w:t>
      </w:r>
      <w:r>
        <w:rPr>
          <w:rFonts w:ascii="宋体" w:hAnsi="宋体"/>
          <w:b/>
          <w:szCs w:val="24"/>
        </w:rPr>
        <w:t>为准</w:t>
      </w:r>
      <w:r>
        <w:rPr>
          <w:rFonts w:ascii="宋体" w:hAnsi="宋体"/>
          <w:b/>
          <w:szCs w:val="24"/>
        </w:rPr>
        <w:t>)</w:t>
      </w:r>
      <w:proofErr w:type="gramEnd"/>
      <w:r>
        <w:rPr>
          <w:rFonts w:ascii="仿宋_GB2312" w:hAnsi="宋体" w:cs="宋体" w:hint="eastAsia"/>
          <w:kern w:val="0"/>
          <w:szCs w:val="24"/>
        </w:rPr>
        <w:t>，估值日公告披露的内容包括估值日的产品份额净值、产品份额累计净值等。如遇法定节假日顺延。如遇产品到期日、季度末、半年度末、年度末等时间节点，产品管理人将增加估值日。此外，如遇其他特殊情况，以产品管理人信息披露为准。</w:t>
      </w:r>
    </w:p>
    <w:p w14:paraId="6D5D445A"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hint="eastAsia"/>
          <w:kern w:val="0"/>
          <w:szCs w:val="24"/>
        </w:rPr>
        <w:t>5</w:t>
      </w:r>
      <w:r>
        <w:rPr>
          <w:rFonts w:ascii="仿宋_GB2312" w:hAnsi="宋体" w:cs="宋体"/>
          <w:kern w:val="0"/>
          <w:szCs w:val="24"/>
        </w:rPr>
        <w:t>.</w:t>
      </w:r>
      <w:r>
        <w:rPr>
          <w:rFonts w:ascii="仿宋_GB2312" w:hAnsi="宋体" w:cs="宋体" w:hint="eastAsia"/>
          <w:kern w:val="0"/>
          <w:szCs w:val="24"/>
        </w:rPr>
        <w:t>产品临时公告</w:t>
      </w:r>
    </w:p>
    <w:p w14:paraId="69ED87C3"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hint="eastAsia"/>
          <w:kern w:val="0"/>
          <w:szCs w:val="24"/>
        </w:rPr>
        <w:t>（</w:t>
      </w:r>
      <w:r>
        <w:rPr>
          <w:rFonts w:ascii="仿宋_GB2312" w:hAnsi="宋体" w:cs="宋体"/>
          <w:kern w:val="0"/>
          <w:szCs w:val="24"/>
        </w:rPr>
        <w:t>1</w:t>
      </w:r>
      <w:r>
        <w:rPr>
          <w:rFonts w:ascii="仿宋_GB2312" w:hAnsi="宋体" w:cs="宋体" w:hint="eastAsia"/>
          <w:kern w:val="0"/>
          <w:szCs w:val="24"/>
        </w:rPr>
        <w:t>）产品管理人对产品类型、投资范围、资产种类、投资比例、风险等级、产品期限、运作方式、认（申）购和赎回安排（包含认购或申购赎回时间、金额上下限等）、估值方法、收益分配安排、</w:t>
      </w:r>
      <w:r>
        <w:rPr>
          <w:rFonts w:ascii="仿宋_GB2312" w:hint="eastAsia"/>
          <w:szCs w:val="32"/>
        </w:rPr>
        <w:t>份额类别、</w:t>
      </w:r>
      <w:r>
        <w:rPr>
          <w:rFonts w:ascii="仿宋_GB2312" w:hAnsi="宋体" w:cs="宋体" w:hint="eastAsia"/>
          <w:kern w:val="0"/>
          <w:szCs w:val="24"/>
        </w:rPr>
        <w:t>收费项目、收费条件、收费标准、收费方式、费用优惠措施等保留调整的权利，如发生调整，调整后的要素以产品管理人发布的公告中所载明的内容为准。产品管理人将提前1个工作日发布公告。</w:t>
      </w:r>
    </w:p>
    <w:p w14:paraId="6090506D"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
          <w:bCs/>
          <w:kern w:val="0"/>
          <w:szCs w:val="24"/>
        </w:rPr>
      </w:pPr>
      <w:r>
        <w:rPr>
          <w:rFonts w:ascii="仿宋_GB2312" w:hAnsi="宋体" w:cs="宋体" w:hint="eastAsia"/>
          <w:b/>
          <w:bCs/>
          <w:kern w:val="0"/>
          <w:szCs w:val="24"/>
        </w:rPr>
        <w:lastRenderedPageBreak/>
        <w:t>（</w:t>
      </w:r>
      <w:r>
        <w:rPr>
          <w:rFonts w:ascii="仿宋_GB2312" w:hAnsi="宋体" w:cs="宋体"/>
          <w:b/>
          <w:bCs/>
          <w:kern w:val="0"/>
          <w:szCs w:val="24"/>
        </w:rPr>
        <w:t>2）在发生产品管理人拒绝或暂停接受投资者认购/申购申请、</w:t>
      </w:r>
      <w:r>
        <w:rPr>
          <w:rFonts w:ascii="仿宋_GB2312" w:hAnsi="宋体" w:cs="宋体" w:hint="eastAsia"/>
          <w:b/>
          <w:bCs/>
          <w:kern w:val="0"/>
          <w:szCs w:val="24"/>
        </w:rPr>
        <w:t>延期办理巨额赎回申请、</w:t>
      </w:r>
      <w:r>
        <w:rPr>
          <w:rFonts w:ascii="仿宋_GB2312" w:hAnsi="宋体" w:cs="宋体"/>
          <w:b/>
          <w:bCs/>
          <w:kern w:val="0"/>
          <w:szCs w:val="24"/>
        </w:rPr>
        <w:t>暂停接受投资者赎回申请、延缓支付赎回款项、暂停理财产品估值、</w:t>
      </w:r>
      <w:r>
        <w:rPr>
          <w:rFonts w:ascii="仿宋_GB2312" w:hAnsi="宋体" w:cs="宋体" w:hint="eastAsia"/>
          <w:b/>
          <w:bCs/>
          <w:kern w:val="0"/>
          <w:szCs w:val="24"/>
        </w:rPr>
        <w:t>收取短期赎回费、</w:t>
      </w:r>
      <w:r>
        <w:rPr>
          <w:rFonts w:ascii="仿宋_GB2312" w:hAnsi="宋体" w:cs="宋体"/>
          <w:b/>
          <w:bCs/>
          <w:kern w:val="0"/>
          <w:szCs w:val="24"/>
        </w:rPr>
        <w:t>采用摆动定价等情形时，产品管理人将于</w:t>
      </w:r>
      <w:r>
        <w:rPr>
          <w:rFonts w:ascii="仿宋_GB2312" w:hAnsi="宋体" w:cs="宋体" w:hint="eastAsia"/>
          <w:b/>
          <w:bCs/>
          <w:kern w:val="0"/>
          <w:szCs w:val="24"/>
        </w:rPr>
        <w:t>情形发生后</w:t>
      </w:r>
      <w:r>
        <w:rPr>
          <w:rFonts w:ascii="仿宋_GB2312" w:hAnsi="宋体" w:cs="宋体"/>
          <w:b/>
          <w:bCs/>
          <w:kern w:val="0"/>
          <w:szCs w:val="24"/>
        </w:rPr>
        <w:t>3</w:t>
      </w:r>
      <w:r>
        <w:rPr>
          <w:rFonts w:ascii="仿宋_GB2312" w:hAnsi="宋体" w:cs="宋体" w:hint="eastAsia"/>
          <w:b/>
          <w:bCs/>
          <w:kern w:val="0"/>
          <w:szCs w:val="24"/>
        </w:rPr>
        <w:t>个交易日内告知投资者，并说明运用相关措施的原因和拟采取的应对安排等。在发生涉及产品认购、申购或赎回事项调整或潜在影响投资者赎回等事项时，管理人将发布临时公告。</w:t>
      </w:r>
    </w:p>
    <w:p w14:paraId="65FFE496"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hint="eastAsia"/>
          <w:kern w:val="0"/>
          <w:szCs w:val="24"/>
        </w:rPr>
        <w:t>（</w:t>
      </w:r>
      <w:r>
        <w:rPr>
          <w:rFonts w:ascii="仿宋_GB2312" w:hAnsi="宋体" w:cs="宋体"/>
          <w:kern w:val="0"/>
          <w:szCs w:val="24"/>
        </w:rPr>
        <w:t>3）理财产品清算期超过5</w:t>
      </w:r>
      <w:r>
        <w:rPr>
          <w:rFonts w:ascii="仿宋_GB2312" w:hAnsi="宋体" w:cs="宋体" w:hint="eastAsia"/>
          <w:kern w:val="0"/>
          <w:szCs w:val="24"/>
        </w:rPr>
        <w:t>个工作日的，产品管理人应当在理财产品终止前1个</w:t>
      </w:r>
      <w:r>
        <w:rPr>
          <w:rFonts w:ascii="仿宋_GB2312" w:hAnsi="宋体" w:cs="宋体"/>
          <w:kern w:val="0"/>
          <w:szCs w:val="24"/>
        </w:rPr>
        <w:t>工作日</w:t>
      </w:r>
      <w:r>
        <w:rPr>
          <w:rFonts w:ascii="仿宋_GB2312" w:hAnsi="宋体" w:cs="宋体" w:hint="eastAsia"/>
          <w:kern w:val="0"/>
          <w:szCs w:val="24"/>
        </w:rPr>
        <w:t>，根据与投资者约定的渠道向投资者进行信息披露。</w:t>
      </w:r>
    </w:p>
    <w:p w14:paraId="1111A3D5"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
          <w:kern w:val="0"/>
          <w:szCs w:val="24"/>
        </w:rPr>
      </w:pPr>
      <w:r>
        <w:rPr>
          <w:rFonts w:ascii="仿宋_GB2312" w:hAnsi="宋体" w:cs="宋体" w:hint="eastAsia"/>
          <w:b/>
          <w:kern w:val="0"/>
          <w:szCs w:val="24"/>
        </w:rPr>
        <w:t>（4）在本产品存续期内，如因国家法律法规、监管规定发生变化，或是出于维护本产品正常运营的需要，在不损害投资者权益的前提下，产品管理人有权对理财产品销售文件进行修订，并提前1个工作日进行公告。</w:t>
      </w:r>
    </w:p>
    <w:p w14:paraId="5509CC4F"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hint="eastAsia"/>
          <w:kern w:val="0"/>
          <w:szCs w:val="24"/>
        </w:rPr>
        <w:t>（</w:t>
      </w:r>
      <w:r>
        <w:rPr>
          <w:rFonts w:ascii="仿宋_GB2312" w:hAnsi="宋体" w:cs="宋体"/>
          <w:kern w:val="0"/>
          <w:szCs w:val="24"/>
        </w:rPr>
        <w:t>5）其他临时性公告</w:t>
      </w:r>
    </w:p>
    <w:p w14:paraId="2568FFDB"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hint="eastAsia"/>
          <w:kern w:val="0"/>
          <w:szCs w:val="24"/>
        </w:rPr>
        <w:t>除前述事项外，如出现产品</w:t>
      </w:r>
      <w:r>
        <w:rPr>
          <w:rFonts w:ascii="仿宋_GB2312" w:hAnsi="宋体" w:cs="宋体"/>
          <w:kern w:val="0"/>
          <w:szCs w:val="24"/>
        </w:rPr>
        <w:t>二次清算</w:t>
      </w:r>
      <w:r>
        <w:rPr>
          <w:rFonts w:ascii="仿宋_GB2312" w:hAnsi="宋体" w:cs="宋体" w:hint="eastAsia"/>
          <w:kern w:val="0"/>
          <w:szCs w:val="24"/>
        </w:rPr>
        <w:t>等其他突发事件，应在完成再次清算之日起2个工作日内，向投资者披露清算资金分配情况等信息。</w:t>
      </w:r>
    </w:p>
    <w:p w14:paraId="4B14BE9A"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
          <w:kern w:val="0"/>
          <w:szCs w:val="24"/>
        </w:rPr>
      </w:pPr>
      <w:r>
        <w:rPr>
          <w:rFonts w:ascii="仿宋_GB2312" w:hAnsi="宋体" w:cs="宋体" w:hint="eastAsia"/>
          <w:b/>
          <w:kern w:val="0"/>
          <w:szCs w:val="24"/>
        </w:rPr>
        <w:t>在本产品存续期内，当产品管理人对理财产品进行相应调整（包括调整投资范围、投资资产种类、投资比例或收费项目、收费条件、收费标准、收费方式等）时，若构成对投资者利益产生实质性不利影响或涉及当事人权利义务的重大变更的，投资者有权不接受调整，在符合法律法规及监管政策的前提下，可由产品管理人决定投资者提前赎回的方式，并通过公告进行披露。若投资者未选择赎回本产品的，则视为已理解并接受产品管理人的相应调整。</w:t>
      </w:r>
    </w:p>
    <w:p w14:paraId="01B5487C"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
          <w:bCs/>
          <w:kern w:val="0"/>
          <w:szCs w:val="24"/>
        </w:rPr>
      </w:pPr>
      <w:r>
        <w:rPr>
          <w:rFonts w:ascii="仿宋_GB2312" w:hAnsi="宋体" w:cs="宋体" w:hint="eastAsia"/>
          <w:b/>
          <w:bCs/>
          <w:kern w:val="0"/>
          <w:szCs w:val="24"/>
        </w:rPr>
        <w:t>产品管理人对于理财产品存续期间发生的以下事项，应于知晓或应当知晓相关事项后5个工作日内向投资者披露：</w:t>
      </w:r>
    </w:p>
    <w:p w14:paraId="7A798382"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hint="eastAsia"/>
          <w:kern w:val="0"/>
          <w:szCs w:val="24"/>
        </w:rPr>
        <w:t>1）更换理财产品管理人或产品管理人变更实际控制人，更换托管机构，产品管理人或托管机构的法定名称、住所发生变更。</w:t>
      </w:r>
    </w:p>
    <w:p w14:paraId="1B0B6DA2"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hint="eastAsia"/>
          <w:kern w:val="0"/>
          <w:szCs w:val="24"/>
        </w:rPr>
        <w:lastRenderedPageBreak/>
        <w:t>2）涉及产品穿透后持仓百分之十及以上的单笔资产的诉讼或仲裁，并可能对产品或其投资者权益有重大影响的。</w:t>
      </w:r>
    </w:p>
    <w:p w14:paraId="6D466CD9"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hint="eastAsia"/>
          <w:kern w:val="0"/>
          <w:szCs w:val="24"/>
        </w:rPr>
        <w:t>3）产品穿透后持仓百分之十及以上的非标准化债权类资产的融资主体、担保主体发生重大行政处罚、重大诉讼或仲裁，或破产、兼并、重组等重大事项，并对其还款能力或担保能力造成重大不利影响；或上述融资主体对其公开市场债务出现不能按时足额还本付息情况的。</w:t>
      </w:r>
    </w:p>
    <w:p w14:paraId="094E55BF"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hint="eastAsia"/>
          <w:kern w:val="0"/>
          <w:szCs w:val="24"/>
        </w:rPr>
        <w:t>理财产品投资的非标准化资产本身为不良资产及其收益权的，可以不进行临时披露，但应当在季度、半年度、年度报告中披露相关情况。</w:t>
      </w:r>
    </w:p>
    <w:p w14:paraId="228D6B23"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hint="eastAsia"/>
          <w:kern w:val="0"/>
          <w:szCs w:val="24"/>
        </w:rPr>
        <w:t>4）涉及产品穿透后持仓百分之十及以上的单笔资产的债券违约、股票停牌或退市的。</w:t>
      </w:r>
    </w:p>
    <w:p w14:paraId="574E9C29"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hint="eastAsia"/>
          <w:kern w:val="0"/>
          <w:szCs w:val="24"/>
        </w:rPr>
        <w:t>5）理财产品份额净值计价错误达份额净值百分之零点五。</w:t>
      </w:r>
    </w:p>
    <w:p w14:paraId="6B68F139"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hint="eastAsia"/>
          <w:kern w:val="0"/>
          <w:szCs w:val="24"/>
        </w:rPr>
        <w:t>6）金融市场发生重大变化导致理财产品投资比例暂时超出浮动区间且可能对理财产品收益产生重大影响的。</w:t>
      </w:r>
    </w:p>
    <w:p w14:paraId="22EF42AC"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hint="eastAsia"/>
          <w:kern w:val="0"/>
          <w:szCs w:val="24"/>
        </w:rPr>
        <w:t>7）法律法规以及监管规定的其他内容，或者产品管理人认为可能对投资者权益产生重大不利影响的其他事项。</w:t>
      </w:r>
    </w:p>
    <w:p w14:paraId="3503EE50" w14:textId="77777777" w:rsidR="00D8530A" w:rsidRDefault="00D8530A">
      <w:pPr>
        <w:widowControl/>
        <w:tabs>
          <w:tab w:val="left" w:pos="709"/>
        </w:tabs>
        <w:adjustRightInd w:val="0"/>
        <w:snapToGrid w:val="0"/>
        <w:spacing w:line="360" w:lineRule="auto"/>
        <w:ind w:firstLineChars="200" w:firstLine="480"/>
        <w:rPr>
          <w:rFonts w:ascii="仿宋_GB2312" w:hAnsi="宋体" w:cs="宋体" w:hint="eastAsia"/>
          <w:kern w:val="0"/>
          <w:szCs w:val="24"/>
        </w:rPr>
      </w:pPr>
    </w:p>
    <w:p w14:paraId="2A97A095" w14:textId="77777777" w:rsidR="00D8530A" w:rsidRDefault="00D8530A">
      <w:pPr>
        <w:widowControl/>
        <w:tabs>
          <w:tab w:val="left" w:pos="709"/>
        </w:tabs>
        <w:adjustRightInd w:val="0"/>
        <w:snapToGrid w:val="0"/>
        <w:spacing w:line="360" w:lineRule="auto"/>
        <w:ind w:firstLineChars="200" w:firstLine="480"/>
        <w:rPr>
          <w:rFonts w:ascii="仿宋_GB2312" w:hAnsi="宋体" w:cs="宋体" w:hint="eastAsia"/>
          <w:kern w:val="0"/>
          <w:szCs w:val="24"/>
        </w:rPr>
      </w:pPr>
    </w:p>
    <w:p w14:paraId="3A97900B" w14:textId="77777777" w:rsidR="00D8530A" w:rsidRDefault="00D8530A">
      <w:pPr>
        <w:widowControl/>
        <w:tabs>
          <w:tab w:val="left" w:pos="709"/>
        </w:tabs>
        <w:adjustRightInd w:val="0"/>
        <w:snapToGrid w:val="0"/>
        <w:spacing w:line="360" w:lineRule="auto"/>
        <w:ind w:firstLineChars="200" w:firstLine="480"/>
        <w:rPr>
          <w:rFonts w:ascii="仿宋_GB2312" w:hAnsi="宋体" w:cs="宋体" w:hint="eastAsia"/>
          <w:kern w:val="0"/>
          <w:szCs w:val="24"/>
        </w:rPr>
      </w:pPr>
    </w:p>
    <w:p w14:paraId="587259CB" w14:textId="77777777" w:rsidR="00D8530A" w:rsidRDefault="00D8530A">
      <w:pPr>
        <w:widowControl/>
        <w:tabs>
          <w:tab w:val="left" w:pos="709"/>
        </w:tabs>
        <w:adjustRightInd w:val="0"/>
        <w:snapToGrid w:val="0"/>
        <w:spacing w:line="360" w:lineRule="auto"/>
        <w:ind w:firstLineChars="200" w:firstLine="480"/>
        <w:rPr>
          <w:rFonts w:ascii="仿宋_GB2312" w:hAnsi="宋体" w:cs="宋体" w:hint="eastAsia"/>
          <w:kern w:val="0"/>
          <w:szCs w:val="24"/>
        </w:rPr>
      </w:pPr>
    </w:p>
    <w:p w14:paraId="4D685779" w14:textId="77777777" w:rsidR="00D8530A" w:rsidRDefault="00D8530A">
      <w:pPr>
        <w:widowControl/>
        <w:tabs>
          <w:tab w:val="left" w:pos="709"/>
        </w:tabs>
        <w:adjustRightInd w:val="0"/>
        <w:snapToGrid w:val="0"/>
        <w:spacing w:line="360" w:lineRule="auto"/>
        <w:ind w:firstLineChars="200" w:firstLine="480"/>
        <w:rPr>
          <w:rFonts w:ascii="仿宋_GB2312" w:hAnsi="宋体" w:cs="宋体" w:hint="eastAsia"/>
          <w:kern w:val="0"/>
          <w:szCs w:val="24"/>
        </w:rPr>
      </w:pPr>
    </w:p>
    <w:p w14:paraId="696862D1" w14:textId="77777777" w:rsidR="00D8530A" w:rsidRDefault="00000000">
      <w:pPr>
        <w:rPr>
          <w:rFonts w:ascii="仿宋_GB2312" w:hAnsi="宋体" w:cs="宋体" w:hint="eastAsia"/>
          <w:kern w:val="0"/>
          <w:szCs w:val="24"/>
        </w:rPr>
      </w:pPr>
      <w:r>
        <w:rPr>
          <w:rFonts w:ascii="仿宋_GB2312" w:hAnsi="宋体" w:cs="宋体" w:hint="eastAsia"/>
          <w:kern w:val="0"/>
          <w:szCs w:val="24"/>
        </w:rPr>
        <w:br w:type="page"/>
      </w:r>
    </w:p>
    <w:p w14:paraId="29037F5B" w14:textId="77777777" w:rsidR="00D8530A" w:rsidRDefault="00000000">
      <w:pPr>
        <w:pStyle w:val="1"/>
      </w:pPr>
      <w:r>
        <w:rPr>
          <w:rFonts w:hint="eastAsia"/>
        </w:rPr>
        <w:lastRenderedPageBreak/>
        <w:t>风险揭示</w:t>
      </w:r>
    </w:p>
    <w:p w14:paraId="034FFFF0"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kern w:val="0"/>
          <w:szCs w:val="24"/>
        </w:rPr>
        <w:t>本产品不保证本金和收益，投资者的本金有可能蒙受损失，极端情况下，可能全部或部分受损。投资者应充分认识投资风险，谨慎投资。</w:t>
      </w:r>
      <w:r>
        <w:rPr>
          <w:rFonts w:ascii="仿宋_GB2312" w:hAnsi="宋体" w:cs="宋体" w:hint="eastAsia"/>
          <w:kern w:val="0"/>
          <w:szCs w:val="24"/>
        </w:rPr>
        <w:t>风险列示</w:t>
      </w:r>
      <w:r>
        <w:rPr>
          <w:rFonts w:ascii="仿宋_GB2312" w:hAnsi="宋体" w:cs="宋体"/>
          <w:kern w:val="0"/>
          <w:szCs w:val="24"/>
        </w:rPr>
        <w:t>如下：</w:t>
      </w:r>
    </w:p>
    <w:p w14:paraId="6A4971FF"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
          <w:bCs/>
          <w:kern w:val="0"/>
          <w:szCs w:val="24"/>
        </w:rPr>
      </w:pPr>
      <w:r>
        <w:rPr>
          <w:rFonts w:ascii="仿宋_GB2312" w:hAnsi="宋体" w:cs="宋体"/>
          <w:b/>
          <w:bCs/>
          <w:kern w:val="0"/>
          <w:szCs w:val="24"/>
        </w:rPr>
        <w:t>（一）政策风险</w:t>
      </w:r>
    </w:p>
    <w:p w14:paraId="00DE2F5A"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kern w:val="0"/>
          <w:szCs w:val="24"/>
        </w:rPr>
        <w:t>本理财产品是根据当前相关法律法规、监管规定和国家政策设计的。如国家宏观政策以及市场相关法律法规、监管规定发生变化，可能影响本理财产品的发行、交易、投资、兑付等工作流程的正常进行，从而影响本理财产品的投资运作，则投资者可能面临本金和收益遭受部分甚至全部损失的风险。</w:t>
      </w:r>
    </w:p>
    <w:p w14:paraId="17C4480B"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
          <w:bCs/>
          <w:kern w:val="0"/>
          <w:szCs w:val="24"/>
        </w:rPr>
      </w:pPr>
      <w:r>
        <w:rPr>
          <w:rFonts w:ascii="仿宋_GB2312" w:hAnsi="宋体" w:cs="宋体"/>
          <w:b/>
          <w:bCs/>
          <w:kern w:val="0"/>
          <w:szCs w:val="24"/>
        </w:rPr>
        <w:t>（二）信用风险</w:t>
      </w:r>
    </w:p>
    <w:p w14:paraId="323378BC"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kern w:val="0"/>
          <w:szCs w:val="24"/>
        </w:rPr>
        <w:t>本理财产品所投资的资产或资产组合项下义务人可能出现信用违约情形，无法如期偿付融资本金与利息，则投资者可能面临本金和收益遭受部分甚至全部损失的风险。</w:t>
      </w:r>
    </w:p>
    <w:p w14:paraId="50B908A3"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
          <w:bCs/>
          <w:kern w:val="0"/>
          <w:szCs w:val="24"/>
        </w:rPr>
      </w:pPr>
      <w:r>
        <w:rPr>
          <w:rFonts w:ascii="仿宋_GB2312" w:hAnsi="宋体" w:cs="宋体"/>
          <w:b/>
          <w:bCs/>
          <w:kern w:val="0"/>
          <w:szCs w:val="24"/>
        </w:rPr>
        <w:t>（三）市场风险</w:t>
      </w:r>
    </w:p>
    <w:p w14:paraId="45540357"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kern w:val="0"/>
          <w:szCs w:val="24"/>
        </w:rPr>
        <w:t>本理财产品存续期内，由于市场利率、汇率变化，债券、股票等投资品市场价格波动，以及市场已出现或未来可能出现的其他重要因素影响，将导致本理财产品所投资的资产或资产组合出现估值波动，从而影响本理财产品的净值，投资者可能面临投资本金和收益遭受部分甚至全部损失的风险。</w:t>
      </w:r>
    </w:p>
    <w:p w14:paraId="7348A9BA"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
          <w:bCs/>
          <w:kern w:val="0"/>
          <w:szCs w:val="24"/>
        </w:rPr>
      </w:pPr>
      <w:r>
        <w:rPr>
          <w:rFonts w:ascii="仿宋_GB2312" w:hAnsi="宋体" w:cs="宋体"/>
          <w:b/>
          <w:bCs/>
          <w:kern w:val="0"/>
          <w:szCs w:val="24"/>
        </w:rPr>
        <w:t>（四）流动性风险</w:t>
      </w:r>
    </w:p>
    <w:p w14:paraId="74E21E27"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hint="eastAsia"/>
          <w:kern w:val="0"/>
          <w:szCs w:val="24"/>
        </w:rPr>
        <w:t>当市场出现极端情况或开放式</w:t>
      </w:r>
      <w:r>
        <w:rPr>
          <w:rFonts w:ascii="仿宋_GB2312" w:hAnsi="宋体" w:cs="宋体"/>
          <w:kern w:val="0"/>
          <w:szCs w:val="24"/>
        </w:rPr>
        <w:t>产品</w:t>
      </w:r>
      <w:r>
        <w:rPr>
          <w:rFonts w:ascii="仿宋_GB2312" w:hAnsi="宋体" w:cs="宋体" w:hint="eastAsia"/>
          <w:kern w:val="0"/>
          <w:szCs w:val="24"/>
        </w:rPr>
        <w:t>投资者集中、大额赎回等情形下，理财产品可能因持有现金头寸不足或所投资的资产无法及时变现，导致无法按约定向投资者及时兑付理财资金，投资者可能面临理财资金无法及时到账及/或持有的本理财产品整体损益出现不利情形的风险。</w:t>
      </w:r>
    </w:p>
    <w:p w14:paraId="3DD97B9A"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hint="eastAsia"/>
          <w:b/>
          <w:bCs/>
          <w:kern w:val="0"/>
          <w:szCs w:val="24"/>
        </w:rPr>
        <w:t>投资者在本理财产品说明书约定的封闭期、最短持有期及</w:t>
      </w:r>
      <w:r>
        <w:rPr>
          <w:rFonts w:ascii="仿宋_GB2312" w:hAnsi="宋体" w:cs="宋体"/>
          <w:b/>
          <w:bCs/>
          <w:kern w:val="0"/>
          <w:szCs w:val="24"/>
        </w:rPr>
        <w:t>/或其他不可赎回时段内不享有提前赎回权。</w:t>
      </w:r>
      <w:r>
        <w:rPr>
          <w:rFonts w:ascii="仿宋_GB2312" w:hAnsi="宋体" w:cs="宋体" w:hint="eastAsia"/>
          <w:kern w:val="0"/>
          <w:szCs w:val="24"/>
        </w:rPr>
        <w:t>如果投资者面临用款需求与其他投资机会，可能因所持有的理财产品不能随时赎回或变现，存在用款需求无法满足或错过其他投资机会的风险。</w:t>
      </w:r>
    </w:p>
    <w:p w14:paraId="2BC3A59A"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
          <w:bCs/>
          <w:kern w:val="0"/>
          <w:szCs w:val="24"/>
        </w:rPr>
      </w:pPr>
      <w:r>
        <w:rPr>
          <w:rFonts w:ascii="仿宋_GB2312" w:hAnsi="宋体" w:cs="宋体"/>
          <w:b/>
          <w:bCs/>
          <w:kern w:val="0"/>
          <w:szCs w:val="24"/>
        </w:rPr>
        <w:t>（五）经营管理风险</w:t>
      </w:r>
    </w:p>
    <w:p w14:paraId="59AC3460"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kern w:val="0"/>
          <w:szCs w:val="24"/>
        </w:rPr>
        <w:lastRenderedPageBreak/>
        <w:t>在本理财产品运作过程中，投资管理各方受经验、技能、判断力、执行力等综合因素的限制，可能对本理财产品的运作与管理形成一定影响，投资者可能面临本金和收益遭受部分甚至全部损失的风险。</w:t>
      </w:r>
    </w:p>
    <w:p w14:paraId="3432E275"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
          <w:bCs/>
          <w:kern w:val="0"/>
          <w:szCs w:val="24"/>
        </w:rPr>
      </w:pPr>
      <w:r>
        <w:rPr>
          <w:rFonts w:ascii="仿宋_GB2312" w:hAnsi="宋体" w:cs="宋体"/>
          <w:b/>
          <w:bCs/>
          <w:kern w:val="0"/>
          <w:szCs w:val="24"/>
        </w:rPr>
        <w:t>（六）交易对手风险</w:t>
      </w:r>
    </w:p>
    <w:p w14:paraId="619BF5A9"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kern w:val="0"/>
          <w:szCs w:val="24"/>
        </w:rPr>
        <w:t>由于交易对手受偿付能力、流动性管理能力以及及时履约意愿等因素影响，导致交易对手不履约，可能影响本理财产品的投资管理，则投资者可能面临本金和收益遭受部分甚至全部损失的风险。</w:t>
      </w:r>
    </w:p>
    <w:p w14:paraId="2DAA17C5"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
          <w:bCs/>
          <w:kern w:val="0"/>
          <w:szCs w:val="24"/>
        </w:rPr>
      </w:pPr>
      <w:r>
        <w:rPr>
          <w:rFonts w:ascii="仿宋_GB2312" w:hAnsi="宋体" w:cs="宋体"/>
          <w:b/>
          <w:bCs/>
          <w:kern w:val="0"/>
          <w:szCs w:val="24"/>
        </w:rPr>
        <w:t>（七）操作风险</w:t>
      </w:r>
    </w:p>
    <w:p w14:paraId="6660340B"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kern w:val="0"/>
          <w:szCs w:val="24"/>
        </w:rPr>
        <w:t>产品运作过程中，由于理财产品管理人及理财合作机构因技术系统故障、内部控制存在缺陷或人为因素，导致操作失误或违反操作规程等引起的风险，如内部作业、人员管理、系统操作及事务处理不当或失误等，则投资者可能面临本金和收益遭受部分甚至全部损失的风险。</w:t>
      </w:r>
    </w:p>
    <w:p w14:paraId="6B639BE3"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
          <w:bCs/>
          <w:kern w:val="0"/>
          <w:szCs w:val="24"/>
        </w:rPr>
      </w:pPr>
      <w:r>
        <w:rPr>
          <w:rFonts w:ascii="仿宋_GB2312" w:hAnsi="宋体" w:cs="宋体"/>
          <w:b/>
          <w:bCs/>
          <w:kern w:val="0"/>
          <w:szCs w:val="24"/>
        </w:rPr>
        <w:t>（八）代销风险（如有）</w:t>
      </w:r>
    </w:p>
    <w:p w14:paraId="2D71712E"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kern w:val="0"/>
          <w:szCs w:val="24"/>
        </w:rPr>
        <w:t>如本理财产品通过代理销售渠道销售，投资者购买理财产品的资金将由销售机构从投资者清算账户扣收并划付产品管理人，产品到期/终止/赎回时理财本金及收益相应款项由产品管理人按理财产品销售文件约定划付至销售机构清算账户，并由销售机构向投资者支付投资者应得理财本金及收益。如因销售机构清算账户余额不足，或销售机构未及时足额划付资金，或销售机构清算账户内资金被依法冻结或扣划、账户处于被挂失、冻结、注销或其他非正常状态等原因而导致交易失败，由销售机构与投资者依法协商解决，产品管理人对此不承担责任，但前述约定不免除因产品管理人过错依法应由产品管理人承担的责任。</w:t>
      </w:r>
    </w:p>
    <w:p w14:paraId="6615C4F2"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
          <w:bCs/>
          <w:kern w:val="0"/>
          <w:szCs w:val="24"/>
        </w:rPr>
      </w:pPr>
      <w:r>
        <w:rPr>
          <w:rFonts w:ascii="仿宋_GB2312" w:hAnsi="宋体" w:cs="宋体"/>
          <w:b/>
          <w:bCs/>
          <w:kern w:val="0"/>
          <w:szCs w:val="24"/>
        </w:rPr>
        <w:t>（九）募集期延长/缩短风险</w:t>
      </w:r>
    </w:p>
    <w:p w14:paraId="5F78538D"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kern w:val="0"/>
          <w:szCs w:val="24"/>
        </w:rPr>
        <w:t>在本理财产品募集期内，国家宏观政策以及市场相关法律法规政策发生变化、产品募集状况未达到/已达到产品说明书约定的成立条件，或其他经理财产品管理人合理判断需延长/缩短募集期的情形，产品管理人有权宣布本理财产品募集期延长/缩短，本理财产品可能延后/提前成立。</w:t>
      </w:r>
    </w:p>
    <w:p w14:paraId="7936E600"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
          <w:bCs/>
          <w:kern w:val="0"/>
          <w:szCs w:val="24"/>
        </w:rPr>
      </w:pPr>
      <w:r>
        <w:rPr>
          <w:rFonts w:ascii="仿宋_GB2312" w:hAnsi="宋体" w:cs="宋体"/>
          <w:b/>
          <w:bCs/>
          <w:kern w:val="0"/>
          <w:szCs w:val="24"/>
        </w:rPr>
        <w:t>（十）产品不成立风险</w:t>
      </w:r>
    </w:p>
    <w:p w14:paraId="40EFAE1F"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kern w:val="0"/>
          <w:szCs w:val="24"/>
        </w:rPr>
        <w:lastRenderedPageBreak/>
        <w:t>如果本理财产品因募集规模低于《产品说明书》约定的本理财产品最低成立规模，或出现政策、法规、市场或其他因素导致本理财产品不能成立的情形，理财产品管理人有权宣布本理财产品不成立，投资者将面临再投资的风险。</w:t>
      </w:r>
    </w:p>
    <w:p w14:paraId="51F484D0"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
          <w:bCs/>
          <w:kern w:val="0"/>
          <w:szCs w:val="24"/>
        </w:rPr>
      </w:pPr>
      <w:r>
        <w:rPr>
          <w:rFonts w:ascii="仿宋_GB2312" w:hAnsi="宋体" w:cs="宋体"/>
          <w:b/>
          <w:bCs/>
          <w:kern w:val="0"/>
          <w:szCs w:val="24"/>
        </w:rPr>
        <w:t>（十一）提前终止风险</w:t>
      </w:r>
    </w:p>
    <w:p w14:paraId="657D2127"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kern w:val="0"/>
          <w:szCs w:val="24"/>
        </w:rPr>
        <w:t>本理财产品存续期间，由于国家宏观政策变化、市场相关法律法规及政策变化、本理财产品所投资资产提前结清、意外事件、不可抗力（包括但不限于政府行为、自然灾害、疫情等）以及其他可能导致理财产品管理人无法继续履行本理财产品投资管理义务或经理财产品管理人合理评估且审慎判断不适宜本理财产品继续存续运作的情形，为保护投资者权益，理财产品管理人有权按照理财产品销售文件的约定部分/全部提前终止本理财产品，投资者可能面临本理财产品部分/全部提前终止后再投资的风险。</w:t>
      </w:r>
    </w:p>
    <w:p w14:paraId="71CAC2A1"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
          <w:bCs/>
          <w:kern w:val="0"/>
          <w:szCs w:val="24"/>
        </w:rPr>
      </w:pPr>
      <w:r>
        <w:rPr>
          <w:rFonts w:ascii="仿宋_GB2312" w:hAnsi="宋体" w:cs="宋体"/>
          <w:b/>
          <w:bCs/>
          <w:kern w:val="0"/>
          <w:szCs w:val="24"/>
        </w:rPr>
        <w:t>（十二）延期分配风险</w:t>
      </w:r>
    </w:p>
    <w:p w14:paraId="232B4A17"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kern w:val="0"/>
          <w:szCs w:val="24"/>
        </w:rPr>
        <w:t>因缺乏交易对手、市场成交量不足、资产限制赎回、暂停交易、所投资产发生风险或不能及时变现、发生不可抗力（包括但不限于政府行为、自然灾害、疫情等）及其他理财产品管理人认为需要延期分配的情形，可能导致理财产品管理人无法在理财产品销售文件约定的清算期内完成理财资金的清算与分配，投资者可能面临理财产品资金延期分配、分配方案调整等风险，投资者由此可能面临投资本金和收益遭受部分甚至全部损失的风险。</w:t>
      </w:r>
    </w:p>
    <w:p w14:paraId="2CD34D1D"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
          <w:bCs/>
          <w:kern w:val="0"/>
          <w:szCs w:val="24"/>
        </w:rPr>
      </w:pPr>
      <w:r>
        <w:rPr>
          <w:rFonts w:ascii="仿宋_GB2312" w:hAnsi="宋体" w:cs="宋体"/>
          <w:b/>
          <w:bCs/>
          <w:kern w:val="0"/>
          <w:szCs w:val="24"/>
        </w:rPr>
        <w:t>（十三）信息传递风险</w:t>
      </w:r>
    </w:p>
    <w:p w14:paraId="1B28B47B"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kern w:val="0"/>
          <w:szCs w:val="24"/>
        </w:rPr>
        <w:t>理财产品管理人将按照理财产品销售文件中约定的信息披露方式、披露途径向投资者披露涉及本理财产品的各类信息和重大事件，投资者应及时查询了解。如投资者未及时查询相关信息或由于不可抗力（包括但不限于政府行为、自然灾害、疫情等）或意外事件的影响使得投资者无法及时了解本理财产品信息，进而影响投资者的投资决策行为，因此而产生的责任和风险由投资者承担。如投资者未及时告知理财产品管理人联系方式变更或理财产品管理人在其认为需要时无法及时联系到投资者，使</w:t>
      </w:r>
      <w:r>
        <w:rPr>
          <w:rFonts w:ascii="仿宋_GB2312" w:hAnsi="宋体" w:cs="宋体"/>
          <w:kern w:val="0"/>
          <w:szCs w:val="24"/>
        </w:rPr>
        <w:lastRenderedPageBreak/>
        <w:t>得投资者无法及时获知本理财产品信息，进而影响投资者的投资决策行为，因此而产生的责任和风险由投资者承担。</w:t>
      </w:r>
    </w:p>
    <w:p w14:paraId="742A5633"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
          <w:bCs/>
          <w:kern w:val="0"/>
          <w:szCs w:val="24"/>
        </w:rPr>
      </w:pPr>
      <w:r>
        <w:rPr>
          <w:rFonts w:ascii="仿宋_GB2312" w:hAnsi="宋体" w:cs="宋体"/>
          <w:b/>
          <w:bCs/>
          <w:kern w:val="0"/>
          <w:szCs w:val="24"/>
        </w:rPr>
        <w:t>（十四）关联关系及关联交易风险</w:t>
      </w:r>
    </w:p>
    <w:p w14:paraId="01E54337"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kern w:val="0"/>
          <w:szCs w:val="24"/>
        </w:rPr>
        <w:t>浙银理财作为本理财产品的发行人、管理人，独立履行产品管理职责；浙银理财委托托管机构托管理财产品或委托销售机构销售理财产品的，可能涉及委托浙商银行股份有限公司（以下简称</w:t>
      </w:r>
      <w:r>
        <w:rPr>
          <w:rFonts w:ascii="仿宋_GB2312" w:hAnsi="宋体" w:cs="宋体"/>
          <w:kern w:val="0"/>
          <w:szCs w:val="24"/>
        </w:rPr>
        <w:t>“</w:t>
      </w:r>
      <w:r>
        <w:rPr>
          <w:rFonts w:ascii="仿宋_GB2312" w:hAnsi="宋体" w:cs="宋体"/>
          <w:kern w:val="0"/>
          <w:szCs w:val="24"/>
        </w:rPr>
        <w:t>浙商银行</w:t>
      </w:r>
      <w:r>
        <w:rPr>
          <w:rFonts w:ascii="仿宋_GB2312" w:hAnsi="宋体" w:cs="宋体"/>
          <w:kern w:val="0"/>
          <w:szCs w:val="24"/>
        </w:rPr>
        <w:t>”</w:t>
      </w:r>
      <w:r>
        <w:rPr>
          <w:rFonts w:ascii="仿宋_GB2312" w:hAnsi="宋体" w:cs="宋体"/>
          <w:kern w:val="0"/>
          <w:szCs w:val="24"/>
        </w:rPr>
        <w:t>）担任理财产品的托管机构或销售机构，负责理财产品的托管或代理销售工作。浙银理财是浙商银行控股的子公司，双方存在关联关系。</w:t>
      </w:r>
    </w:p>
    <w:p w14:paraId="1D401198"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kern w:val="0"/>
          <w:szCs w:val="24"/>
        </w:rPr>
        <w:t>本理财产品可能投资于管理人、个别销售机构或托管人的主要股东、实际控制人、一致行动人、最终受益人，托管人，同一股东或托管人控股的机构，或者与管理人或托管人有重大利害关系的机构发行或承销的证券，或者从事其他关联交易，本理财产品也可能由管理人的关联方进行托管或代理销售。上述各方在业务执行及实施上具有隔离机制，并符合相关法律法规要求，且上述各方将依照恪尽职守、诚实信用、谨慎勤勉的原则按照市场公允定价进行公平交易，但仍可能存在利益冲突。提请投资者充分知悉、关注本理财产品关联关系和关联交易风险，投资者签署本理财产品销售文件即代表投资者认可且同意上述可能发生的关联交易并自愿承担相关风险。</w:t>
      </w:r>
    </w:p>
    <w:p w14:paraId="0AEE2187"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
          <w:bCs/>
          <w:kern w:val="0"/>
          <w:szCs w:val="24"/>
        </w:rPr>
      </w:pPr>
      <w:r>
        <w:rPr>
          <w:rFonts w:ascii="仿宋_GB2312" w:hAnsi="宋体" w:cs="宋体"/>
          <w:b/>
          <w:bCs/>
          <w:kern w:val="0"/>
          <w:szCs w:val="24"/>
        </w:rPr>
        <w:t>（十五）再投资风险</w:t>
      </w:r>
    </w:p>
    <w:p w14:paraId="0780EE45"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kern w:val="0"/>
          <w:szCs w:val="24"/>
        </w:rPr>
        <w:t>由于浙银理财有权根据市场状况和产品余额情况提前终止本理财产品，因市场利率下滑，投资者可能面临本金和收益再投资收益率降低的风险。</w:t>
      </w:r>
    </w:p>
    <w:p w14:paraId="5212CF4C"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
          <w:bCs/>
          <w:kern w:val="0"/>
          <w:szCs w:val="24"/>
        </w:rPr>
      </w:pPr>
      <w:r>
        <w:rPr>
          <w:rFonts w:ascii="仿宋_GB2312" w:hAnsi="宋体" w:cs="宋体"/>
          <w:b/>
          <w:bCs/>
          <w:kern w:val="0"/>
          <w:szCs w:val="24"/>
        </w:rPr>
        <w:t>（十六）估值风险</w:t>
      </w:r>
    </w:p>
    <w:p w14:paraId="59206ED9"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kern w:val="0"/>
          <w:szCs w:val="24"/>
        </w:rPr>
        <w:t>本理财产品按《产品说明书》的估值方法进行估值，理财产品估值与实际变现价值可能发生偏离，投资者应知晓该风险。本理财产品管理人估值仅作为参考，本理财产品管理人不承担第三方再次使用该估值引发的其他风险。本理财产品所投资的资产管理产品以其估值日截止时点能够取得的最新份额净值进行估值。因此，在前述情况下可能会出现本理财产品净值不能完全反映所投资资产管理计划或基金等资产管理产品估值日当日净值的情形。</w:t>
      </w:r>
    </w:p>
    <w:p w14:paraId="1173BDB0"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kern w:val="0"/>
          <w:szCs w:val="24"/>
        </w:rPr>
        <w:lastRenderedPageBreak/>
        <w:t>本理财产品可能投资符合监管要求的资产管理产品（包括但不限于信托计划、公募基金、基金公司或子公司资产管理计划、证券公司资产管理计划、期货资产管理计划、保险资产管理计划等，具体以《产品说明书》或理财产品定期报告披露为准），前述资产管理产品的管理人可能收取</w:t>
      </w:r>
      <w:r>
        <w:rPr>
          <w:rFonts w:ascii="仿宋_GB2312" w:hAnsi="宋体" w:cs="宋体" w:hint="eastAsia"/>
          <w:kern w:val="0"/>
          <w:szCs w:val="24"/>
        </w:rPr>
        <w:t>浮动管理费</w:t>
      </w:r>
      <w:r>
        <w:rPr>
          <w:rFonts w:ascii="仿宋_GB2312" w:hAnsi="宋体" w:cs="宋体"/>
          <w:kern w:val="0"/>
          <w:szCs w:val="24"/>
        </w:rPr>
        <w:t>，当前述资产管理产品计提</w:t>
      </w:r>
      <w:r>
        <w:rPr>
          <w:rFonts w:ascii="仿宋_GB2312" w:hAnsi="宋体" w:cs="宋体" w:hint="eastAsia"/>
          <w:kern w:val="0"/>
          <w:szCs w:val="24"/>
        </w:rPr>
        <w:t>浮动管理费</w:t>
      </w:r>
      <w:r>
        <w:rPr>
          <w:rFonts w:ascii="仿宋_GB2312" w:hAnsi="宋体" w:cs="宋体"/>
          <w:kern w:val="0"/>
          <w:szCs w:val="24"/>
        </w:rPr>
        <w:t>时，本理财产品的产品份额净值存在下跌风险。</w:t>
      </w:r>
    </w:p>
    <w:p w14:paraId="14802C88"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
          <w:bCs/>
          <w:kern w:val="0"/>
          <w:szCs w:val="24"/>
        </w:rPr>
      </w:pPr>
      <w:r>
        <w:rPr>
          <w:rFonts w:ascii="仿宋_GB2312" w:hAnsi="宋体" w:cs="宋体"/>
          <w:b/>
          <w:bCs/>
          <w:kern w:val="0"/>
          <w:szCs w:val="24"/>
        </w:rPr>
        <w:t>（十七）托管及清算风险</w:t>
      </w:r>
    </w:p>
    <w:p w14:paraId="4A17CBEC"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kern w:val="0"/>
          <w:szCs w:val="24"/>
        </w:rPr>
        <w:t>本理财产品存在托管人，若因托管人操作失误或因任何原因未能按约履行托管人职责，或丧失进行托管的能力或法定资格，均可能给本理财产品带来风险。</w:t>
      </w:r>
    </w:p>
    <w:p w14:paraId="0CB424F9"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
          <w:bCs/>
          <w:kern w:val="0"/>
          <w:szCs w:val="24"/>
        </w:rPr>
      </w:pPr>
      <w:r>
        <w:rPr>
          <w:rFonts w:ascii="仿宋_GB2312" w:hAnsi="宋体" w:cs="宋体"/>
          <w:b/>
          <w:bCs/>
          <w:kern w:val="0"/>
          <w:szCs w:val="24"/>
        </w:rPr>
        <w:t>（十八）税务风险</w:t>
      </w:r>
    </w:p>
    <w:p w14:paraId="401C7CA2"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kern w:val="0"/>
          <w:szCs w:val="24"/>
        </w:rPr>
        <w:t>根据国家相关法律法规，理财产品运营过程中发生的应由理财产品承担的增值税应税行为，由产品管理人申报和缴纳增值税及附加税费。该等税款将直接从理财产品中扣付缴纳，本理财产品将因为前述增值税等税负承担导致税费支出增加、理财产品净值或实际收益降低，从而降低投资者的收益水平。</w:t>
      </w:r>
    </w:p>
    <w:p w14:paraId="27F8AD11"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
          <w:bCs/>
          <w:kern w:val="0"/>
          <w:szCs w:val="24"/>
        </w:rPr>
      </w:pPr>
      <w:r>
        <w:rPr>
          <w:rFonts w:ascii="仿宋_GB2312" w:hAnsi="宋体" w:cs="宋体"/>
          <w:b/>
          <w:bCs/>
          <w:kern w:val="0"/>
          <w:szCs w:val="24"/>
        </w:rPr>
        <w:t>（十九）不同理财产品份额类别存在差异的风险</w:t>
      </w:r>
    </w:p>
    <w:p w14:paraId="0AF2740E"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kern w:val="0"/>
          <w:szCs w:val="24"/>
        </w:rPr>
        <w:t>管理人有权根据投资者购买理财产品的金额、销售渠道、客户类型等因素，对投资者所持有的理财产品份额设置不同的理财产品份额类别。不同类别的理财产品份额可能在产品销售名称、产品</w:t>
      </w:r>
      <w:r>
        <w:rPr>
          <w:rFonts w:ascii="仿宋_GB2312" w:hAnsi="宋体" w:cs="宋体" w:hint="eastAsia"/>
          <w:kern w:val="0"/>
          <w:szCs w:val="24"/>
        </w:rPr>
        <w:t>份额</w:t>
      </w:r>
      <w:r>
        <w:rPr>
          <w:rFonts w:ascii="仿宋_GB2312" w:hAnsi="宋体" w:cs="宋体"/>
          <w:kern w:val="0"/>
          <w:szCs w:val="24"/>
        </w:rPr>
        <w:t>代码、销售渠道、销售</w:t>
      </w:r>
      <w:r>
        <w:rPr>
          <w:rFonts w:ascii="仿宋_GB2312" w:hAnsi="宋体" w:cs="宋体" w:hint="eastAsia"/>
          <w:kern w:val="0"/>
          <w:szCs w:val="24"/>
        </w:rPr>
        <w:t>对象</w:t>
      </w:r>
      <w:r>
        <w:rPr>
          <w:rFonts w:ascii="仿宋_GB2312" w:hAnsi="宋体" w:cs="宋体"/>
          <w:kern w:val="0"/>
          <w:szCs w:val="24"/>
        </w:rPr>
        <w:t>、销售服务费率、托管费率、收费方式、业绩比较基准、起点</w:t>
      </w:r>
      <w:r>
        <w:rPr>
          <w:rFonts w:ascii="仿宋_GB2312" w:hAnsi="宋体" w:cs="宋体" w:hint="eastAsia"/>
          <w:kern w:val="0"/>
          <w:szCs w:val="24"/>
        </w:rPr>
        <w:t>销售</w:t>
      </w:r>
      <w:r>
        <w:rPr>
          <w:rFonts w:ascii="仿宋_GB2312" w:hAnsi="宋体" w:cs="宋体"/>
          <w:kern w:val="0"/>
          <w:szCs w:val="24"/>
        </w:rPr>
        <w:t>金额及</w:t>
      </w:r>
      <w:r>
        <w:rPr>
          <w:rFonts w:ascii="仿宋_GB2312" w:hAnsi="宋体" w:cs="宋体" w:hint="eastAsia"/>
          <w:kern w:val="0"/>
          <w:szCs w:val="24"/>
        </w:rPr>
        <w:t>追加</w:t>
      </w:r>
      <w:r>
        <w:rPr>
          <w:rFonts w:ascii="仿宋_GB2312" w:hAnsi="宋体" w:cs="宋体"/>
          <w:kern w:val="0"/>
          <w:szCs w:val="24"/>
        </w:rPr>
        <w:t>递增金额、认/申购上限金额、认/申购和赎回数量限制、持有金额上/下限、单一投资者持有份额占比上限、产品规模上限、产品份额净值的计算结果及信息披露等方面存在差异。</w:t>
      </w:r>
    </w:p>
    <w:p w14:paraId="10C58306"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
          <w:bCs/>
          <w:kern w:val="0"/>
          <w:szCs w:val="24"/>
        </w:rPr>
      </w:pPr>
      <w:r>
        <w:rPr>
          <w:rFonts w:ascii="仿宋_GB2312" w:hAnsi="宋体" w:cs="宋体"/>
          <w:b/>
          <w:bCs/>
          <w:kern w:val="0"/>
          <w:szCs w:val="24"/>
        </w:rPr>
        <w:t>（二十）投资特定风险</w:t>
      </w:r>
    </w:p>
    <w:p w14:paraId="0AD307A3"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kern w:val="0"/>
          <w:szCs w:val="24"/>
        </w:rPr>
        <w:t>本理财产品因拟投资市场和资产类别可能面临的特定风险如下：</w:t>
      </w:r>
    </w:p>
    <w:p w14:paraId="62B6C386"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
          <w:bCs/>
          <w:kern w:val="0"/>
          <w:szCs w:val="24"/>
        </w:rPr>
      </w:pPr>
      <w:r>
        <w:rPr>
          <w:rFonts w:ascii="仿宋_GB2312" w:hAnsi="宋体" w:cs="宋体"/>
          <w:b/>
          <w:bCs/>
          <w:kern w:val="0"/>
          <w:szCs w:val="24"/>
        </w:rPr>
        <w:t>1.投资于固定收益类资产</w:t>
      </w:r>
      <w:r>
        <w:rPr>
          <w:rFonts w:ascii="仿宋_GB2312" w:hAnsi="宋体" w:cs="宋体" w:hint="eastAsia"/>
          <w:b/>
          <w:bCs/>
          <w:kern w:val="0"/>
          <w:szCs w:val="24"/>
        </w:rPr>
        <w:t>（如有）</w:t>
      </w:r>
      <w:r>
        <w:rPr>
          <w:rFonts w:ascii="仿宋_GB2312" w:hAnsi="宋体" w:cs="宋体"/>
          <w:b/>
          <w:bCs/>
          <w:kern w:val="0"/>
          <w:szCs w:val="24"/>
        </w:rPr>
        <w:t>的可能风险：</w:t>
      </w:r>
    </w:p>
    <w:p w14:paraId="25485C4E"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kern w:val="0"/>
          <w:szCs w:val="24"/>
        </w:rPr>
        <w:t>（1）国家政策、经济周期、利率、汇率等因素可能发生的变化导致的市场风险。（2）债券发行人、担保人的经营状况、信用质量降低等可能发生的变化导致的信用风险。（3）债券发行人、担保</w:t>
      </w:r>
      <w:r>
        <w:rPr>
          <w:rFonts w:ascii="仿宋_GB2312" w:hAnsi="宋体" w:cs="宋体"/>
          <w:kern w:val="0"/>
          <w:szCs w:val="24"/>
        </w:rPr>
        <w:lastRenderedPageBreak/>
        <w:t>人信用等级降低导致债券价格下降，可能影响投资者收益，甚至使产品本金遭受损失。（4）非公开定向债务融资工具的流通和转让限制导致的流动性风险。（5）债券市场出现整体下跌，导致债券市场的系统性风险等。（6）可转/交换债券投资风险（如有）：可转/交换债券收益与对应标的股票股价直接挂钩，债券价格可能受之影响；转股期内，对应标的股票价格可能低于转股价格，若选择转股，产品将承受标的股票价格低于转股价格之间的价差；转股价格向下修正条款触发时，存在发行方不同意修正转股价格的风险；赎回条款可能导致债券提前兑付或转股期缩短而影响投资收益的风险；存在因政策限制导致无法转股的风险，可转/交换债券投资受到包括但不限于上述因素影响时，可能影响投资者收益，甚至使产品本金遭受损失。（7）永续债投资风险（如有）：永续债发行人可能延期支付利息，且永续债无到期日，可能因流动性差无法变现、无法收回本金，使产品出现流动性风险；永续债附加的回售或赎回权，可能会导致管理人以不利价格出售永续债，从而影响投资者收益。</w:t>
      </w:r>
    </w:p>
    <w:p w14:paraId="7CF5F36B"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
          <w:bCs/>
          <w:kern w:val="0"/>
          <w:szCs w:val="24"/>
        </w:rPr>
      </w:pPr>
      <w:r>
        <w:rPr>
          <w:rFonts w:ascii="仿宋_GB2312" w:hAnsi="宋体" w:cs="宋体"/>
          <w:b/>
          <w:bCs/>
          <w:kern w:val="0"/>
          <w:szCs w:val="24"/>
        </w:rPr>
        <w:t>2.投资于股票等权益类资产（如有）的可能风险：</w:t>
      </w:r>
    </w:p>
    <w:p w14:paraId="24851D3F"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kern w:val="0"/>
          <w:szCs w:val="24"/>
        </w:rPr>
        <w:t>国家货币、财政、产业等政策变化对证券市场产生一定的影响，导致市场价格水平波动的风险；宏观经济运行周期性波动，对股票市场的收益水平产生影响的风险；上市公司的经营状况受多种因素影响，如市场、技术、竞争、管理、财务等都可能导致公司盈利发生变化，从而导致股票价格下跌，影响投资者收益，甚至使产品本金遭受损失；股票遭流通和转让限制导致的流动性风险；投资于不同板块、不同市场股票，如投资科创板、创业板、港股通股票等，可能面临因投资标的、市场制度、交易规则、监管法规等差异造成的风险等。</w:t>
      </w:r>
    </w:p>
    <w:p w14:paraId="452D3501"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kern w:val="0"/>
          <w:szCs w:val="24"/>
        </w:rPr>
        <w:t>优先股具有固定收益证券的特征，但优先股发行方无到期归还本金的义务，可能发生发行人经营状况恶化、无法足额支付股息的风险，从而影响产品和投资者收益；优先股属于权益类资产，价格受国家各类政策、宏观经济、行业发展等多种因素影响，可能发生波动从而影响产品收益，甚至使产品本金遭受损失。</w:t>
      </w:r>
    </w:p>
    <w:p w14:paraId="628A4187"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
          <w:bCs/>
          <w:kern w:val="0"/>
          <w:szCs w:val="24"/>
        </w:rPr>
      </w:pPr>
      <w:r>
        <w:rPr>
          <w:rFonts w:ascii="仿宋_GB2312" w:hAnsi="宋体" w:cs="宋体"/>
          <w:b/>
          <w:bCs/>
          <w:kern w:val="0"/>
          <w:szCs w:val="24"/>
        </w:rPr>
        <w:t>3.投资于商品及金融衍生品类资产（如有）的可能风险：</w:t>
      </w:r>
    </w:p>
    <w:p w14:paraId="21E1C710"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kern w:val="0"/>
          <w:szCs w:val="24"/>
        </w:rPr>
        <w:lastRenderedPageBreak/>
        <w:t>基础产品价格波动造成衍生品价格波动，高杠杆和跨期交易可能加剧衍生品价格波动的市场风险；衍生品发行方或交易对手方违约或不履行合约的导致的信用风险；缺乏交易对手导致无法平仓/变现、流动资金不足或无法追加保证金导致被迫平仓造成亏损的风险；因内部程序、人员、系统操作不当或因外部事件导致损失的操作风险；部分衍生品操作相关法律法规的滞后，交易合约在法律范围内无效而无法履约或交易合约订立不当产生的法律风险。由于期货与现货间的价差的波动，影响套期保值或套利效果，使之发生意外损益的基差风险。</w:t>
      </w:r>
    </w:p>
    <w:p w14:paraId="02F9B994"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b/>
          <w:bCs/>
          <w:kern w:val="0"/>
          <w:szCs w:val="24"/>
        </w:rPr>
      </w:pPr>
      <w:r>
        <w:rPr>
          <w:rFonts w:ascii="仿宋_GB2312" w:hAnsi="宋体" w:cs="宋体"/>
          <w:b/>
          <w:bCs/>
          <w:kern w:val="0"/>
          <w:szCs w:val="24"/>
        </w:rPr>
        <w:t>（二十一）其他风险</w:t>
      </w:r>
    </w:p>
    <w:p w14:paraId="1B6FE61E"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kern w:val="0"/>
          <w:szCs w:val="24"/>
        </w:rPr>
        <w:t>自然灾害、疫情、战争、金融危机等不能预见、不能避免、不能克服的不可抗力因素的出现，或系统故障、通讯故障、投资市场停止交易等意外事件的发生，可能对本理财产品的受理、成立、投资运作、资金返还、信息披露等造成影响，甚至可能导致本理财产品本金和收益的降低或损失，以及本金和收益延迟支付。对于由不可抗力及意外事件风险导致的任何损失和延迟支付，须投资者承担。</w:t>
      </w:r>
    </w:p>
    <w:p w14:paraId="08879A7E" w14:textId="77777777" w:rsidR="00D8530A" w:rsidRDefault="00000000">
      <w:pPr>
        <w:widowControl/>
        <w:tabs>
          <w:tab w:val="left" w:pos="709"/>
        </w:tabs>
        <w:adjustRightInd w:val="0"/>
        <w:snapToGrid w:val="0"/>
        <w:spacing w:line="360" w:lineRule="auto"/>
        <w:ind w:firstLineChars="200" w:firstLine="480"/>
        <w:rPr>
          <w:rFonts w:ascii="仿宋_GB2312" w:hAnsi="宋体" w:cs="宋体" w:hint="eastAsia"/>
          <w:kern w:val="0"/>
          <w:szCs w:val="24"/>
        </w:rPr>
      </w:pPr>
      <w:r>
        <w:rPr>
          <w:rFonts w:ascii="仿宋_GB2312" w:hAnsi="宋体" w:cs="宋体"/>
          <w:kern w:val="0"/>
          <w:szCs w:val="24"/>
        </w:rPr>
        <w:t>以上所揭示事项仅为列举性质，未能尽述列明投资者投资本理财产品所面临的全部风险和可能导致投资者资产损失的所有因素。投资者应充分认识投资风险，谨慎投资。</w:t>
      </w:r>
    </w:p>
    <w:p w14:paraId="56FA38EE" w14:textId="77777777" w:rsidR="00D8530A" w:rsidRDefault="00D8530A">
      <w:pPr>
        <w:widowControl/>
        <w:rPr>
          <w:rFonts w:ascii="仿宋_GB2312" w:hAnsi="宋体" w:cs="宋体" w:hint="eastAsia"/>
          <w:b/>
          <w:kern w:val="0"/>
          <w:szCs w:val="24"/>
        </w:rPr>
      </w:pPr>
    </w:p>
    <w:p w14:paraId="0EDBF9B6" w14:textId="77777777" w:rsidR="00D8530A" w:rsidRDefault="00D8530A">
      <w:pPr>
        <w:widowControl/>
        <w:rPr>
          <w:rFonts w:ascii="仿宋_GB2312" w:hAnsi="宋体" w:cs="宋体" w:hint="eastAsia"/>
          <w:b/>
          <w:kern w:val="0"/>
          <w:szCs w:val="24"/>
        </w:rPr>
      </w:pPr>
    </w:p>
    <w:p w14:paraId="2B6B2EB8" w14:textId="77777777" w:rsidR="00D8530A" w:rsidRDefault="00D8530A">
      <w:pPr>
        <w:widowControl/>
        <w:rPr>
          <w:rFonts w:ascii="仿宋_GB2312" w:hAnsi="宋体" w:cs="宋体" w:hint="eastAsia"/>
          <w:b/>
          <w:kern w:val="0"/>
          <w:szCs w:val="24"/>
        </w:rPr>
      </w:pPr>
    </w:p>
    <w:p w14:paraId="594DCB06" w14:textId="77777777" w:rsidR="00D8530A" w:rsidRDefault="00000000">
      <w:pPr>
        <w:rPr>
          <w:rFonts w:ascii="仿宋_GB2312" w:hAnsi="宋体" w:cs="宋体" w:hint="eastAsia"/>
          <w:b/>
          <w:kern w:val="0"/>
          <w:szCs w:val="24"/>
        </w:rPr>
      </w:pPr>
      <w:r>
        <w:rPr>
          <w:rFonts w:ascii="仿宋_GB2312" w:hAnsi="宋体" w:cs="宋体"/>
          <w:b/>
          <w:kern w:val="0"/>
          <w:szCs w:val="24"/>
        </w:rPr>
        <w:br w:type="page"/>
      </w:r>
    </w:p>
    <w:p w14:paraId="7FE77C36" w14:textId="77777777" w:rsidR="00D8530A" w:rsidRDefault="00000000">
      <w:pPr>
        <w:pStyle w:val="1"/>
      </w:pPr>
      <w:r>
        <w:rPr>
          <w:rFonts w:hint="eastAsia"/>
        </w:rPr>
        <w:lastRenderedPageBreak/>
        <w:t>特别提示</w:t>
      </w:r>
    </w:p>
    <w:p w14:paraId="756980A0" w14:textId="77777777" w:rsidR="00D8530A" w:rsidRDefault="00000000">
      <w:pPr>
        <w:widowControl/>
        <w:tabs>
          <w:tab w:val="left" w:pos="709"/>
        </w:tabs>
        <w:snapToGrid w:val="0"/>
        <w:spacing w:line="360" w:lineRule="auto"/>
        <w:ind w:firstLineChars="200" w:firstLine="480"/>
        <w:rPr>
          <w:rFonts w:ascii="仿宋_GB2312" w:hAnsi="宋体" w:cs="宋体" w:hint="eastAsia"/>
          <w:b/>
          <w:bCs/>
          <w:kern w:val="0"/>
          <w:szCs w:val="24"/>
        </w:rPr>
      </w:pPr>
      <w:r>
        <w:rPr>
          <w:rFonts w:ascii="仿宋_GB2312" w:hAnsi="宋体" w:cs="宋体" w:hint="eastAsia"/>
          <w:b/>
          <w:bCs/>
          <w:kern w:val="0"/>
          <w:szCs w:val="24"/>
        </w:rPr>
        <w:t>若本理财产品所投资资产到期不能全部偿付导致资产减值甚至本金大幅损失，则浙银理财将以产品管理人名义，代表投资者利益行使诉讼权利或者实施其他法律行为。</w:t>
      </w:r>
    </w:p>
    <w:p w14:paraId="7333F274" w14:textId="77777777" w:rsidR="00D8530A" w:rsidRDefault="00000000">
      <w:pPr>
        <w:widowControl/>
        <w:tabs>
          <w:tab w:val="left" w:pos="709"/>
        </w:tabs>
        <w:snapToGrid w:val="0"/>
        <w:spacing w:line="360" w:lineRule="auto"/>
        <w:ind w:firstLineChars="200" w:firstLine="480"/>
        <w:rPr>
          <w:rFonts w:ascii="仿宋_GB2312" w:hAnsi="宋体" w:cs="宋体" w:hint="eastAsia"/>
          <w:b/>
          <w:bCs/>
          <w:kern w:val="0"/>
          <w:szCs w:val="24"/>
        </w:rPr>
      </w:pPr>
      <w:r>
        <w:rPr>
          <w:rFonts w:ascii="仿宋_GB2312" w:hAnsi="宋体" w:cs="宋体" w:hint="eastAsia"/>
          <w:b/>
          <w:bCs/>
          <w:kern w:val="0"/>
          <w:szCs w:val="24"/>
        </w:rPr>
        <w:t>产品管理人对投资者信息负有保密义务，不得无故向任何组织、个人提供或泄露与投资者有关的业务资料及信息。产品管理人向确有知悉必要的雇员提供投资者信息，或按照有关法律、法规、监管要求向司法机关、行政机关等有关政府部门、投资合作机构及第三方专业机构提供的，不视为对保密义务的违反。</w:t>
      </w:r>
    </w:p>
    <w:p w14:paraId="54E8EC0C" w14:textId="77777777" w:rsidR="00D8530A" w:rsidRDefault="00000000">
      <w:pPr>
        <w:widowControl/>
        <w:tabs>
          <w:tab w:val="left" w:pos="709"/>
        </w:tabs>
        <w:snapToGrid w:val="0"/>
        <w:spacing w:line="360" w:lineRule="auto"/>
        <w:ind w:firstLineChars="200" w:firstLine="480"/>
        <w:rPr>
          <w:rFonts w:ascii="仿宋_GB2312" w:hAnsi="宋体" w:cs="宋体" w:hint="eastAsia"/>
          <w:b/>
          <w:bCs/>
          <w:kern w:val="0"/>
          <w:szCs w:val="24"/>
        </w:rPr>
      </w:pPr>
      <w:r>
        <w:rPr>
          <w:rFonts w:ascii="仿宋_GB2312" w:hAnsi="宋体" w:cs="宋体" w:hint="eastAsia"/>
          <w:b/>
          <w:bCs/>
          <w:kern w:val="0"/>
          <w:szCs w:val="24"/>
        </w:rPr>
        <w:t>产品管理人根据适用的法律法规和监管机构要求，向监管机构和/或其他有权机关（包括但不限于理财登记中心数据交换平台）报送投资者身份信息及投资者持有本产品份额及其变动情况等相关信息。产品管理人对向监管机构和/或监管机构指定机构报送的相关信息负有保密</w:t>
      </w:r>
      <w:proofErr w:type="gramStart"/>
      <w:r>
        <w:rPr>
          <w:rFonts w:ascii="仿宋_GB2312" w:hAnsi="宋体" w:cs="宋体" w:hint="eastAsia"/>
          <w:b/>
          <w:bCs/>
          <w:kern w:val="0"/>
          <w:szCs w:val="24"/>
        </w:rPr>
        <w:t>义务,</w:t>
      </w:r>
      <w:proofErr w:type="gramEnd"/>
      <w:r>
        <w:rPr>
          <w:rFonts w:ascii="仿宋_GB2312" w:hAnsi="宋体" w:cs="宋体" w:hint="eastAsia"/>
          <w:b/>
          <w:bCs/>
          <w:kern w:val="0"/>
          <w:szCs w:val="24"/>
        </w:rPr>
        <w:t>并在报送信息过程</w:t>
      </w:r>
      <w:proofErr w:type="gramStart"/>
      <w:r>
        <w:rPr>
          <w:rFonts w:ascii="仿宋_GB2312" w:hAnsi="宋体" w:cs="宋体" w:hint="eastAsia"/>
          <w:b/>
          <w:bCs/>
          <w:kern w:val="0"/>
          <w:szCs w:val="24"/>
        </w:rPr>
        <w:t>中,</w:t>
      </w:r>
      <w:proofErr w:type="gramEnd"/>
      <w:r>
        <w:rPr>
          <w:rFonts w:ascii="仿宋_GB2312" w:hAnsi="宋体" w:cs="宋体" w:hint="eastAsia"/>
          <w:b/>
          <w:bCs/>
          <w:kern w:val="0"/>
          <w:szCs w:val="24"/>
        </w:rPr>
        <w:t>采取有效措施确保信息安全与保密。</w:t>
      </w:r>
    </w:p>
    <w:p w14:paraId="72F007E9" w14:textId="77777777" w:rsidR="00D8530A" w:rsidRDefault="00000000">
      <w:pPr>
        <w:widowControl/>
        <w:tabs>
          <w:tab w:val="left" w:pos="709"/>
        </w:tabs>
        <w:snapToGrid w:val="0"/>
        <w:spacing w:line="360" w:lineRule="auto"/>
        <w:ind w:firstLineChars="200" w:firstLine="480"/>
        <w:rPr>
          <w:rFonts w:ascii="仿宋_GB2312" w:hAnsi="宋体" w:cs="宋体" w:hint="eastAsia"/>
          <w:b/>
          <w:bCs/>
          <w:kern w:val="0"/>
          <w:szCs w:val="24"/>
        </w:rPr>
      </w:pPr>
      <w:r>
        <w:rPr>
          <w:rFonts w:hint="eastAsia"/>
        </w:rPr>
        <w:t>本产品的转让将依照理财产品销售文件及销售机构的业务政策执行。</w:t>
      </w:r>
    </w:p>
    <w:p w14:paraId="735C5673" w14:textId="77777777" w:rsidR="00D8530A" w:rsidRDefault="00000000">
      <w:pPr>
        <w:tabs>
          <w:tab w:val="left" w:pos="709"/>
        </w:tabs>
        <w:snapToGrid w:val="0"/>
        <w:spacing w:line="360" w:lineRule="auto"/>
        <w:ind w:firstLineChars="200" w:firstLine="480"/>
        <w:rPr>
          <w:rFonts w:ascii="仿宋_GB2312" w:hAnsiTheme="minorEastAsia" w:cs="宋体" w:hint="eastAsia"/>
          <w:bCs/>
          <w:kern w:val="0"/>
          <w:szCs w:val="32"/>
        </w:rPr>
      </w:pPr>
      <w:r>
        <w:rPr>
          <w:rFonts w:ascii="仿宋_GB2312" w:hAnsi="宋体" w:cs="宋体" w:hint="eastAsia"/>
          <w:bCs/>
          <w:kern w:val="0"/>
          <w:szCs w:val="24"/>
        </w:rPr>
        <w:t>投资者对本理财产品有任何意见或异议，</w:t>
      </w:r>
      <w:r>
        <w:rPr>
          <w:rFonts w:ascii="仿宋_GB2312" w:hAnsiTheme="minorEastAsia" w:cs="宋体" w:hint="eastAsia"/>
          <w:bCs/>
          <w:kern w:val="0"/>
          <w:szCs w:val="32"/>
        </w:rPr>
        <w:t>敬请联系您的销售服务机构，具体联系方式以《产品说明书》等销售文件的披露为准；或反馈至浙银理财服务电话：0571-57192881。</w:t>
      </w:r>
    </w:p>
    <w:p w14:paraId="0E2D40A5" w14:textId="77777777" w:rsidR="00D8530A" w:rsidRDefault="00D8530A">
      <w:pPr>
        <w:tabs>
          <w:tab w:val="left" w:pos="709"/>
        </w:tabs>
        <w:snapToGrid w:val="0"/>
        <w:spacing w:line="360" w:lineRule="auto"/>
        <w:ind w:firstLineChars="200" w:firstLine="480"/>
        <w:rPr>
          <w:rFonts w:ascii="仿宋_GB2312" w:hAnsiTheme="minorEastAsia" w:cs="宋体" w:hint="eastAsia"/>
          <w:bCs/>
          <w:kern w:val="0"/>
          <w:szCs w:val="32"/>
        </w:rPr>
      </w:pPr>
    </w:p>
    <w:p w14:paraId="69C9BF58" w14:textId="77777777" w:rsidR="00D8530A" w:rsidRDefault="00D8530A">
      <w:pPr>
        <w:tabs>
          <w:tab w:val="left" w:pos="709"/>
        </w:tabs>
        <w:snapToGrid w:val="0"/>
        <w:spacing w:line="360" w:lineRule="auto"/>
        <w:ind w:firstLineChars="200" w:firstLine="480"/>
        <w:rPr>
          <w:rFonts w:ascii="仿宋_GB2312" w:hAnsiTheme="minorEastAsia" w:cs="宋体" w:hint="eastAsia"/>
          <w:bCs/>
          <w:kern w:val="0"/>
          <w:szCs w:val="32"/>
        </w:rPr>
      </w:pPr>
    </w:p>
    <w:p w14:paraId="6678C8D4" w14:textId="77777777" w:rsidR="00D8530A" w:rsidRDefault="00D8530A">
      <w:pPr>
        <w:tabs>
          <w:tab w:val="left" w:pos="709"/>
        </w:tabs>
        <w:snapToGrid w:val="0"/>
        <w:spacing w:line="360" w:lineRule="auto"/>
        <w:ind w:firstLineChars="200" w:firstLine="480"/>
        <w:rPr>
          <w:rFonts w:ascii="仿宋_GB2312" w:hAnsiTheme="minorEastAsia" w:cs="宋体" w:hint="eastAsia"/>
          <w:bCs/>
          <w:kern w:val="0"/>
          <w:szCs w:val="32"/>
        </w:rPr>
      </w:pPr>
    </w:p>
    <w:p w14:paraId="1E6295D0" w14:textId="77777777" w:rsidR="00D8530A" w:rsidRDefault="00D8530A">
      <w:pPr>
        <w:tabs>
          <w:tab w:val="left" w:pos="709"/>
        </w:tabs>
        <w:snapToGrid w:val="0"/>
        <w:spacing w:line="360" w:lineRule="auto"/>
        <w:ind w:firstLineChars="200" w:firstLine="480"/>
        <w:rPr>
          <w:rFonts w:ascii="仿宋_GB2312" w:hAnsiTheme="minorEastAsia" w:cs="宋体" w:hint="eastAsia"/>
          <w:bCs/>
          <w:kern w:val="0"/>
          <w:szCs w:val="32"/>
        </w:rPr>
      </w:pPr>
    </w:p>
    <w:p w14:paraId="0CDFD00F" w14:textId="77777777" w:rsidR="00D8530A" w:rsidRDefault="00D8530A">
      <w:pPr>
        <w:tabs>
          <w:tab w:val="left" w:pos="709"/>
        </w:tabs>
        <w:snapToGrid w:val="0"/>
        <w:spacing w:line="360" w:lineRule="auto"/>
        <w:ind w:firstLineChars="200" w:firstLine="480"/>
        <w:rPr>
          <w:rFonts w:ascii="仿宋_GB2312" w:hAnsiTheme="minorEastAsia" w:cs="宋体" w:hint="eastAsia"/>
          <w:bCs/>
          <w:kern w:val="0"/>
          <w:szCs w:val="32"/>
        </w:rPr>
      </w:pPr>
    </w:p>
    <w:p w14:paraId="31A10681" w14:textId="77777777" w:rsidR="00D8530A" w:rsidRDefault="00D8530A">
      <w:pPr>
        <w:tabs>
          <w:tab w:val="left" w:pos="709"/>
        </w:tabs>
        <w:snapToGrid w:val="0"/>
        <w:spacing w:line="360" w:lineRule="auto"/>
        <w:ind w:firstLineChars="200" w:firstLine="480"/>
        <w:rPr>
          <w:rFonts w:ascii="仿宋_GB2312" w:hAnsiTheme="minorEastAsia" w:cs="宋体" w:hint="eastAsia"/>
          <w:bCs/>
          <w:kern w:val="0"/>
          <w:szCs w:val="32"/>
        </w:rPr>
      </w:pPr>
    </w:p>
    <w:p w14:paraId="1E1C280F" w14:textId="77777777" w:rsidR="00D8530A" w:rsidRDefault="00D8530A">
      <w:pPr>
        <w:tabs>
          <w:tab w:val="left" w:pos="709"/>
        </w:tabs>
        <w:snapToGrid w:val="0"/>
        <w:spacing w:line="360" w:lineRule="auto"/>
        <w:ind w:firstLineChars="200" w:firstLine="480"/>
        <w:rPr>
          <w:rFonts w:ascii="仿宋_GB2312" w:hAnsiTheme="minorEastAsia" w:cs="宋体" w:hint="eastAsia"/>
          <w:bCs/>
          <w:kern w:val="0"/>
          <w:szCs w:val="32"/>
        </w:rPr>
      </w:pPr>
    </w:p>
    <w:p w14:paraId="6724FC35" w14:textId="77777777" w:rsidR="00D8530A" w:rsidRDefault="00D8530A">
      <w:pPr>
        <w:tabs>
          <w:tab w:val="left" w:pos="709"/>
        </w:tabs>
        <w:snapToGrid w:val="0"/>
        <w:spacing w:line="360" w:lineRule="auto"/>
        <w:ind w:firstLineChars="200" w:firstLine="480"/>
        <w:rPr>
          <w:rFonts w:ascii="仿宋_GB2312" w:hAnsiTheme="minorEastAsia" w:cs="宋体" w:hint="eastAsia"/>
          <w:bCs/>
          <w:kern w:val="0"/>
          <w:szCs w:val="32"/>
        </w:rPr>
      </w:pPr>
    </w:p>
    <w:p w14:paraId="793FC641" w14:textId="77777777" w:rsidR="00D8530A" w:rsidRDefault="00D8530A">
      <w:pPr>
        <w:tabs>
          <w:tab w:val="left" w:pos="709"/>
        </w:tabs>
        <w:snapToGrid w:val="0"/>
        <w:spacing w:line="360" w:lineRule="auto"/>
        <w:ind w:firstLineChars="200" w:firstLine="480"/>
        <w:rPr>
          <w:rFonts w:ascii="仿宋_GB2312" w:hAnsiTheme="minorEastAsia" w:cs="宋体" w:hint="eastAsia"/>
          <w:bCs/>
          <w:kern w:val="0"/>
          <w:szCs w:val="32"/>
        </w:rPr>
      </w:pPr>
    </w:p>
    <w:p w14:paraId="505E7FB8" w14:textId="77777777" w:rsidR="00D8530A" w:rsidRDefault="00D8530A">
      <w:pPr>
        <w:tabs>
          <w:tab w:val="left" w:pos="709"/>
        </w:tabs>
        <w:snapToGrid w:val="0"/>
        <w:spacing w:line="360" w:lineRule="auto"/>
        <w:ind w:firstLineChars="200" w:firstLine="480"/>
        <w:rPr>
          <w:rFonts w:ascii="仿宋_GB2312" w:hAnsiTheme="minorEastAsia" w:cs="宋体" w:hint="eastAsia"/>
          <w:bCs/>
          <w:kern w:val="0"/>
          <w:szCs w:val="32"/>
        </w:rPr>
      </w:pPr>
    </w:p>
    <w:p w14:paraId="767BF3C9" w14:textId="77777777" w:rsidR="00D8530A" w:rsidRDefault="00D8530A">
      <w:pPr>
        <w:tabs>
          <w:tab w:val="left" w:pos="709"/>
        </w:tabs>
        <w:snapToGrid w:val="0"/>
        <w:spacing w:line="360" w:lineRule="auto"/>
        <w:ind w:firstLineChars="200" w:firstLine="480"/>
        <w:rPr>
          <w:rFonts w:ascii="仿宋_GB2312" w:hAnsiTheme="minorEastAsia" w:cs="宋体" w:hint="eastAsia"/>
          <w:bCs/>
          <w:kern w:val="0"/>
          <w:szCs w:val="32"/>
        </w:rPr>
      </w:pPr>
    </w:p>
    <w:p w14:paraId="54CBB9B1" w14:textId="77777777" w:rsidR="00D8530A" w:rsidRDefault="00D8530A">
      <w:pPr>
        <w:tabs>
          <w:tab w:val="left" w:pos="709"/>
        </w:tabs>
        <w:snapToGrid w:val="0"/>
        <w:spacing w:line="360" w:lineRule="auto"/>
        <w:ind w:firstLineChars="200" w:firstLine="480"/>
        <w:rPr>
          <w:rFonts w:ascii="仿宋_GB2312" w:hAnsiTheme="minorEastAsia" w:cs="宋体" w:hint="eastAsia"/>
          <w:bCs/>
          <w:kern w:val="0"/>
          <w:szCs w:val="32"/>
        </w:rPr>
      </w:pPr>
    </w:p>
    <w:p w14:paraId="30F586B9" w14:textId="77777777" w:rsidR="00D8530A" w:rsidRDefault="00D8530A">
      <w:pPr>
        <w:tabs>
          <w:tab w:val="left" w:pos="709"/>
        </w:tabs>
        <w:snapToGrid w:val="0"/>
        <w:spacing w:line="360" w:lineRule="auto"/>
        <w:ind w:firstLineChars="200" w:firstLine="480"/>
        <w:rPr>
          <w:rFonts w:ascii="仿宋_GB2312" w:hAnsiTheme="minorEastAsia" w:cs="宋体" w:hint="eastAsia"/>
          <w:bCs/>
          <w:kern w:val="0"/>
          <w:szCs w:val="32"/>
        </w:rPr>
      </w:pPr>
    </w:p>
    <w:p w14:paraId="57058FF7" w14:textId="77777777" w:rsidR="00D8530A" w:rsidRDefault="00D8530A">
      <w:pPr>
        <w:tabs>
          <w:tab w:val="left" w:pos="709"/>
        </w:tabs>
        <w:snapToGrid w:val="0"/>
        <w:spacing w:line="360" w:lineRule="auto"/>
        <w:ind w:firstLineChars="200" w:firstLine="480"/>
        <w:rPr>
          <w:rFonts w:ascii="仿宋_GB2312" w:hAnsiTheme="minorEastAsia" w:cs="宋体" w:hint="eastAsia"/>
          <w:bCs/>
          <w:kern w:val="0"/>
          <w:szCs w:val="32"/>
        </w:rPr>
      </w:pPr>
    </w:p>
    <w:p w14:paraId="7C4A59DE" w14:textId="77777777" w:rsidR="00D8530A" w:rsidRDefault="00D8530A">
      <w:pPr>
        <w:tabs>
          <w:tab w:val="left" w:pos="709"/>
        </w:tabs>
        <w:snapToGrid w:val="0"/>
        <w:spacing w:line="360" w:lineRule="auto"/>
        <w:ind w:firstLineChars="200" w:firstLine="480"/>
        <w:rPr>
          <w:rFonts w:ascii="仿宋_GB2312" w:hAnsiTheme="minorEastAsia" w:cs="宋体" w:hint="eastAsia"/>
          <w:bCs/>
          <w:kern w:val="0"/>
          <w:szCs w:val="32"/>
        </w:rPr>
      </w:pPr>
    </w:p>
    <w:p w14:paraId="4F71DAA8" w14:textId="77777777" w:rsidR="00D8530A" w:rsidRDefault="00000000">
      <w:pPr>
        <w:rPr>
          <w:rFonts w:ascii="仿宋_GB2312" w:hAnsiTheme="minorEastAsia" w:cs="宋体" w:hint="eastAsia"/>
          <w:bCs/>
          <w:kern w:val="0"/>
          <w:szCs w:val="32"/>
        </w:rPr>
      </w:pPr>
      <w:r>
        <w:rPr>
          <w:rFonts w:ascii="仿宋_GB2312" w:hAnsiTheme="minorEastAsia" w:cs="宋体" w:hint="eastAsia"/>
          <w:bCs/>
          <w:kern w:val="0"/>
          <w:szCs w:val="32"/>
        </w:rPr>
        <w:br w:type="page"/>
      </w:r>
    </w:p>
    <w:p w14:paraId="21F89F7E" w14:textId="77777777" w:rsidR="00D8530A" w:rsidRDefault="00000000">
      <w:pPr>
        <w:widowControl/>
        <w:tabs>
          <w:tab w:val="left" w:pos="709"/>
        </w:tabs>
        <w:snapToGrid w:val="0"/>
        <w:spacing w:line="360" w:lineRule="auto"/>
        <w:ind w:firstLineChars="200" w:firstLine="480"/>
      </w:pPr>
      <w:r>
        <w:rPr>
          <w:rFonts w:hint="eastAsia"/>
        </w:rPr>
        <w:lastRenderedPageBreak/>
        <w:t>（本页为签署页，无正文）</w:t>
      </w:r>
      <w:r>
        <w:rPr>
          <w:rFonts w:hint="eastAsia"/>
        </w:rPr>
        <w:t xml:space="preserve"> </w:t>
      </w:r>
    </w:p>
    <w:p w14:paraId="43EA376E" w14:textId="77777777" w:rsidR="00D8530A" w:rsidRDefault="00000000">
      <w:pPr>
        <w:widowControl/>
        <w:tabs>
          <w:tab w:val="left" w:pos="709"/>
        </w:tabs>
        <w:snapToGrid w:val="0"/>
        <w:spacing w:line="360" w:lineRule="auto"/>
        <w:ind w:firstLineChars="200" w:firstLine="480"/>
      </w:pPr>
      <w:r>
        <w:rPr>
          <w:rFonts w:hint="eastAsia"/>
        </w:rPr>
        <w:t>投资者（个人客户签名）</w:t>
      </w:r>
      <w:proofErr w:type="gramStart"/>
      <w:r>
        <w:rPr>
          <w:rFonts w:hint="eastAsia"/>
        </w:rPr>
        <w:t xml:space="preserve"> </w:t>
      </w:r>
      <w:r>
        <w:rPr>
          <w:rFonts w:hint="eastAsia"/>
        </w:rPr>
        <w:t>：</w:t>
      </w:r>
      <w:proofErr w:type="gramEnd"/>
    </w:p>
    <w:p w14:paraId="3DF43237" w14:textId="77777777" w:rsidR="00D8530A" w:rsidRDefault="00D8530A">
      <w:pPr>
        <w:widowControl/>
        <w:tabs>
          <w:tab w:val="left" w:pos="709"/>
        </w:tabs>
        <w:snapToGrid w:val="0"/>
        <w:spacing w:line="360" w:lineRule="auto"/>
        <w:ind w:firstLineChars="200" w:firstLine="480"/>
      </w:pPr>
    </w:p>
    <w:p w14:paraId="6B349DDE" w14:textId="77777777" w:rsidR="00D8530A" w:rsidRDefault="00000000">
      <w:pPr>
        <w:widowControl/>
        <w:tabs>
          <w:tab w:val="left" w:pos="709"/>
        </w:tabs>
        <w:snapToGrid w:val="0"/>
        <w:spacing w:line="360" w:lineRule="auto"/>
        <w:ind w:firstLineChars="200" w:firstLine="480"/>
      </w:pPr>
      <w:r>
        <w:rPr>
          <w:rFonts w:hint="eastAsia"/>
        </w:rPr>
        <w:t>投资者（机构客户盖公章）</w:t>
      </w:r>
      <w:proofErr w:type="gramStart"/>
      <w:r>
        <w:rPr>
          <w:rFonts w:hint="eastAsia"/>
        </w:rPr>
        <w:t xml:space="preserve"> </w:t>
      </w:r>
      <w:r>
        <w:rPr>
          <w:rFonts w:hint="eastAsia"/>
        </w:rPr>
        <w:t>：</w:t>
      </w:r>
      <w:proofErr w:type="gramEnd"/>
    </w:p>
    <w:p w14:paraId="19337ED3" w14:textId="77777777" w:rsidR="00D8530A" w:rsidRDefault="00000000">
      <w:pPr>
        <w:widowControl/>
        <w:tabs>
          <w:tab w:val="left" w:pos="709"/>
        </w:tabs>
        <w:snapToGrid w:val="0"/>
        <w:spacing w:line="360" w:lineRule="auto"/>
        <w:ind w:firstLineChars="200" w:firstLine="480"/>
      </w:pPr>
      <w:r>
        <w:rPr>
          <w:rFonts w:hint="eastAsia"/>
        </w:rPr>
        <w:t>法定代表人或授权代理人（签名或盖个人名章）：</w:t>
      </w:r>
      <w:r>
        <w:rPr>
          <w:rFonts w:hint="eastAsia"/>
        </w:rPr>
        <w:t xml:space="preserve"> </w:t>
      </w:r>
    </w:p>
    <w:p w14:paraId="156882D8" w14:textId="77777777" w:rsidR="00D8530A" w:rsidRDefault="00D8530A">
      <w:pPr>
        <w:widowControl/>
        <w:tabs>
          <w:tab w:val="left" w:pos="709"/>
        </w:tabs>
        <w:snapToGrid w:val="0"/>
        <w:spacing w:line="360" w:lineRule="auto"/>
        <w:ind w:firstLineChars="200" w:firstLine="480"/>
      </w:pPr>
    </w:p>
    <w:p w14:paraId="001DE9E6" w14:textId="77777777" w:rsidR="00D8530A" w:rsidRDefault="00000000">
      <w:pPr>
        <w:widowControl/>
        <w:tabs>
          <w:tab w:val="left" w:pos="709"/>
        </w:tabs>
        <w:snapToGrid w:val="0"/>
        <w:spacing w:line="360" w:lineRule="auto"/>
        <w:ind w:firstLineChars="200" w:firstLine="480"/>
      </w:pPr>
      <w:r>
        <w:rPr>
          <w:rFonts w:hint="eastAsia"/>
        </w:rPr>
        <w:t>签约</w:t>
      </w:r>
      <w:proofErr w:type="gramStart"/>
      <w:r>
        <w:rPr>
          <w:rFonts w:hint="eastAsia"/>
        </w:rPr>
        <w:t>日期</w:t>
      </w:r>
      <w:r>
        <w:rPr>
          <w:rFonts w:hint="eastAsia"/>
        </w:rPr>
        <w:t>:</w:t>
      </w:r>
      <w:proofErr w:type="gramEnd"/>
      <w:r>
        <w:rPr>
          <w:rFonts w:hint="eastAsia"/>
        </w:rPr>
        <w:t>_______</w:t>
      </w:r>
      <w:r>
        <w:rPr>
          <w:rFonts w:hint="eastAsia"/>
        </w:rPr>
        <w:t>年</w:t>
      </w:r>
      <w:r>
        <w:rPr>
          <w:rFonts w:hint="eastAsia"/>
        </w:rPr>
        <w:t>______</w:t>
      </w:r>
      <w:r>
        <w:rPr>
          <w:rFonts w:hint="eastAsia"/>
        </w:rPr>
        <w:t>月</w:t>
      </w:r>
      <w:r>
        <w:rPr>
          <w:rFonts w:hint="eastAsia"/>
        </w:rPr>
        <w:t>______</w:t>
      </w:r>
      <w:r>
        <w:rPr>
          <w:rFonts w:hint="eastAsia"/>
        </w:rPr>
        <w:t>日</w:t>
      </w:r>
    </w:p>
    <w:p w14:paraId="1C10362E" w14:textId="77777777" w:rsidR="00D8530A" w:rsidRDefault="00D8530A">
      <w:pPr>
        <w:tabs>
          <w:tab w:val="left" w:pos="709"/>
        </w:tabs>
        <w:snapToGrid w:val="0"/>
        <w:spacing w:line="360" w:lineRule="auto"/>
        <w:ind w:firstLineChars="200" w:firstLine="480"/>
        <w:rPr>
          <w:rFonts w:ascii="仿宋_GB2312" w:hAnsiTheme="minorEastAsia" w:cs="宋体" w:hint="eastAsia"/>
          <w:bCs/>
          <w:kern w:val="0"/>
          <w:szCs w:val="32"/>
        </w:rPr>
      </w:pPr>
    </w:p>
    <w:p w14:paraId="595CD37B" w14:textId="77777777" w:rsidR="00D8530A" w:rsidRDefault="00D8530A">
      <w:pPr>
        <w:widowControl/>
        <w:tabs>
          <w:tab w:val="left" w:pos="709"/>
        </w:tabs>
        <w:snapToGrid w:val="0"/>
        <w:spacing w:line="360" w:lineRule="auto"/>
        <w:rPr>
          <w:rFonts w:ascii="仿宋_GB2312" w:hAnsi="宋体" w:cs="宋体" w:hint="eastAsia"/>
          <w:bCs/>
          <w:kern w:val="0"/>
          <w:szCs w:val="24"/>
        </w:rPr>
      </w:pPr>
    </w:p>
    <w:p w14:paraId="0EC58318" w14:textId="77777777" w:rsidR="00D8530A" w:rsidRDefault="00D8530A">
      <w:pPr>
        <w:widowControl/>
        <w:jc w:val="left"/>
        <w:rPr>
          <w:szCs w:val="24"/>
        </w:rPr>
      </w:pPr>
    </w:p>
    <w:sectPr w:rsidR="00D8530A">
      <w:headerReference w:type="default" r:id="rId8"/>
      <w:footerReference w:type="default" r:id="rId9"/>
      <w:pgSz w:w="11906" w:h="16838"/>
      <w:pgMar w:top="720" w:right="720" w:bottom="720" w:left="720" w:header="680" w:footer="992" w:gutter="0"/>
      <w:cols w:space="720"/>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AA9ED9" w14:textId="77777777" w:rsidR="00FD1ACB" w:rsidRDefault="00FD1ACB">
      <w:r>
        <w:separator/>
      </w:r>
    </w:p>
  </w:endnote>
  <w:endnote w:type="continuationSeparator" w:id="0">
    <w:p w14:paraId="61D82DB5" w14:textId="77777777" w:rsidR="00FD1ACB" w:rsidRDefault="00FD1A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微软雅黑"/>
    <w:charset w:val="86"/>
    <w:family w:val="modern"/>
    <w:pitch w:val="default"/>
    <w:sig w:usb0="00000001" w:usb1="080E0000" w:usb2="00000000" w:usb3="00000000" w:csb0="00040000"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方正小标宋简体">
    <w:altName w:val="微软雅黑"/>
    <w:charset w:val="86"/>
    <w:family w:val="auto"/>
    <w:pitch w:val="default"/>
    <w:sig w:usb0="00000001" w:usb1="080E0000" w:usb2="0000000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楷体_GB2312">
    <w:altName w:val="微软雅黑"/>
    <w:charset w:val="86"/>
    <w:family w:val="modern"/>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东文宋体">
    <w:altName w:val="宋体"/>
    <w:charset w:val="00"/>
    <w:family w:val="auto"/>
    <w:pitch w:val="default"/>
    <w:sig w:usb0="00000000" w:usb1="00000000" w:usb2="00000000"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5C44C" w14:textId="77777777" w:rsidR="00D8530A" w:rsidRDefault="00000000">
    <w:pPr>
      <w:pStyle w:val="a7"/>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w:t>
    </w:r>
    <w:r>
      <w:rPr>
        <w:lang w:val="zh-CN"/>
      </w:rPr>
      <w:t xml:space="preserve">/ </w:t>
    </w:r>
    <w:r>
      <w:rPr>
        <w:b/>
        <w:bCs/>
        <w:sz w:val="24"/>
        <w:szCs w:val="24"/>
      </w:rPr>
      <w:fldChar w:fldCharType="begin"/>
    </w:r>
    <w:r>
      <w:rPr>
        <w:b/>
        <w:bCs/>
      </w:rPr>
      <w:instrText>NUMPAGES</w:instrText>
    </w:r>
    <w:r>
      <w:rPr>
        <w:b/>
        <w:bCs/>
        <w:sz w:val="24"/>
        <w:szCs w:val="24"/>
      </w:rPr>
      <w:fldChar w:fldCharType="separate"/>
    </w:r>
    <w:r>
      <w:rPr>
        <w:b/>
        <w:bCs/>
      </w:rPr>
      <w:t>33</w:t>
    </w:r>
    <w:r>
      <w:rPr>
        <w:b/>
        <w:bCs/>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450A13" w14:textId="77777777" w:rsidR="00FD1ACB" w:rsidRDefault="00FD1ACB">
      <w:r>
        <w:separator/>
      </w:r>
    </w:p>
  </w:footnote>
  <w:footnote w:type="continuationSeparator" w:id="0">
    <w:p w14:paraId="64171A47" w14:textId="77777777" w:rsidR="00FD1ACB" w:rsidRDefault="00FD1A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8FE88" w14:textId="77777777" w:rsidR="00D8530A" w:rsidRDefault="00000000">
    <w:pPr>
      <w:pStyle w:val="a8"/>
      <w:spacing w:line="276" w:lineRule="auto"/>
      <w:jc w:val="left"/>
      <w:rPr>
        <w:rFonts w:ascii="宋体" w:eastAsia="宋体" w:hAnsi="宋体" w:hint="eastAsia"/>
        <w:b/>
        <w:sz w:val="24"/>
        <w:szCs w:val="21"/>
      </w:rPr>
    </w:pPr>
    <w:r>
      <w:rPr>
        <w:rFonts w:ascii="宋体" w:eastAsia="宋体" w:hAnsi="宋体" w:hint="eastAsia"/>
        <w:b/>
        <w:sz w:val="24"/>
        <w:szCs w:val="21"/>
      </w:rPr>
      <w:t>理财非</w:t>
    </w:r>
    <w:proofErr w:type="gramStart"/>
    <w:r>
      <w:rPr>
        <w:rFonts w:ascii="宋体" w:eastAsia="宋体" w:hAnsi="宋体" w:hint="eastAsia"/>
        <w:b/>
        <w:sz w:val="24"/>
        <w:szCs w:val="21"/>
      </w:rPr>
      <w:t>存款</w:t>
    </w:r>
    <w:r>
      <w:rPr>
        <w:rFonts w:ascii="宋体" w:eastAsia="宋体" w:hAnsi="宋体"/>
        <w:b/>
        <w:sz w:val="24"/>
        <w:szCs w:val="21"/>
      </w:rPr>
      <w:t xml:space="preserve"> </w:t>
    </w:r>
    <w:r>
      <w:rPr>
        <w:rFonts w:ascii="宋体" w:eastAsia="宋体" w:hAnsi="宋体" w:hint="eastAsia"/>
        <w:b/>
        <w:sz w:val="24"/>
        <w:szCs w:val="21"/>
      </w:rPr>
      <w:t>产品</w:t>
    </w:r>
    <w:proofErr w:type="gramEnd"/>
    <w:r>
      <w:rPr>
        <w:rFonts w:ascii="宋体" w:eastAsia="宋体" w:hAnsi="宋体" w:hint="eastAsia"/>
        <w:b/>
        <w:sz w:val="24"/>
        <w:szCs w:val="21"/>
      </w:rPr>
      <w:t>有</w:t>
    </w:r>
    <w:proofErr w:type="gramStart"/>
    <w:r>
      <w:rPr>
        <w:rFonts w:ascii="宋体" w:eastAsia="宋体" w:hAnsi="宋体" w:hint="eastAsia"/>
        <w:b/>
        <w:sz w:val="24"/>
        <w:szCs w:val="21"/>
      </w:rPr>
      <w:t>风险</w:t>
    </w:r>
    <w:r>
      <w:rPr>
        <w:rFonts w:ascii="宋体" w:eastAsia="宋体" w:hAnsi="宋体"/>
        <w:b/>
        <w:sz w:val="24"/>
        <w:szCs w:val="21"/>
      </w:rPr>
      <w:t xml:space="preserve"> </w:t>
    </w:r>
    <w:r>
      <w:rPr>
        <w:rFonts w:ascii="宋体" w:eastAsia="宋体" w:hAnsi="宋体" w:hint="eastAsia"/>
        <w:b/>
        <w:sz w:val="24"/>
        <w:szCs w:val="21"/>
      </w:rPr>
      <w:t>投资</w:t>
    </w:r>
    <w:proofErr w:type="gramEnd"/>
    <w:r>
      <w:rPr>
        <w:rFonts w:ascii="宋体" w:eastAsia="宋体" w:hAnsi="宋体" w:hint="eastAsia"/>
        <w:b/>
        <w:sz w:val="24"/>
        <w:szCs w:val="21"/>
      </w:rPr>
      <w:t>须</w:t>
    </w:r>
    <w:proofErr w:type="gramStart"/>
    <w:r>
      <w:rPr>
        <w:rFonts w:ascii="宋体" w:eastAsia="宋体" w:hAnsi="宋体" w:hint="eastAsia"/>
        <w:b/>
        <w:sz w:val="24"/>
        <w:szCs w:val="21"/>
      </w:rPr>
      <w:t>谨慎</w:t>
    </w:r>
    <w:r>
      <w:rPr>
        <w:rFonts w:ascii="宋体" w:eastAsia="宋体" w:hAnsi="宋体"/>
        <w:b/>
        <w:sz w:val="24"/>
        <w:szCs w:val="21"/>
      </w:rPr>
      <w:t xml:space="preserve"> </w:t>
    </w:r>
    <w:r>
      <w:rPr>
        <w:b/>
        <w:sz w:val="24"/>
        <w:szCs w:val="21"/>
      </w:rPr>
      <w:t xml:space="preserve"> </w:t>
    </w:r>
    <w:r>
      <w:rPr>
        <w:rFonts w:hint="eastAsia"/>
        <w:b/>
        <w:sz w:val="21"/>
        <w:szCs w:val="21"/>
      </w:rPr>
      <w:t xml:space="preserve">                    </w:t>
    </w:r>
    <w:r>
      <w:rPr>
        <w:b/>
        <w:sz w:val="21"/>
        <w:szCs w:val="21"/>
      </w:rPr>
      <w:t xml:space="preserve">         </w:t>
    </w:r>
    <w:r>
      <w:rPr>
        <w:rFonts w:hint="eastAsia"/>
        <w:b/>
        <w:sz w:val="21"/>
        <w:szCs w:val="21"/>
      </w:rPr>
      <w:t xml:space="preserve"> </w:t>
    </w:r>
    <w:r>
      <w:rPr>
        <w:b/>
        <w:sz w:val="21"/>
        <w:szCs w:val="21"/>
      </w:rPr>
      <w:t xml:space="preserve">                    </w:t>
    </w:r>
    <w:r>
      <w:rPr>
        <w:rFonts w:ascii="宋体" w:eastAsia="宋体" w:hAnsi="宋体" w:hint="eastAsia"/>
        <w:b/>
        <w:sz w:val="24"/>
        <w:szCs w:val="21"/>
      </w:rPr>
      <w:t>浙</w:t>
    </w:r>
    <w:proofErr w:type="gramEnd"/>
    <w:r>
      <w:rPr>
        <w:rFonts w:ascii="宋体" w:eastAsia="宋体" w:hAnsi="宋体" w:hint="eastAsia"/>
        <w:b/>
        <w:sz w:val="24"/>
        <w:szCs w:val="21"/>
      </w:rPr>
      <w:t>银理财</w:t>
    </w:r>
    <w:r>
      <w:rPr>
        <w:rFonts w:hint="eastAsia"/>
      </w:rPr>
      <w:pict w14:anchorId="16293F62">
        <v:shapetype id="_x0000_t202" coordsize="21600,21600" o:spt="202" path="m,l,21600r21600,l21600,xe">
          <v:stroke joinstyle="miter"/>
          <v:path gradientshapeok="t" o:connecttype="rect"/>
        </v:shapetype>
        <v:shape id="ImpTraceLabel01f24a5666b437d1193b837c63dcab0d@" o:spid="_x0000_s3073" type="#_x0000_t202" style="position:absolute;margin-left:0;margin-top:0;width:0;height:0;z-index:251659264;mso-position-horizontal-relative:page;mso-position-vertical-relative:page;mso-width-relative:page;mso-height-relative:page" filled="f" stroked="f">
          <v:textbox>
            <w:txbxContent>
              <w:p w14:paraId="351C2859" w14:textId="77777777" w:rsidR="00D8530A" w:rsidRDefault="00000000">
                <w:r>
                  <w:t>ImpTraceLabel01f24a5666b437d1193b837c63dcab0d@=dGltZT0xNzc2ODI3ODg4MDAwfHdhdGVyTWFya0luZm895L+d5a+GfGZpbGVOYW1lPea1memTtueQhui0oueQrueugOWvjOaYpTE0NuWPt+eQhui0ouS6p+WTgeivtOaYjuS5pjIwMjYwMeeJiC5kb2N4fElQPTEwLjExLjMyLjIzMXxNQUM9MDQ6RDQ6QzQ6NTU6MDc6MTV8Y29tcHV0ZXJOYW1lPeWRmOW3peW3peWPt3xjb21wYW55Pea1meWVhumTtuihjOiCoeS7veaciemZkOWFrOWPuHxkZXA95biC5Zy66JCl6ZSA6YOo77yI5Lqn5ZOB56CU5Y+R6YOo77yJfHVuaXF1ZUNvZGU9MTEzMDM0fHVzZXJOYW1lPemZiOeCnOadsA==</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7DE153C"/>
    <w:multiLevelType w:val="singleLevel"/>
    <w:tmpl w:val="F7DE153C"/>
    <w:lvl w:ilvl="0">
      <w:start w:val="1"/>
      <w:numFmt w:val="decimal"/>
      <w:suff w:val="nothing"/>
      <w:lvlText w:val="（%1）"/>
      <w:lvlJc w:val="left"/>
    </w:lvl>
  </w:abstractNum>
  <w:abstractNum w:abstractNumId="1" w15:restartNumberingAfterBreak="0">
    <w:nsid w:val="7477F87A"/>
    <w:multiLevelType w:val="multilevel"/>
    <w:tmpl w:val="7477F87A"/>
    <w:lvl w:ilvl="0">
      <w:start w:val="1"/>
      <w:numFmt w:val="chineseCounting"/>
      <w:pStyle w:val="1"/>
      <w:suff w:val="nothing"/>
      <w:lvlText w:val="第%1节 "/>
      <w:lvlJc w:val="left"/>
      <w:pPr>
        <w:tabs>
          <w:tab w:val="left" w:pos="0"/>
        </w:tabs>
        <w:ind w:left="0" w:firstLine="0"/>
      </w:pPr>
      <w:rPr>
        <w:rFonts w:cs="Times New Roman"/>
        <w:b w:val="0"/>
        <w:bCs w:val="0"/>
        <w:i w:val="0"/>
        <w:iCs w:val="0"/>
        <w:caps w:val="0"/>
        <w:smallCaps w:val="0"/>
        <w:strike w:val="0"/>
        <w:dstrike w:val="0"/>
        <w:vanish w:val="0"/>
        <w:color w:val="000000"/>
        <w:spacing w:val="0"/>
        <w:position w:val="0"/>
        <w:u w:val="none"/>
        <w:vertAlign w:val="baseline"/>
        <w14:shadow w14:blurRad="0" w14:dist="0" w14:dir="0" w14:sx="0" w14:sy="0" w14:kx="0" w14:ky="0" w14:algn="none">
          <w14:srgbClr w14:val="000000"/>
        </w14:shadow>
      </w:rPr>
    </w:lvl>
    <w:lvl w:ilvl="1">
      <w:start w:val="1"/>
      <w:numFmt w:val="chineseCounting"/>
      <w:pStyle w:val="2"/>
      <w:suff w:val="nothing"/>
      <w:lvlText w:val="（%2）"/>
      <w:lvlJc w:val="left"/>
      <w:pPr>
        <w:tabs>
          <w:tab w:val="left" w:pos="0"/>
        </w:tabs>
        <w:ind w:left="0" w:firstLine="0"/>
      </w:pPr>
      <w:rPr>
        <w:rFonts w:ascii="宋体" w:eastAsia="仿宋_GB2312" w:hAnsi="宋体" w:cs="宋体" w:hint="eastAsia"/>
        <w:b/>
        <w:bCs/>
        <w:sz w:val="24"/>
      </w:rPr>
    </w:lvl>
    <w:lvl w:ilvl="2">
      <w:start w:val="1"/>
      <w:numFmt w:val="decimal"/>
      <w:pStyle w:val="3"/>
      <w:suff w:val="nothing"/>
      <w:lvlText w:val="%3．"/>
      <w:lvlJc w:val="left"/>
      <w:pPr>
        <w:ind w:left="0" w:firstLine="400"/>
      </w:pPr>
      <w:rPr>
        <w:rFonts w:ascii="宋体" w:eastAsia="宋体" w:hAnsi="宋体" w:cs="宋体" w:hint="eastAsia"/>
      </w:rPr>
    </w:lvl>
    <w:lvl w:ilvl="3">
      <w:start w:val="1"/>
      <w:numFmt w:val="decimal"/>
      <w:pStyle w:val="4"/>
      <w:suff w:val="nothing"/>
      <w:lvlText w:val="（%4）"/>
      <w:lvlJc w:val="left"/>
      <w:pPr>
        <w:ind w:left="0" w:firstLine="402"/>
      </w:pPr>
      <w:rPr>
        <w:rFonts w:hint="eastAsia"/>
      </w:rPr>
    </w:lvl>
    <w:lvl w:ilvl="4">
      <w:start w:val="1"/>
      <w:numFmt w:val="decimalEnclosedCircleChinese"/>
      <w:pStyle w:val="5"/>
      <w:suff w:val="nothing"/>
      <w:lvlText w:val="%5"/>
      <w:lvlJc w:val="left"/>
      <w:pPr>
        <w:ind w:left="0" w:firstLine="402"/>
      </w:pPr>
      <w:rPr>
        <w:rFonts w:hint="eastAsia"/>
      </w:rPr>
    </w:lvl>
    <w:lvl w:ilvl="5">
      <w:start w:val="1"/>
      <w:numFmt w:val="decimal"/>
      <w:pStyle w:val="6"/>
      <w:suff w:val="nothing"/>
      <w:lvlText w:val="%6）"/>
      <w:lvlJc w:val="left"/>
      <w:pPr>
        <w:ind w:left="0" w:firstLine="402"/>
      </w:pPr>
      <w:rPr>
        <w:rFonts w:hint="eastAsia"/>
      </w:rPr>
    </w:lvl>
    <w:lvl w:ilvl="6">
      <w:start w:val="1"/>
      <w:numFmt w:val="lowerLetter"/>
      <w:pStyle w:val="7"/>
      <w:suff w:val="nothing"/>
      <w:lvlText w:val="%7．"/>
      <w:lvlJc w:val="left"/>
      <w:pPr>
        <w:ind w:left="0" w:firstLine="402"/>
      </w:pPr>
      <w:rPr>
        <w:rFonts w:hint="eastAsia"/>
      </w:rPr>
    </w:lvl>
    <w:lvl w:ilvl="7">
      <w:start w:val="1"/>
      <w:numFmt w:val="lowerLetter"/>
      <w:pStyle w:val="8"/>
      <w:suff w:val="nothing"/>
      <w:lvlText w:val="%8）"/>
      <w:lvlJc w:val="left"/>
      <w:pPr>
        <w:ind w:left="0" w:firstLine="402"/>
      </w:pPr>
      <w:rPr>
        <w:rFonts w:hint="eastAsia"/>
      </w:rPr>
    </w:lvl>
    <w:lvl w:ilvl="8">
      <w:start w:val="1"/>
      <w:numFmt w:val="lowerRoman"/>
      <w:pStyle w:val="9"/>
      <w:suff w:val="nothing"/>
      <w:lvlText w:val="%9 "/>
      <w:lvlJc w:val="left"/>
      <w:pPr>
        <w:ind w:left="0" w:firstLine="402"/>
      </w:pPr>
      <w:rPr>
        <w:rFonts w:hint="eastAsia"/>
      </w:rPr>
    </w:lvl>
  </w:abstractNum>
  <w:num w:numId="1" w16cid:durableId="181431980">
    <w:abstractNumId w:val="1"/>
  </w:num>
  <w:num w:numId="2" w16cid:durableId="9845524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420"/>
  <w:drawingGridHorizontalSpacing w:val="120"/>
  <w:drawingGridVerticalSpacing w:val="163"/>
  <w:noPunctuationKerning/>
  <w:characterSpacingControl w:val="compressPunctuation"/>
  <w:hdrShapeDefaults>
    <o:shapedefaults v:ext="edit" spidmax="3074"/>
    <o:shapelayout v:ext="edit">
      <o:idmap v:ext="edit" data="1,3"/>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2FmYjM3ZmJlMjNhM2Y5MDE0ZTRlMTUxZThiNDdmNTYifQ=="/>
    <w:docVar w:name="KSO_WPS_MARK_KEY" w:val="2176d3be-20b8-4d3b-b4e7-551bb84ae047"/>
  </w:docVars>
  <w:rsids>
    <w:rsidRoot w:val="00D8530A"/>
    <w:rsid w:val="00526770"/>
    <w:rsid w:val="00654B4D"/>
    <w:rsid w:val="00D8530A"/>
    <w:rsid w:val="00FD1ACB"/>
    <w:rsid w:val="01B77113"/>
    <w:rsid w:val="021E2574"/>
    <w:rsid w:val="06F65DB5"/>
    <w:rsid w:val="0FAD0046"/>
    <w:rsid w:val="0FB72E2F"/>
    <w:rsid w:val="109B0323"/>
    <w:rsid w:val="156102E1"/>
    <w:rsid w:val="16366A4F"/>
    <w:rsid w:val="1D7F3AB7"/>
    <w:rsid w:val="1DAC649F"/>
    <w:rsid w:val="1DD63602"/>
    <w:rsid w:val="1EF71B2C"/>
    <w:rsid w:val="1F796F60"/>
    <w:rsid w:val="1F86550B"/>
    <w:rsid w:val="22E4044C"/>
    <w:rsid w:val="25767CAC"/>
    <w:rsid w:val="267B437C"/>
    <w:rsid w:val="2CDE2C4B"/>
    <w:rsid w:val="34BEC960"/>
    <w:rsid w:val="35EA7B2B"/>
    <w:rsid w:val="379F17DD"/>
    <w:rsid w:val="37C72012"/>
    <w:rsid w:val="38320194"/>
    <w:rsid w:val="3D472808"/>
    <w:rsid w:val="3DE52ED2"/>
    <w:rsid w:val="3ED5B528"/>
    <w:rsid w:val="3FD43164"/>
    <w:rsid w:val="412519C7"/>
    <w:rsid w:val="41325840"/>
    <w:rsid w:val="4194511B"/>
    <w:rsid w:val="42190051"/>
    <w:rsid w:val="436926CF"/>
    <w:rsid w:val="442A5F0D"/>
    <w:rsid w:val="4B2C608D"/>
    <w:rsid w:val="4BD9492D"/>
    <w:rsid w:val="4F604578"/>
    <w:rsid w:val="4FD6640D"/>
    <w:rsid w:val="4FD74457"/>
    <w:rsid w:val="50525457"/>
    <w:rsid w:val="508A6C80"/>
    <w:rsid w:val="52011F42"/>
    <w:rsid w:val="535C817B"/>
    <w:rsid w:val="538C69FC"/>
    <w:rsid w:val="55370068"/>
    <w:rsid w:val="585E7F9C"/>
    <w:rsid w:val="5BFDEDA8"/>
    <w:rsid w:val="5EBF2DEC"/>
    <w:rsid w:val="5F1B7BA2"/>
    <w:rsid w:val="5F1C0CB1"/>
    <w:rsid w:val="5FC20324"/>
    <w:rsid w:val="5FF21924"/>
    <w:rsid w:val="5FF72766"/>
    <w:rsid w:val="64440CEA"/>
    <w:rsid w:val="66DF7DAF"/>
    <w:rsid w:val="67FDF6A8"/>
    <w:rsid w:val="699A0757"/>
    <w:rsid w:val="6FCD2EE5"/>
    <w:rsid w:val="6FDDC817"/>
    <w:rsid w:val="72F87EB6"/>
    <w:rsid w:val="732B4F56"/>
    <w:rsid w:val="73A74E12"/>
    <w:rsid w:val="73FF5CF8"/>
    <w:rsid w:val="778F3D66"/>
    <w:rsid w:val="77BFC2D2"/>
    <w:rsid w:val="77E716E9"/>
    <w:rsid w:val="789769C2"/>
    <w:rsid w:val="78F0710B"/>
    <w:rsid w:val="794DAC4D"/>
    <w:rsid w:val="79FD836E"/>
    <w:rsid w:val="7AB75C09"/>
    <w:rsid w:val="7BA37D9C"/>
    <w:rsid w:val="7BD78EF0"/>
    <w:rsid w:val="7BE3B031"/>
    <w:rsid w:val="7E2F433F"/>
    <w:rsid w:val="7EB72651"/>
    <w:rsid w:val="7ED01990"/>
    <w:rsid w:val="7EFF50F5"/>
    <w:rsid w:val="7F32F0C5"/>
    <w:rsid w:val="7F6C5A99"/>
    <w:rsid w:val="7FBF0D4F"/>
    <w:rsid w:val="7FFEA6B3"/>
    <w:rsid w:val="8FFFE979"/>
    <w:rsid w:val="A7F60E86"/>
    <w:rsid w:val="BBFE0B6E"/>
    <w:rsid w:val="BF182561"/>
    <w:rsid w:val="BFB3CD61"/>
    <w:rsid w:val="CB7D831B"/>
    <w:rsid w:val="D7EFB456"/>
    <w:rsid w:val="DBF7922E"/>
    <w:rsid w:val="DDFDB194"/>
    <w:rsid w:val="DFEE3D01"/>
    <w:rsid w:val="EBC71959"/>
    <w:rsid w:val="EC9EB53C"/>
    <w:rsid w:val="EFE58501"/>
    <w:rsid w:val="F1BF0838"/>
    <w:rsid w:val="F3FFC66E"/>
    <w:rsid w:val="F5AFED8B"/>
    <w:rsid w:val="F6F71E06"/>
    <w:rsid w:val="F7EDA603"/>
    <w:rsid w:val="F7FBD593"/>
    <w:rsid w:val="F9AEDB6F"/>
    <w:rsid w:val="FAED65A4"/>
    <w:rsid w:val="FAF99FBB"/>
    <w:rsid w:val="FD7FBC97"/>
    <w:rsid w:val="FDC76EA3"/>
    <w:rsid w:val="FDF6695C"/>
    <w:rsid w:val="FDF72105"/>
    <w:rsid w:val="FE7C3CBE"/>
    <w:rsid w:val="FF76592C"/>
    <w:rsid w:val="FF7798F6"/>
    <w:rsid w:val="FFDCEA9B"/>
    <w:rsid w:val="FFF709FC"/>
    <w:rsid w:val="FFFF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5:docId w15:val="{7FDC04BB-E9BB-432B-9E78-A321430E4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99" w:qFormat="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iPriority="99"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eastAsia="仿宋_GB2312" w:hAnsi="Calibri"/>
      <w:kern w:val="2"/>
      <w:sz w:val="24"/>
      <w:szCs w:val="22"/>
    </w:rPr>
  </w:style>
  <w:style w:type="paragraph" w:styleId="1">
    <w:name w:val="heading 1"/>
    <w:basedOn w:val="a"/>
    <w:next w:val="a"/>
    <w:link w:val="10"/>
    <w:qFormat/>
    <w:pPr>
      <w:keepNext/>
      <w:keepLines/>
      <w:numPr>
        <w:numId w:val="1"/>
      </w:numPr>
      <w:spacing w:line="360" w:lineRule="auto"/>
      <w:jc w:val="center"/>
      <w:outlineLvl w:val="0"/>
    </w:pPr>
    <w:rPr>
      <w:rFonts w:eastAsia="黑体"/>
      <w:kern w:val="44"/>
      <w:sz w:val="28"/>
    </w:rPr>
  </w:style>
  <w:style w:type="paragraph" w:styleId="2">
    <w:name w:val="heading 2"/>
    <w:basedOn w:val="a"/>
    <w:next w:val="a"/>
    <w:link w:val="20"/>
    <w:unhideWhenUsed/>
    <w:qFormat/>
    <w:pPr>
      <w:keepNext/>
      <w:keepLines/>
      <w:numPr>
        <w:ilvl w:val="1"/>
        <w:numId w:val="1"/>
      </w:numPr>
      <w:tabs>
        <w:tab w:val="left" w:pos="709"/>
        <w:tab w:val="left" w:pos="1134"/>
      </w:tabs>
      <w:spacing w:line="360" w:lineRule="auto"/>
      <w:jc w:val="left"/>
      <w:outlineLvl w:val="1"/>
    </w:pPr>
    <w:rPr>
      <w:rFonts w:ascii="Arial" w:hAnsi="Arial"/>
      <w:b/>
    </w:rPr>
  </w:style>
  <w:style w:type="paragraph" w:styleId="3">
    <w:name w:val="heading 3"/>
    <w:basedOn w:val="a"/>
    <w:next w:val="a"/>
    <w:link w:val="30"/>
    <w:unhideWhenUsed/>
    <w:qFormat/>
    <w:pPr>
      <w:keepNext/>
      <w:keepLines/>
      <w:numPr>
        <w:ilvl w:val="2"/>
        <w:numId w:val="1"/>
      </w:numPr>
      <w:spacing w:before="260" w:after="260" w:line="413" w:lineRule="auto"/>
      <w:outlineLvl w:val="2"/>
    </w:pPr>
    <w:rPr>
      <w:b/>
      <w:sz w:val="32"/>
    </w:rPr>
  </w:style>
  <w:style w:type="paragraph" w:styleId="4">
    <w:name w:val="heading 4"/>
    <w:basedOn w:val="a"/>
    <w:next w:val="a"/>
    <w:unhideWhenUsed/>
    <w:qFormat/>
    <w:pPr>
      <w:keepNext/>
      <w:keepLines/>
      <w:numPr>
        <w:ilvl w:val="3"/>
        <w:numId w:val="1"/>
      </w:numPr>
      <w:spacing w:before="280" w:after="290" w:line="372" w:lineRule="auto"/>
      <w:outlineLvl w:val="3"/>
    </w:pPr>
    <w:rPr>
      <w:rFonts w:ascii="Arial" w:eastAsia="黑体" w:hAnsi="Arial"/>
      <w:b/>
      <w:sz w:val="28"/>
    </w:rPr>
  </w:style>
  <w:style w:type="paragraph" w:styleId="5">
    <w:name w:val="heading 5"/>
    <w:basedOn w:val="a"/>
    <w:next w:val="a"/>
    <w:unhideWhenUsed/>
    <w:qFormat/>
    <w:pPr>
      <w:keepNext/>
      <w:keepLines/>
      <w:numPr>
        <w:ilvl w:val="4"/>
        <w:numId w:val="1"/>
      </w:numPr>
      <w:spacing w:before="280" w:after="290" w:line="372" w:lineRule="auto"/>
      <w:outlineLvl w:val="4"/>
    </w:pPr>
    <w:rPr>
      <w:b/>
      <w:sz w:val="28"/>
    </w:rPr>
  </w:style>
  <w:style w:type="paragraph" w:styleId="6">
    <w:name w:val="heading 6"/>
    <w:basedOn w:val="a"/>
    <w:next w:val="a"/>
    <w:unhideWhenUsed/>
    <w:qFormat/>
    <w:pPr>
      <w:keepNext/>
      <w:keepLines/>
      <w:numPr>
        <w:ilvl w:val="5"/>
        <w:numId w:val="1"/>
      </w:numPr>
      <w:spacing w:before="240" w:after="64" w:line="317" w:lineRule="auto"/>
      <w:outlineLvl w:val="5"/>
    </w:pPr>
    <w:rPr>
      <w:rFonts w:ascii="Arial" w:eastAsia="黑体" w:hAnsi="Arial"/>
      <w:b/>
    </w:rPr>
  </w:style>
  <w:style w:type="paragraph" w:styleId="7">
    <w:name w:val="heading 7"/>
    <w:basedOn w:val="a"/>
    <w:next w:val="a"/>
    <w:unhideWhenUsed/>
    <w:qFormat/>
    <w:pPr>
      <w:keepNext/>
      <w:keepLines/>
      <w:numPr>
        <w:ilvl w:val="6"/>
        <w:numId w:val="1"/>
      </w:numPr>
      <w:spacing w:before="240" w:after="64" w:line="317" w:lineRule="auto"/>
      <w:outlineLvl w:val="6"/>
    </w:pPr>
    <w:rPr>
      <w:b/>
    </w:rPr>
  </w:style>
  <w:style w:type="paragraph" w:styleId="8">
    <w:name w:val="heading 8"/>
    <w:basedOn w:val="a"/>
    <w:next w:val="a"/>
    <w:unhideWhenUsed/>
    <w:qFormat/>
    <w:pPr>
      <w:keepNext/>
      <w:keepLines/>
      <w:numPr>
        <w:ilvl w:val="7"/>
        <w:numId w:val="1"/>
      </w:numPr>
      <w:spacing w:before="240" w:after="64" w:line="317" w:lineRule="auto"/>
      <w:outlineLvl w:val="7"/>
    </w:pPr>
    <w:rPr>
      <w:rFonts w:ascii="Arial" w:eastAsia="黑体" w:hAnsi="Arial"/>
    </w:rPr>
  </w:style>
  <w:style w:type="paragraph" w:styleId="9">
    <w:name w:val="heading 9"/>
    <w:basedOn w:val="a"/>
    <w:next w:val="a"/>
    <w:unhideWhenUsed/>
    <w:qFormat/>
    <w:pPr>
      <w:keepNext/>
      <w:keepLines/>
      <w:numPr>
        <w:ilvl w:val="8"/>
        <w:numId w:val="1"/>
      </w:numPr>
      <w:spacing w:before="240" w:after="64" w:line="317" w:lineRule="auto"/>
      <w:outlineLvl w:val="8"/>
    </w:pPr>
    <w:rPr>
      <w:rFonts w:ascii="Arial" w:eastAsia="黑体" w:hAnsi="Arial"/>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qFormat/>
    <w:pPr>
      <w:jc w:val="left"/>
    </w:pPr>
    <w:rPr>
      <w:rFonts w:eastAsia="宋体"/>
    </w:rPr>
  </w:style>
  <w:style w:type="paragraph" w:styleId="a5">
    <w:name w:val="Balloon Text"/>
    <w:basedOn w:val="a"/>
    <w:link w:val="a6"/>
    <w:unhideWhenUsed/>
    <w:qFormat/>
    <w:rPr>
      <w:sz w:val="18"/>
      <w:szCs w:val="18"/>
    </w:rPr>
  </w:style>
  <w:style w:type="paragraph" w:styleId="a7">
    <w:name w:val="footer"/>
    <w:basedOn w:val="a"/>
    <w:qFormat/>
    <w:pPr>
      <w:tabs>
        <w:tab w:val="center" w:pos="4153"/>
        <w:tab w:val="right" w:pos="8306"/>
      </w:tabs>
      <w:snapToGrid w:val="0"/>
      <w:jc w:val="left"/>
    </w:pPr>
    <w:rPr>
      <w:kern w:val="0"/>
      <w:sz w:val="18"/>
      <w:szCs w:val="18"/>
    </w:rPr>
  </w:style>
  <w:style w:type="paragraph" w:styleId="a8">
    <w:name w:val="header"/>
    <w:basedOn w:val="a"/>
    <w:link w:val="a9"/>
    <w:qFormat/>
    <w:pPr>
      <w:pBdr>
        <w:bottom w:val="single" w:sz="6" w:space="1" w:color="auto"/>
      </w:pBdr>
      <w:tabs>
        <w:tab w:val="center" w:pos="4153"/>
        <w:tab w:val="right" w:pos="8306"/>
      </w:tabs>
      <w:snapToGrid w:val="0"/>
      <w:jc w:val="center"/>
    </w:pPr>
    <w:rPr>
      <w:sz w:val="18"/>
      <w:szCs w:val="18"/>
    </w:rPr>
  </w:style>
  <w:style w:type="paragraph" w:styleId="aa">
    <w:name w:val="annotation subject"/>
    <w:basedOn w:val="a3"/>
    <w:next w:val="a3"/>
    <w:link w:val="ab"/>
    <w:unhideWhenUsed/>
    <w:qFormat/>
    <w:rPr>
      <w:b/>
      <w:bCs/>
    </w:rPr>
  </w:style>
  <w:style w:type="table" w:styleId="ac">
    <w:name w:val="Table Grid"/>
    <w:basedOn w:val="a1"/>
    <w:uiPriority w:val="59"/>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qFormat/>
    <w:rPr>
      <w:color w:val="0000FF"/>
      <w:u w:val="single"/>
    </w:rPr>
  </w:style>
  <w:style w:type="character" w:styleId="ae">
    <w:name w:val="annotation reference"/>
    <w:basedOn w:val="a0"/>
    <w:qFormat/>
    <w:rPr>
      <w:sz w:val="21"/>
      <w:szCs w:val="21"/>
    </w:rPr>
  </w:style>
  <w:style w:type="character" w:customStyle="1" w:styleId="10">
    <w:name w:val="标题 1 字符"/>
    <w:link w:val="1"/>
    <w:qFormat/>
    <w:rPr>
      <w:rFonts w:ascii="Calibri" w:eastAsia="黑体" w:hAnsi="Calibri"/>
      <w:kern w:val="44"/>
      <w:sz w:val="28"/>
    </w:rPr>
  </w:style>
  <w:style w:type="character" w:customStyle="1" w:styleId="20">
    <w:name w:val="标题 2 字符"/>
    <w:link w:val="2"/>
    <w:qFormat/>
    <w:rPr>
      <w:rFonts w:ascii="Arial" w:eastAsia="仿宋_GB2312" w:hAnsi="Arial"/>
      <w:b/>
    </w:rPr>
  </w:style>
  <w:style w:type="character" w:customStyle="1" w:styleId="30">
    <w:name w:val="标题 3 字符"/>
    <w:link w:val="3"/>
    <w:qFormat/>
    <w:rPr>
      <w:b/>
      <w:sz w:val="32"/>
    </w:rPr>
  </w:style>
  <w:style w:type="character" w:customStyle="1" w:styleId="a4">
    <w:name w:val="批注文字 字符"/>
    <w:basedOn w:val="a0"/>
    <w:link w:val="a3"/>
    <w:uiPriority w:val="99"/>
    <w:qFormat/>
    <w:rPr>
      <w:rFonts w:ascii="Calibri" w:eastAsia="宋体" w:hAnsi="Calibri" w:cs="Times New Roman"/>
      <w:kern w:val="2"/>
      <w:sz w:val="21"/>
      <w:szCs w:val="22"/>
    </w:rPr>
  </w:style>
  <w:style w:type="character" w:customStyle="1" w:styleId="a6">
    <w:name w:val="批注框文本 字符"/>
    <w:basedOn w:val="a0"/>
    <w:link w:val="a5"/>
    <w:semiHidden/>
    <w:qFormat/>
    <w:rPr>
      <w:kern w:val="2"/>
      <w:sz w:val="18"/>
      <w:szCs w:val="18"/>
    </w:rPr>
  </w:style>
  <w:style w:type="character" w:customStyle="1" w:styleId="a9">
    <w:name w:val="页眉 字符"/>
    <w:basedOn w:val="a0"/>
    <w:link w:val="a8"/>
    <w:qFormat/>
    <w:rPr>
      <w:kern w:val="2"/>
      <w:sz w:val="18"/>
      <w:szCs w:val="18"/>
    </w:rPr>
  </w:style>
  <w:style w:type="character" w:customStyle="1" w:styleId="ab">
    <w:name w:val="批注主题 字符"/>
    <w:basedOn w:val="a4"/>
    <w:link w:val="aa"/>
    <w:semiHidden/>
    <w:qFormat/>
    <w:rPr>
      <w:rFonts w:ascii="Calibri" w:eastAsia="宋体" w:hAnsi="Calibri" w:cs="Times New Roman"/>
      <w:b/>
      <w:bCs/>
      <w:kern w:val="2"/>
      <w:sz w:val="21"/>
      <w:szCs w:val="22"/>
    </w:rPr>
  </w:style>
  <w:style w:type="paragraph" w:styleId="af">
    <w:name w:val="List Paragraph"/>
    <w:basedOn w:val="a"/>
    <w:uiPriority w:val="99"/>
    <w:unhideWhenUsed/>
    <w:qFormat/>
    <w:pPr>
      <w:ind w:firstLineChars="200" w:firstLine="420"/>
    </w:pPr>
  </w:style>
  <w:style w:type="character" w:customStyle="1" w:styleId="fontstyle01">
    <w:name w:val="fontstyle01"/>
    <w:basedOn w:val="a0"/>
    <w:qFormat/>
    <w:rPr>
      <w:rFonts w:ascii="黑体" w:eastAsia="黑体" w:hAnsi="黑体" w:hint="eastAsia"/>
      <w:color w:val="000000"/>
      <w:sz w:val="18"/>
      <w:szCs w:val="18"/>
    </w:rPr>
  </w:style>
  <w:style w:type="paragraph" w:customStyle="1" w:styleId="11">
    <w:name w:val="修订1"/>
    <w:uiPriority w:val="99"/>
    <w:semiHidden/>
    <w:qFormat/>
    <w:rPr>
      <w:rFonts w:ascii="Calibri" w:hAnsi="Calibri"/>
      <w:kern w:val="2"/>
      <w:sz w:val="21"/>
      <w:szCs w:val="22"/>
    </w:rPr>
  </w:style>
  <w:style w:type="paragraph" w:customStyle="1" w:styleId="Default">
    <w:name w:val="Default"/>
    <w:qFormat/>
    <w:pPr>
      <w:widowControl w:val="0"/>
      <w:autoSpaceDE w:val="0"/>
      <w:autoSpaceDN w:val="0"/>
      <w:adjustRightInd w:val="0"/>
    </w:pPr>
    <w:rPr>
      <w:rFonts w:ascii="宋体" w:hAnsi="Calibri" w:cs="宋体"/>
      <w:color w:val="000000"/>
      <w:sz w:val="24"/>
      <w:szCs w:val="24"/>
    </w:rPr>
  </w:style>
  <w:style w:type="paragraph" w:customStyle="1" w:styleId="21">
    <w:name w:val="修订2"/>
    <w:uiPriority w:val="99"/>
    <w:semiHidden/>
    <w:qFormat/>
    <w:rPr>
      <w:rFonts w:ascii="Calibri" w:eastAsia="仿宋_GB2312" w:hAnsi="Calibri"/>
      <w:kern w:val="2"/>
      <w:sz w:val="24"/>
      <w:szCs w:val="22"/>
    </w:rPr>
  </w:style>
  <w:style w:type="paragraph" w:customStyle="1" w:styleId="p">
    <w:name w:val="p"/>
    <w:basedOn w:val="a"/>
    <w:qFormat/>
    <w:pPr>
      <w:spacing w:line="390" w:lineRule="atLeast"/>
      <w:ind w:firstLine="420"/>
    </w:pPr>
  </w:style>
  <w:style w:type="paragraph" w:customStyle="1" w:styleId="31">
    <w:name w:val="修订3"/>
    <w:uiPriority w:val="99"/>
    <w:unhideWhenUsed/>
    <w:qFormat/>
    <w:rPr>
      <w:rFonts w:ascii="Calibri" w:eastAsia="仿宋_GB2312" w:hAnsi="Calibri"/>
      <w:kern w:val="2"/>
      <w:sz w:val="24"/>
      <w:szCs w:val="22"/>
    </w:rPr>
  </w:style>
  <w:style w:type="paragraph" w:customStyle="1" w:styleId="40">
    <w:name w:val="修订4"/>
    <w:uiPriority w:val="99"/>
    <w:semiHidden/>
    <w:qFormat/>
    <w:rPr>
      <w:rFonts w:ascii="Calibri" w:eastAsia="仿宋_GB2312" w:hAnsi="Calibri"/>
      <w:kern w:val="2"/>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71</Pages>
  <Words>20927</Words>
  <Characters>22183</Characters>
  <Application>Microsoft Office Word</Application>
  <DocSecurity>0</DocSecurity>
  <Lines>964</Lines>
  <Paragraphs>1165</Paragraphs>
  <ScaleCrop>false</ScaleCrop>
  <Company>HP</Company>
  <LinksUpToDate>false</LinksUpToDate>
  <CharactersWithSpaces>41945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czbank</dc:creator>
  <cp:lastModifiedBy>超奇 刘</cp:lastModifiedBy>
  <cp:revision>5</cp:revision>
  <cp:lastPrinted>2024-09-22T23:45:00Z</cp:lastPrinted>
  <dcterms:created xsi:type="dcterms:W3CDTF">2026-01-12T02:26:00Z</dcterms:created>
  <dcterms:modified xsi:type="dcterms:W3CDTF">2026-09-15T02:03:00Z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C1CD65D4B22F07D3B18A786946932C89_43</vt:lpwstr>
  </property>
  <property fmtid="{D5CDD505-2E9C-101B-9397-08002B2CF9AE}" pid="3" name="KSOProductBuildVer">
    <vt:lpwstr>2052-12.1.0.24034</vt:lpwstr>
  </property>
  <property fmtid="{D5CDD505-2E9C-101B-9397-08002B2CF9AE}" pid="4" name="KSOTemplateDocerSaveRecord">
    <vt:lpwstr>eyJoZGlkIjoiOWVjMjZhOWViNTZhZjkyOTUyOWNkNTA2ZGVmZmYwZTAiLCJ1c2VySWQiOiIzMDI2MzA1NjIifQ==</vt:lpwstr>
  </property>
</Properties>
</file>